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2021年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合水县城中村棚户区改造安置房（阳光苑）项目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合水县住房和城乡建设局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合水县房屋征收管理办公室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700" w:lineRule="exact"/>
        <w:ind w:right="125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spacing w:line="700" w:lineRule="exact"/>
        <w:ind w:right="125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spacing w:line="700" w:lineRule="exact"/>
        <w:ind w:right="125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spacing w:line="700" w:lineRule="exact"/>
        <w:ind w:right="125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spacing w:line="700" w:lineRule="exact"/>
        <w:ind w:right="125" w:firstLine="1200" w:firstLineChars="300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20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年度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合水县房屋征收管理办公室项目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绩效自评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报告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合水县住房和城乡建设局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阳光苑购房款按时支付。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2400万元，主要支付棚改安置房（阳光苑）回购款。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</w:p>
    <w:p>
      <w:pPr>
        <w:pStyle w:val="2"/>
        <w:spacing w:line="600" w:lineRule="exact"/>
        <w:ind w:right="125"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。经费用途：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主要支付合水县城中村棚户区改造安置房(阳光苑）项目安置户回购房房款，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自评项目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预算总金额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2400万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该项目由合水县房屋征收管理办公室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自评工作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领导小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组织实施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。自年初预算安排以来，合水县房屋征收管理办公室领导就高度重视，及时召开会议，详细安排部署，以填报项目支出绩效目标申报表和整体支出绩效目标申报表为契机。制定了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工作方案，成立了专门的评估组，确定了评估对象，并且撰写了事前绩效评价管理办法。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自评结果概述</w:t>
      </w:r>
    </w:p>
    <w:p>
      <w:pPr>
        <w:pStyle w:val="2"/>
        <w:numPr>
          <w:ilvl w:val="0"/>
          <w:numId w:val="0"/>
        </w:numPr>
        <w:spacing w:line="600" w:lineRule="exact"/>
        <w:ind w:firstLine="643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自评项目基本情况。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合水县房屋征收管理办公室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自评结果总体情况优异。首先从绩效目标的</w:t>
      </w:r>
      <w:r>
        <w:rPr>
          <w:rFonts w:ascii="Times New Roman" w:hAnsi="Times New Roman" w:eastAsia="仿宋_GB2312"/>
          <w:color w:val="000000"/>
          <w:sz w:val="32"/>
          <w:szCs w:val="32"/>
        </w:rPr>
        <w:t>产出指标、效益指标、满意度指标三类一级指标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进行评估，并填写了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项目支出绩效目标申报表、整体支出绩效目标申报表。其次分别从产出指标的数量指标、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、三个方面进行了评估，数量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20分、</w:t>
      </w:r>
      <w:r>
        <w:rPr>
          <w:rFonts w:ascii="Times New Roman" w:hAnsi="Times New Roman" w:eastAsia="仿宋_GB2312"/>
          <w:color w:val="00000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20分、</w:t>
      </w:r>
      <w:r>
        <w:rPr>
          <w:rFonts w:ascii="Times New Roman" w:hAnsi="Times New Roman" w:eastAsia="仿宋_GB2312"/>
          <w:color w:val="00000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。然后对</w:t>
      </w:r>
      <w:r>
        <w:rPr>
          <w:rFonts w:ascii="Times New Roman" w:hAnsi="Times New Roman" w:eastAsia="仿宋_GB2312"/>
          <w:color w:val="000000"/>
          <w:sz w:val="32"/>
          <w:szCs w:val="32"/>
        </w:rPr>
        <w:t>效益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指标的经济效益指标和</w:t>
      </w:r>
      <w:r>
        <w:rPr>
          <w:rFonts w:ascii="Times New Roman" w:hAnsi="Times New Roman" w:eastAsia="仿宋_GB2312"/>
          <w:color w:val="000000"/>
          <w:sz w:val="32"/>
          <w:szCs w:val="32"/>
        </w:rPr>
        <w:t>社会效益指标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方面进行考量，经济效益指标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10，</w:t>
      </w:r>
      <w:r>
        <w:rPr>
          <w:rFonts w:ascii="Times New Roman" w:hAnsi="Times New Roman" w:eastAsia="仿宋_GB2312"/>
          <w:color w:val="000000"/>
          <w:sz w:val="32"/>
          <w:szCs w:val="32"/>
        </w:rPr>
        <w:t>社会效益指标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20分、，最后对满意度指标评估得分8分。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最后整体综合评价为优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98分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，以自评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反映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总体情况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2、项目内容及取得的成绩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主要成就：保证了棚户区改造安置户能按时入住新房，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所需资金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按期支付完成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，为棚改工作的顺利进行奠定了基础。</w:t>
      </w:r>
    </w:p>
    <w:p>
      <w:pPr>
        <w:pStyle w:val="2"/>
        <w:numPr>
          <w:ilvl w:val="0"/>
          <w:numId w:val="1"/>
        </w:num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工作和发现的主要问题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对绩效评价管理工作认识不到位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三、下一步工作措施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一是严格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部门预算管理。加强项目过程环节管理，对项目支出开展进度跟踪；更科学合理的编制资金使用计划，进一步细化收支项目，按项目内容、计划时间、开展进度支出，提高资金的使用效益。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是提高预算绩效指标设置的科学性、合理性。加强对预算编制的管理，严格执行预算绩效管理办法，科学合理地设置预算绩效指标，使绩效指标与工作实际更贴近、更切合，全面反映单位职能履行情况，提高预算绩效指标的可执行性。  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三是不定期召开预算执行进度通报会，分析预算执行中存在的问题，对项目资金结余原因逐项进行分析，加快项目预算执行。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四是齐抓共管，提高执行质量。采取多种切实有效的方法提高预算执行进度和项目管理水平，各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股室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从业务管理的角度，采取各种措施推进预算执行。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六是积极推动绩效自评结果应用，将其作为预算编制和改进管理的重要依据，使有限的预算资金产生更大的效益，不断提升我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系统预算绩效管理水平。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附表：20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房屋征收管理办公室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项目支出绩效自评情况表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10" w:h="16840"/>
          <w:pgMar w:top="2098" w:right="1588" w:bottom="1985" w:left="1588" w:header="0" w:footer="1474" w:gutter="0"/>
          <w:pgNumType w:fmt="numberInDash" w:start="53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D7EDD"/>
    <w:multiLevelType w:val="singleLevel"/>
    <w:tmpl w:val="12AD7ED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WU3NWQ2OTBkMTAyYzE0YjJhNWI5NGJmZTA1NzgifQ=="/>
  </w:docVars>
  <w:rsids>
    <w:rsidRoot w:val="00000000"/>
    <w:rsid w:val="03CF6CC7"/>
    <w:rsid w:val="05812DC7"/>
    <w:rsid w:val="082C4E48"/>
    <w:rsid w:val="0A1B7A08"/>
    <w:rsid w:val="12110940"/>
    <w:rsid w:val="187A737B"/>
    <w:rsid w:val="1BD17F27"/>
    <w:rsid w:val="1D0A3B72"/>
    <w:rsid w:val="2CDE24A4"/>
    <w:rsid w:val="302F3C4F"/>
    <w:rsid w:val="31881F8F"/>
    <w:rsid w:val="356445A5"/>
    <w:rsid w:val="35DC2671"/>
    <w:rsid w:val="375457F8"/>
    <w:rsid w:val="38743132"/>
    <w:rsid w:val="41AA69A0"/>
    <w:rsid w:val="42644DA1"/>
    <w:rsid w:val="42890CAC"/>
    <w:rsid w:val="44F67FD4"/>
    <w:rsid w:val="49861AA1"/>
    <w:rsid w:val="4AC95E02"/>
    <w:rsid w:val="4BF30942"/>
    <w:rsid w:val="53852DC9"/>
    <w:rsid w:val="59D561A5"/>
    <w:rsid w:val="62193695"/>
    <w:rsid w:val="640D6BEF"/>
    <w:rsid w:val="656C77C5"/>
    <w:rsid w:val="68C31F72"/>
    <w:rsid w:val="727F3BCD"/>
    <w:rsid w:val="76233D6E"/>
    <w:rsid w:val="777A4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1314</Words>
  <Characters>1346</Characters>
  <Lines>0</Lines>
  <Paragraphs>0</Paragraphs>
  <TotalTime>0</TotalTime>
  <ScaleCrop>false</ScaleCrop>
  <LinksUpToDate>false</LinksUpToDate>
  <CharactersWithSpaces>1464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2023-06-21T12:15:00Z</cp:lastPrinted>
  <dcterms:modified xsi:type="dcterms:W3CDTF">2023-06-24T04:59:36Z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183C9D3CE88A40E8A0CA0D864AB4A1FF_13</vt:lpwstr>
  </property>
</Properties>
</file>