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ascii="宋体" w:hAnsi="宋体" w:eastAsia="宋体" w:cs="宋体"/>
          <w:b/>
          <w:bCs w:val="0"/>
          <w:color w:val="000000"/>
          <w:kern w:val="0"/>
          <w:sz w:val="72"/>
          <w:szCs w:val="72"/>
          <w:lang w:val="en-US" w:eastAsia="zh-CN"/>
        </w:rPr>
        <w:t>20</w:t>
      </w:r>
      <w:r>
        <w:rPr>
          <w:rFonts w:hint="eastAsia" w:cs="宋体"/>
          <w:b/>
          <w:bCs w:val="0"/>
          <w:color w:val="000000"/>
          <w:kern w:val="0"/>
          <w:sz w:val="72"/>
          <w:szCs w:val="72"/>
          <w:lang w:val="en-US" w:eastAsia="zh-CN"/>
        </w:rPr>
        <w:t>22</w:t>
      </w:r>
      <w:r>
        <w:rPr>
          <w:rFonts w:hint="eastAsia" w:ascii="宋体" w:hAnsi="宋体" w:eastAsia="宋体" w:cs="宋体"/>
          <w:b/>
          <w:bCs w:val="0"/>
          <w:color w:val="000000"/>
          <w:kern w:val="0"/>
          <w:sz w:val="72"/>
          <w:szCs w:val="72"/>
          <w:lang w:val="en-US" w:eastAsia="zh-CN"/>
        </w:rPr>
        <w:t>年</w:t>
      </w:r>
      <w:r>
        <w:rPr>
          <w:rFonts w:hint="eastAsia" w:eastAsia="宋体" w:cs="宋体"/>
          <w:b/>
          <w:bCs w:val="0"/>
          <w:color w:val="000000"/>
          <w:kern w:val="0"/>
          <w:sz w:val="72"/>
          <w:szCs w:val="72"/>
          <w:lang w:val="en-US" w:eastAsia="zh-CN"/>
        </w:rPr>
        <w:t>项目</w:t>
      </w:r>
      <w:r>
        <w:rPr>
          <w:rFonts w:hint="eastAsia" w:ascii="宋体" w:hAnsi="宋体" w:eastAsia="宋体" w:cs="宋体"/>
          <w:b/>
          <w:bCs w:val="0"/>
          <w:color w:val="000000"/>
          <w:kern w:val="0"/>
          <w:sz w:val="72"/>
          <w:szCs w:val="72"/>
          <w:lang w:val="en-US" w:eastAsia="zh-CN"/>
        </w:rPr>
        <w:t>绩效</w:t>
      </w:r>
      <w:r>
        <w:rPr>
          <w:rFonts w:hint="eastAsia" w:eastAsia="宋体" w:cs="宋体"/>
          <w:b/>
          <w:bCs w:val="0"/>
          <w:color w:val="000000"/>
          <w:kern w:val="0"/>
          <w:sz w:val="72"/>
          <w:szCs w:val="72"/>
          <w:lang w:val="en-US" w:eastAsia="zh-CN"/>
        </w:rPr>
        <w:t>自评</w:t>
      </w:r>
      <w:r>
        <w:rPr>
          <w:rFonts w:hint="eastAsia" w:ascii="宋体" w:hAnsi="宋体" w:eastAsia="宋体" w:cs="宋体"/>
          <w:b/>
          <w:bCs w:val="0"/>
          <w:color w:val="000000"/>
          <w:kern w:val="0"/>
          <w:sz w:val="72"/>
          <w:szCs w:val="72"/>
          <w:lang w:val="en-US" w:eastAsia="zh-CN"/>
        </w:rPr>
        <w:t>报告</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cs="宋体"/>
          <w:b/>
          <w:bCs w:val="0"/>
          <w:color w:val="000000"/>
          <w:kern w:val="0"/>
          <w:sz w:val="72"/>
          <w:szCs w:val="72"/>
          <w:lang w:val="en-US" w:eastAsia="zh-CN"/>
        </w:rPr>
        <w:t>（上级专项）</w:t>
      </w: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default" w:ascii="仿宋" w:hAnsi="仿宋" w:eastAsia="仿宋" w:cs="仿宋"/>
          <w:b/>
          <w:bCs w:val="0"/>
          <w:color w:val="000000"/>
          <w:kern w:val="0"/>
          <w:sz w:val="52"/>
          <w:szCs w:val="52"/>
          <w:lang w:val="en-US" w:eastAsia="zh-CN"/>
        </w:rPr>
      </w:pPr>
      <w:r>
        <w:rPr>
          <w:rFonts w:hint="eastAsia" w:ascii="仿宋" w:hAnsi="仿宋" w:eastAsia="仿宋" w:cs="仿宋"/>
          <w:b/>
          <w:bCs w:val="0"/>
          <w:color w:val="000000"/>
          <w:kern w:val="0"/>
          <w:sz w:val="52"/>
          <w:szCs w:val="52"/>
          <w:lang w:val="en-US" w:eastAsia="zh-CN"/>
        </w:rPr>
        <w:t>合水县应急管理局</w:t>
      </w:r>
    </w:p>
    <w:p/>
    <w:p/>
    <w:p/>
    <w:p/>
    <w:p/>
    <w:p/>
    <w:p/>
    <w:p/>
    <w:p/>
    <w:p/>
    <w:p>
      <w:pPr>
        <w:spacing w:line="1600" w:lineRule="exact"/>
        <w:rPr>
          <w:rFonts w:ascii="方正小标宋简体" w:hAnsi="方正小标宋简体" w:eastAsia="方正小标宋简体" w:cs="方正小标宋简体"/>
          <w:w w:val="82"/>
          <w:sz w:val="124"/>
          <w:szCs w:val="124"/>
        </w:rPr>
      </w:pPr>
      <w:r>
        <w:rPr>
          <w:rFonts w:hint="eastAsia" w:ascii="方正小标宋简体" w:hAnsi="方正小标宋简体" w:eastAsia="方正小标宋简体" w:cs="方正小标宋简体"/>
          <w:color w:val="FF0000"/>
          <w:spacing w:val="-48"/>
          <w:w w:val="82"/>
          <w:sz w:val="124"/>
          <w:szCs w:val="124"/>
        </w:rPr>
        <w:t>合水县应急管理局函</w:t>
      </w:r>
    </w:p>
    <w:p>
      <w:pPr>
        <w:rPr>
          <w:rFonts w:hint="eastAsia" w:ascii="仿宋_GB2312" w:hAnsi="仿宋_GB2312" w:eastAsia="仿宋_GB2312" w:cs="仿宋_GB2312"/>
          <w:sz w:val="32"/>
          <w:szCs w:val="32"/>
          <w:u w:val="thick" w:color="FF0000"/>
        </w:rPr>
      </w:pPr>
      <w:r>
        <w:rPr>
          <w:rFonts w:hint="eastAsia" w:ascii="仿宋_GB2312" w:hAnsi="仿宋_GB2312" w:eastAsia="仿宋_GB2312" w:cs="仿宋_GB2312"/>
          <w:sz w:val="32"/>
          <w:szCs w:val="32"/>
          <w:u w:val="thick" w:color="FF0000"/>
        </w:rPr>
        <w:t xml:space="preserve">                                                    </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ascii="Times New Roman" w:hAnsi="Times New Roman" w:eastAsia="方正小标宋简体" w:cs="Times New Roman"/>
          <w:bCs/>
          <w:color w:val="000000"/>
          <w:sz w:val="40"/>
          <w:szCs w:val="40"/>
        </w:rPr>
        <w:t>20</w:t>
      </w:r>
      <w:r>
        <w:rPr>
          <w:rFonts w:hint="eastAsia" w:ascii="Times New Roman" w:hAnsi="Times New Roman" w:eastAsia="方正小标宋简体" w:cs="Times New Roman"/>
          <w:bCs/>
          <w:color w:val="000000"/>
          <w:sz w:val="40"/>
          <w:szCs w:val="40"/>
          <w:lang w:val="en-US" w:eastAsia="zh-CN"/>
        </w:rPr>
        <w:t>22</w:t>
      </w:r>
      <w:r>
        <w:rPr>
          <w:rFonts w:ascii="Times New Roman" w:hAnsi="Times New Roman" w:eastAsia="方正小标宋简体" w:cs="Times New Roman"/>
          <w:bCs/>
          <w:color w:val="000000"/>
          <w:sz w:val="40"/>
          <w:szCs w:val="40"/>
        </w:rPr>
        <w:t>年度</w:t>
      </w:r>
      <w:r>
        <w:rPr>
          <w:rFonts w:hint="eastAsia" w:ascii="Times New Roman" w:hAnsi="Times New Roman" w:eastAsia="方正小标宋简体" w:cs="Times New Roman"/>
          <w:bCs/>
          <w:color w:val="000000"/>
          <w:sz w:val="40"/>
          <w:szCs w:val="40"/>
          <w:lang w:val="en-US" w:eastAsia="zh-CN"/>
        </w:rPr>
        <w:t>合水县应急管理局</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hint="eastAsia" w:ascii="Times New Roman" w:hAnsi="Times New Roman" w:eastAsia="方正小标宋简体" w:cs="Times New Roman"/>
          <w:bCs/>
          <w:color w:val="000000"/>
          <w:sz w:val="40"/>
          <w:szCs w:val="40"/>
          <w:lang w:val="en-US" w:eastAsia="zh-CN"/>
        </w:rPr>
        <w:t>上级专项项目</w:t>
      </w:r>
      <w:r>
        <w:rPr>
          <w:rFonts w:ascii="Times New Roman" w:hAnsi="Times New Roman" w:eastAsia="方正小标宋简体" w:cs="Times New Roman"/>
          <w:bCs/>
          <w:color w:val="000000"/>
          <w:sz w:val="40"/>
          <w:szCs w:val="40"/>
        </w:rPr>
        <w:t>自评</w:t>
      </w:r>
      <w:r>
        <w:rPr>
          <w:rFonts w:hint="eastAsia" w:ascii="Times New Roman" w:hAnsi="Times New Roman" w:eastAsia="方正小标宋简体" w:cs="Times New Roman"/>
          <w:bCs/>
          <w:color w:val="000000"/>
          <w:sz w:val="40"/>
          <w:szCs w:val="40"/>
          <w:lang w:val="en-US" w:eastAsia="zh-CN"/>
        </w:rPr>
        <w:t>报告</w:t>
      </w:r>
    </w:p>
    <w:p>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一、自评工作开展情况</w:t>
      </w:r>
    </w:p>
    <w:p>
      <w:pPr>
        <w:keepNext w:val="0"/>
        <w:keepLines w:val="0"/>
        <w:pageBreakBefore w:val="0"/>
        <w:widowControl w:val="0"/>
        <w:kinsoku/>
        <w:wordWrap/>
        <w:overflowPunct/>
        <w:topLinePunct w:val="0"/>
        <w:autoSpaceDE w:val="0"/>
        <w:autoSpaceDN/>
        <w:bidi w:val="0"/>
        <w:adjustRightInd/>
        <w:snapToGrid/>
        <w:spacing w:line="680" w:lineRule="exact"/>
        <w:ind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（一）</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合水县应急管理局</w:t>
      </w: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严格按照</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相关文件要求，安排部署项目绩效自评工作，明确一名专人负责此项工作，组织、协调和督促落实此项工作，并制定实施方案，推进绩效管理工作健康有序开展，根据上级有关规定和要求，对评价的单位、项目、时间及责任人等明确主体责任，规范工作内容，确保绩效评价工作有章可循，有序开展。    </w:t>
      </w: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 xml:space="preserve">  （二）我局2022年自评上级专项项目6个，预算总金额397.67万元，评价工作以部门单位自评为主，由各项目负责人对部门单位绩效工作进行督察、复审。经过汇审后，将部门整体绩效评价报告上报县财政局。</w:t>
      </w:r>
    </w:p>
    <w:p>
      <w:pPr>
        <w:pStyle w:val="2"/>
        <w:spacing w:line="600" w:lineRule="exact"/>
        <w:ind w:firstLine="640"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二、项目绩效目标</w:t>
      </w:r>
    </w:p>
    <w:p>
      <w:pPr>
        <w:pStyle w:val="2"/>
        <w:spacing w:line="700" w:lineRule="exact"/>
        <w:ind w:right="125" w:firstLine="640" w:firstLineChars="200"/>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进一步强化安全生产意识，优化应急管理体系，提升安全生产和应急管理水平。通过开展森林草原防灭火防治、防汛抗旱、防震减灾工作，有效化解灾害风险，兜住辖区群众生命财产安全红线，促进辖区经济发展。使各项安全生产监督及应急管理工作取得良好的社会效果。</w:t>
      </w:r>
    </w:p>
    <w:p>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三、评价基本情况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23" w:lineRule="atLeast"/>
        <w:ind w:left="0" w:right="0" w:firstLine="420"/>
        <w:rPr>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仿宋_GB2312" w:hAnsi="微软雅黑" w:eastAsia="仿宋_GB2312" w:cs="仿宋_GB2312"/>
          <w:b/>
          <w:bCs/>
          <w:i w:val="0"/>
          <w:iCs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bCs/>
          <w:i w:val="0"/>
          <w:iCs w:val="0"/>
          <w:caps w:val="0"/>
          <w:color w:val="333333"/>
          <w:spacing w:val="0"/>
          <w:sz w:val="32"/>
          <w:szCs w:val="32"/>
          <w:shd w:val="clear" w:color="auto" w:fill="FFFFFF"/>
        </w:rPr>
        <w:t>项目基本情况简介</w:t>
      </w:r>
    </w:p>
    <w:p>
      <w:pPr>
        <w:numPr>
          <w:ilvl w:val="0"/>
          <w:numId w:val="0"/>
        </w:numPr>
        <w:ind w:firstLine="320" w:firstLineChars="100"/>
        <w:jc w:val="left"/>
        <w:rPr>
          <w:rFonts w:hint="eastAsia"/>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（1）2021年自然灾害防治体系建设补助资金（全国自然灾害综合风险普查经费）29万元，支出15.39万元。主要用于自然灾害综合风险普查日常工作。下剩指标待普查工作结束后及时拨付。        </w:t>
      </w:r>
    </w:p>
    <w:p>
      <w:pPr>
        <w:numPr>
          <w:ilvl w:val="0"/>
          <w:numId w:val="0"/>
        </w:numPr>
        <w:spacing w:line="560" w:lineRule="exact"/>
        <w:ind w:firstLine="320" w:firstLineChars="100"/>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（2）</w:t>
      </w:r>
      <w:r>
        <w:rPr>
          <w:rFonts w:hint="eastAsia" w:ascii="仿宋_GB2312" w:hAnsi="仿宋_GB2312" w:eastAsia="仿宋_GB2312" w:cs="仿宋_GB2312"/>
          <w:sz w:val="32"/>
          <w:szCs w:val="32"/>
        </w:rPr>
        <w:t>中央自然灾害救灾资金预算（冬春临时生活困难救助资金）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支出126万元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主要用于保障受灾群众温暖过冬。</w:t>
      </w:r>
    </w:p>
    <w:p>
      <w:pPr>
        <w:numPr>
          <w:ilvl w:val="0"/>
          <w:numId w:val="0"/>
        </w:numPr>
        <w:spacing w:line="56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（3）2020年农房保险市级补贴资金17.05万元，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支出17.05万元。主要用于保障政策性农房保险补贴</w:t>
      </w:r>
      <w:r>
        <w:rPr>
          <w:rFonts w:hint="eastAsia" w:ascii="仿宋_GB2312" w:hAnsi="仿宋_GB2312" w:eastAsia="仿宋_GB2312" w:cs="仿宋_GB2312"/>
          <w:sz w:val="32"/>
          <w:szCs w:val="32"/>
          <w:lang w:val="en-US" w:eastAsia="zh-CN"/>
        </w:rPr>
        <w:t>。</w:t>
      </w:r>
    </w:p>
    <w:p>
      <w:pPr>
        <w:pStyle w:val="2"/>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（4）2021年省级安全生产及应急管理专项资金8万元，支出8万元。主要用于保障重点火险县森林消防装备配置。</w:t>
      </w:r>
    </w:p>
    <w:p>
      <w:pPr>
        <w:pStyle w:val="2"/>
        <w:numPr>
          <w:ilvl w:val="0"/>
          <w:numId w:val="0"/>
        </w:num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自然灾害救灾补助资金216万，支出177.24万元。主要用于受灾农户房屋重建维修补助。下剩38.76万元待农户房屋建成验收后及时拨付。</w:t>
      </w:r>
    </w:p>
    <w:p>
      <w:pPr>
        <w:pStyle w:val="2"/>
        <w:numPr>
          <w:ilvl w:val="0"/>
          <w:numId w:val="0"/>
        </w:num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（6）中央自然灾害防治体系建设补助资金1.62万元，支出1.62万元。主要用于采购基层应急抢险救援装备质保金。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w:t>
      </w:r>
      <w:r>
        <w:rPr>
          <w:rFonts w:hint="eastAsia" w:ascii="仿宋_GB2312" w:hAnsi="仿宋_GB2312" w:eastAsia="仿宋_GB2312" w:cs="仿宋_GB2312"/>
          <w:b/>
          <w:bCs/>
          <w:i w:val="0"/>
          <w:iCs w:val="0"/>
          <w:caps w:val="0"/>
          <w:color w:val="333333"/>
          <w:spacing w:val="0"/>
          <w:sz w:val="32"/>
          <w:szCs w:val="32"/>
          <w:shd w:val="clear" w:color="auto" w:fill="FFFFFF"/>
        </w:rPr>
        <w:t>）绩效评价目的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通过绩效评价全面分析该项目资金使用、管理和项目实施情况，进一步规范应急管理专项经费使用、管理制度，强化财政资金支出绩效理念，切实提高财政资金使用效益。</w:t>
      </w:r>
    </w:p>
    <w:p>
      <w:pPr>
        <w:pStyle w:val="2"/>
        <w:numPr>
          <w:ilvl w:val="0"/>
          <w:numId w:val="0"/>
        </w:numPr>
        <w:spacing w:line="700" w:lineRule="exact"/>
        <w:ind w:right="125" w:rightChars="0" w:firstLine="321" w:firstLineChars="100"/>
        <w:jc w:val="lef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（三）</w:t>
      </w:r>
      <w:r>
        <w:rPr>
          <w:rFonts w:ascii="Times New Roman" w:hAnsi="Times New Roman" w:eastAsia="仿宋_GB2312" w:cs="Times New Roman"/>
          <w:b/>
          <w:bCs/>
          <w:color w:val="000000"/>
          <w:sz w:val="32"/>
          <w:szCs w:val="32"/>
        </w:rPr>
        <w:t>评价对象与范围</w:t>
      </w:r>
    </w:p>
    <w:p>
      <w:pPr>
        <w:pStyle w:val="2"/>
        <w:numPr>
          <w:ilvl w:val="0"/>
          <w:numId w:val="0"/>
        </w:numPr>
        <w:spacing w:line="700" w:lineRule="exact"/>
        <w:ind w:right="125" w:rightChars="0" w:firstLine="640" w:firstLineChars="20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2022年上级专项项目</w:t>
      </w:r>
    </w:p>
    <w:p>
      <w:pPr>
        <w:pStyle w:val="2"/>
        <w:numPr>
          <w:ilvl w:val="0"/>
          <w:numId w:val="0"/>
        </w:numPr>
        <w:spacing w:line="700" w:lineRule="exact"/>
        <w:ind w:right="125" w:rightChars="0" w:firstLine="321" w:firstLineChars="1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（四）评价依据</w:t>
      </w:r>
    </w:p>
    <w:p>
      <w:pPr>
        <w:pStyle w:val="2"/>
        <w:numPr>
          <w:ilvl w:val="0"/>
          <w:numId w:val="0"/>
        </w:numPr>
        <w:spacing w:line="600" w:lineRule="exact"/>
        <w:ind w:firstLine="320" w:firstLineChars="100"/>
        <w:rPr>
          <w:rFonts w:ascii="仿宋_GB2312" w:hAnsi="Times New Roman" w:eastAsia="仿宋_GB2312"/>
          <w:sz w:val="32"/>
          <w:szCs w:val="32"/>
        </w:rPr>
      </w:pPr>
      <w:r>
        <w:rPr>
          <w:rFonts w:hint="eastAsia" w:ascii="仿宋_GB2312" w:hAnsi="Times New Roman" w:eastAsia="仿宋_GB2312"/>
          <w:sz w:val="32"/>
          <w:szCs w:val="32"/>
          <w:lang w:eastAsia="zh-CN"/>
        </w:rPr>
        <w:t>《</w:t>
      </w:r>
      <w:r>
        <w:rPr>
          <w:rFonts w:ascii="仿宋_GB2312" w:hAnsi="Times New Roman" w:eastAsia="仿宋_GB2312"/>
          <w:sz w:val="32"/>
          <w:szCs w:val="32"/>
        </w:rPr>
        <w:t>中央</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委办公室</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人民政府办公室关于全面实施预算绩效管理</w:t>
      </w:r>
      <w:r>
        <w:rPr>
          <w:rFonts w:hint="eastAsia" w:ascii="仿宋_GB2312" w:hAnsi="Times New Roman" w:eastAsia="仿宋_GB2312"/>
          <w:sz w:val="32"/>
          <w:szCs w:val="32"/>
          <w:lang w:val="en-US" w:eastAsia="zh-CN"/>
        </w:rPr>
        <w:t>工作实施方案</w:t>
      </w:r>
      <w:r>
        <w:rPr>
          <w:rFonts w:ascii="仿宋_GB2312" w:hAnsi="Times New Roman" w:eastAsia="仿宋_GB2312"/>
          <w:sz w:val="32"/>
          <w:szCs w:val="32"/>
        </w:rPr>
        <w:t>的通知》（</w:t>
      </w:r>
      <w:r>
        <w:rPr>
          <w:rFonts w:hint="eastAsia" w:ascii="仿宋_GB2312" w:hAnsi="Times New Roman" w:eastAsia="仿宋_GB2312"/>
          <w:sz w:val="32"/>
          <w:szCs w:val="32"/>
          <w:lang w:val="en-US" w:eastAsia="zh-CN"/>
        </w:rPr>
        <w:t>合</w:t>
      </w:r>
      <w:r>
        <w:rPr>
          <w:rFonts w:ascii="仿宋_GB2312" w:hAnsi="Times New Roman" w:eastAsia="仿宋_GB2312"/>
          <w:sz w:val="32"/>
          <w:szCs w:val="32"/>
        </w:rPr>
        <w:t>办发〔</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仿宋_GB2312" w:hAnsi="Times New Roman" w:eastAsia="仿宋_GB2312"/>
          <w:sz w:val="32"/>
          <w:szCs w:val="32"/>
        </w:rPr>
        <w:t>〕</w:t>
      </w:r>
      <w:r>
        <w:rPr>
          <w:rFonts w:hint="eastAsia" w:ascii="Times New Roman" w:hAnsi="Times New Roman" w:eastAsia="仿宋_GB2312"/>
          <w:sz w:val="32"/>
          <w:szCs w:val="32"/>
          <w:lang w:val="en-US" w:eastAsia="zh-CN"/>
        </w:rPr>
        <w:t>16</w:t>
      </w:r>
      <w:r>
        <w:rPr>
          <w:rFonts w:ascii="仿宋_GB2312" w:hAnsi="Times New Roman" w:eastAsia="仿宋_GB2312"/>
          <w:sz w:val="32"/>
          <w:szCs w:val="32"/>
        </w:rPr>
        <w:t>号）</w:t>
      </w:r>
    </w:p>
    <w:p>
      <w:pPr>
        <w:pStyle w:val="2"/>
        <w:numPr>
          <w:ilvl w:val="0"/>
          <w:numId w:val="0"/>
        </w:numPr>
        <w:spacing w:line="700" w:lineRule="exact"/>
        <w:ind w:right="125" w:rightChars="0" w:firstLine="643" w:firstLineChars="2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（五）评价原则、评价方法</w:t>
      </w:r>
    </w:p>
    <w:p>
      <w:pPr>
        <w:pStyle w:val="2"/>
        <w:numPr>
          <w:ilvl w:val="0"/>
          <w:numId w:val="0"/>
        </w:numPr>
        <w:spacing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坚持科学规范原则、公开公正原则、分级分类原则、绩效相关原则。</w:t>
      </w:r>
    </w:p>
    <w:p>
      <w:pPr>
        <w:pStyle w:val="2"/>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六</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b/>
          <w:bCs/>
          <w:color w:val="000000"/>
          <w:sz w:val="32"/>
          <w:szCs w:val="32"/>
        </w:rPr>
        <w:t>绩效评价指标体系</w:t>
      </w:r>
    </w:p>
    <w:p>
      <w:pPr>
        <w:pStyle w:val="2"/>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22</w:t>
      </w:r>
      <w:r>
        <w:rPr>
          <w:rFonts w:hint="eastAsia" w:ascii="Times New Roman" w:hAnsi="Times New Roman" w:eastAsia="仿宋_GB2312" w:cs="Times New Roman"/>
          <w:color w:val="000000"/>
          <w:sz w:val="32"/>
          <w:szCs w:val="32"/>
        </w:rPr>
        <w:t>年设定的产出数量、质量、时效、成本，以及经济效益、社会效益、服务对象满意度等绩效指标均已完成。</w:t>
      </w:r>
    </w:p>
    <w:p>
      <w:pPr>
        <w:pStyle w:val="2"/>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七</w:t>
      </w:r>
      <w:r>
        <w:rPr>
          <w:rFonts w:ascii="Times New Roman" w:hAnsi="Times New Roman" w:eastAsia="仿宋_GB2312" w:cs="Times New Roman"/>
          <w:b/>
          <w:bCs/>
          <w:color w:val="000000"/>
          <w:sz w:val="32"/>
          <w:szCs w:val="32"/>
        </w:rPr>
        <w:t>）评价人员组成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主要负责人：</w:t>
      </w:r>
      <w:r>
        <w:rPr>
          <w:rFonts w:hint="eastAsia" w:ascii="Times New Roman" w:hAnsi="Times New Roman" w:eastAsia="仿宋_GB2312" w:cs="Times New Roman"/>
          <w:color w:val="000000"/>
          <w:sz w:val="32"/>
          <w:szCs w:val="32"/>
          <w:lang w:val="en-US" w:eastAsia="zh-CN"/>
        </w:rPr>
        <w:t>刘亚平</w:t>
      </w:r>
      <w:bookmarkStart w:id="0" w:name="_GoBack"/>
      <w:bookmarkEnd w:id="0"/>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w:t>
      </w:r>
      <w:r>
        <w:rPr>
          <w:rFonts w:hint="eastAsia" w:ascii="Times New Roman" w:hAnsi="Times New Roman" w:eastAsia="仿宋_GB2312" w:cs="Times New Roman"/>
          <w:color w:val="000000"/>
          <w:sz w:val="32"/>
          <w:szCs w:val="32"/>
          <w:lang w:eastAsia="zh-CN"/>
        </w:rPr>
        <w:t>财务负责人，负责审核汇总评价资料</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组员：</w:t>
      </w:r>
      <w:r>
        <w:rPr>
          <w:rFonts w:hint="eastAsia" w:ascii="Times New Roman" w:hAnsi="Times New Roman" w:eastAsia="仿宋_GB2312" w:cs="Times New Roman"/>
          <w:color w:val="000000"/>
          <w:sz w:val="32"/>
          <w:szCs w:val="32"/>
          <w:lang w:val="en-US" w:eastAsia="zh-CN"/>
        </w:rPr>
        <w:t>谢娜娜</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应急管理局会计</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赵成华，</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应急管理局出纳，</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丁  肖，合水县应急管理局防灾减灾救灾和应急救援指挥监督管理股股长，</w:t>
      </w:r>
      <w:r>
        <w:rPr>
          <w:rFonts w:hint="eastAsia" w:ascii="Times New Roman" w:hAnsi="Times New Roman" w:eastAsia="仿宋_GB2312" w:cs="Times New Roman"/>
          <w:color w:val="000000"/>
          <w:sz w:val="32"/>
          <w:szCs w:val="32"/>
          <w:lang w:eastAsia="zh-CN"/>
        </w:rPr>
        <w:t>负责资料汇总上报</w:t>
      </w:r>
    </w:p>
    <w:p>
      <w:pPr>
        <w:pStyle w:val="2"/>
        <w:numPr>
          <w:ilvl w:val="0"/>
          <w:numId w:val="0"/>
        </w:numPr>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（八）</w:t>
      </w:r>
      <w:r>
        <w:rPr>
          <w:rFonts w:ascii="Times New Roman" w:hAnsi="Times New Roman" w:eastAsia="仿宋_GB2312" w:cs="Times New Roman"/>
          <w:b/>
          <w:bCs/>
          <w:color w:val="000000"/>
          <w:sz w:val="32"/>
          <w:szCs w:val="32"/>
        </w:rPr>
        <w:t>绩效评价工作过程</w:t>
      </w:r>
    </w:p>
    <w:p>
      <w:pPr>
        <w:pStyle w:val="2"/>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绩效自评是按照《中央合水县委办公室合水县人民政府办公室关于全面实施预算绩效管理工作实施方案的通知》（合办发〔2020〕16号）的相关规定，在全面收集分析有关绩效信息的基础上开展。我局接到财政局通知后高度重视，立即按照文件要求，遵循“谁支出、谁自评、谁负责”的原则，采用定量与定性评价相结合的方法，各项指标纵向对比计分，最后各项指标得分汇总形成总分，对指标值偏离原因进行了分析并提出了改进措施。</w:t>
      </w:r>
    </w:p>
    <w:p>
      <w:pPr>
        <w:pStyle w:val="2"/>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ascii="Times New Roman" w:hAnsi="Times New Roman" w:eastAsia="黑体" w:cs="Times New Roman"/>
          <w:color w:val="000000"/>
          <w:sz w:val="32"/>
          <w:szCs w:val="32"/>
        </w:rPr>
        <w:t>、绩效评价指标分析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20</w:t>
      </w:r>
      <w:r>
        <w:rPr>
          <w:rFonts w:hint="eastAsia" w:ascii="Times New Roman" w:hAnsi="Times New Roman" w:eastAsia="仿宋_GB2312" w:cs="Times New Roman"/>
          <w:color w:val="000000"/>
          <w:sz w:val="32"/>
          <w:szCs w:val="32"/>
          <w:lang w:val="en-US" w:eastAsia="zh-CN"/>
        </w:rPr>
        <w:t>22</w:t>
      </w:r>
      <w:r>
        <w:rPr>
          <w:rFonts w:hint="eastAsia" w:ascii="Times New Roman" w:hAnsi="Times New Roman" w:eastAsia="仿宋_GB2312" w:cs="Times New Roman"/>
          <w:color w:val="000000"/>
          <w:sz w:val="32"/>
          <w:szCs w:val="32"/>
          <w:lang w:eastAsia="zh-CN"/>
        </w:rPr>
        <w:t>年设定的产出数量、质量、时效、成本，以及经济效益、社会效益、服务对象满意度等绩效指标均已完成。</w:t>
      </w:r>
    </w:p>
    <w:p>
      <w:pPr>
        <w:pStyle w:val="2"/>
        <w:numPr>
          <w:ilvl w:val="0"/>
          <w:numId w:val="1"/>
        </w:numPr>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存在的问题及原因分析</w:t>
      </w:r>
    </w:p>
    <w:p>
      <w:pPr>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通过对项目总体情况分析和自查，发现存在</w:t>
      </w:r>
      <w:r>
        <w:rPr>
          <w:rFonts w:hint="eastAsia" w:ascii="Times New Roman" w:hAnsi="Times New Roman" w:eastAsia="仿宋_GB2312" w:cs="Times New Roman"/>
          <w:color w:val="000000"/>
          <w:sz w:val="32"/>
          <w:szCs w:val="32"/>
          <w:lang w:val="en-US" w:eastAsia="zh-CN"/>
        </w:rPr>
        <w:t>的问题是自然灾害救灾专项资金</w:t>
      </w:r>
      <w:r>
        <w:rPr>
          <w:rFonts w:hint="eastAsia" w:ascii="Times New Roman" w:hAnsi="Times New Roman" w:eastAsia="仿宋_GB2312" w:cs="Times New Roman"/>
          <w:color w:val="000000"/>
          <w:sz w:val="32"/>
          <w:szCs w:val="32"/>
          <w:lang w:eastAsia="zh-CN"/>
        </w:rPr>
        <w:t>监督不到位，项目推进速度较慢。</w:t>
      </w:r>
    </w:p>
    <w:p>
      <w:pPr>
        <w:ind w:firstLine="420" w:firstLineChars="200"/>
      </w:pPr>
    </w:p>
    <w:p>
      <w:pPr>
        <w:pStyle w:val="2"/>
        <w:spacing w:line="600" w:lineRule="exact"/>
        <w:ind w:firstLine="640" w:firstLineChars="200"/>
        <w:rPr>
          <w:rFonts w:hint="default" w:ascii="Times New Roman" w:hAnsi="Times New Roman" w:eastAsia="仿宋_GB2312" w:cs="Times New Roman"/>
          <w:color w:val="000000"/>
          <w:sz w:val="32"/>
          <w:szCs w:val="32"/>
          <w:lang w:val="en-US" w:eastAsia="zh-CN"/>
        </w:rPr>
      </w:pPr>
    </w:p>
    <w:p>
      <w:pPr>
        <w:pStyle w:val="2"/>
        <w:numPr>
          <w:ilvl w:val="0"/>
          <w:numId w:val="0"/>
        </w:numPr>
        <w:spacing w:line="600" w:lineRule="exact"/>
        <w:ind w:firstLine="320" w:firstLineChars="100"/>
        <w:rPr>
          <w:rFonts w:ascii="仿宋_GB2312" w:hAnsi="Times New Roman" w:eastAsia="仿宋_GB2312"/>
          <w:sz w:val="32"/>
          <w:szCs w:val="32"/>
        </w:rPr>
      </w:pPr>
    </w:p>
    <w:p>
      <w:pPr>
        <w:pStyle w:val="2"/>
        <w:numPr>
          <w:ilvl w:val="0"/>
          <w:numId w:val="0"/>
        </w:numPr>
        <w:spacing w:line="700" w:lineRule="exact"/>
        <w:ind w:right="125" w:rightChars="0" w:firstLine="640" w:firstLineChars="200"/>
        <w:jc w:val="left"/>
        <w:rPr>
          <w:rFonts w:hint="default" w:ascii="Times New Roman" w:hAnsi="Times New Roman" w:eastAsia="仿宋_GB2312" w:cs="Times New Roman"/>
          <w:color w:val="000000"/>
          <w:sz w:val="32"/>
          <w:szCs w:val="32"/>
          <w:lang w:val="en-US" w:eastAsia="zh-CN"/>
        </w:rPr>
      </w:pP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p>
    <w:p>
      <w:pPr>
        <w:rPr>
          <w:rFonts w:hint="eastAsia" w:ascii="仿宋_GB2312" w:hAnsi="仿宋_GB2312" w:eastAsia="仿宋_GB2312" w:cs="仿宋_GB2312"/>
          <w:sz w:val="32"/>
          <w:szCs w:val="32"/>
          <w:u w:val="thick" w:color="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22AA8"/>
    <w:multiLevelType w:val="singleLevel"/>
    <w:tmpl w:val="2E222AA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WY5YjQwMGZlOTZjMjE3YTViNDhjMzEyZjRmMzAifQ=="/>
  </w:docVars>
  <w:rsids>
    <w:rsidRoot w:val="00000000"/>
    <w:rsid w:val="0AF01547"/>
    <w:rsid w:val="0FCD5BFB"/>
    <w:rsid w:val="18D66348"/>
    <w:rsid w:val="1AE82595"/>
    <w:rsid w:val="1FD07F2A"/>
    <w:rsid w:val="26D94133"/>
    <w:rsid w:val="42A51F16"/>
    <w:rsid w:val="512D0E8A"/>
    <w:rsid w:val="7275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宋体" w:hAnsi="宋体" w:cs="宋体"/>
      <w:sz w:val="16"/>
      <w:szCs w:val="16"/>
    </w:rPr>
  </w:style>
  <w:style w:type="paragraph" w:styleId="3">
    <w:name w:val="toc 2"/>
    <w:basedOn w:val="1"/>
    <w:next w:val="1"/>
    <w:unhideWhenUsed/>
    <w:qFormat/>
    <w:uiPriority w:val="39"/>
    <w:pPr>
      <w:ind w:left="420" w:leftChars="200"/>
    </w:pPr>
  </w:style>
  <w:style w:type="paragraph" w:styleId="4">
    <w:name w:val="Normal Indent"/>
    <w:basedOn w:val="1"/>
    <w:qFormat/>
    <w:uiPriority w:val="0"/>
    <w:pPr>
      <w:ind w:firstLine="420" w:firstLineChars="200"/>
    </w:pPr>
    <w:rPr>
      <w:rFonts w:eastAsia="仿宋"/>
    </w:rPr>
  </w:style>
  <w:style w:type="paragraph" w:styleId="5">
    <w:name w:val="Body Text Indent"/>
    <w:basedOn w:val="1"/>
    <w:next w:val="4"/>
    <w:qFormat/>
    <w:uiPriority w:val="0"/>
    <w:pPr>
      <w:tabs>
        <w:tab w:val="left" w:pos="900"/>
      </w:tabs>
      <w:ind w:firstLine="720" w:firstLineChars="200"/>
    </w:pPr>
    <w:rPr>
      <w:rFonts w:ascii="`Times New Roman`" w:eastAsia="仿宋_GB2312"/>
      <w:color w:val="000000"/>
      <w:spacing w:val="20"/>
      <w:szCs w:val="30"/>
      <w:lang w:val="zh-CN"/>
    </w:rPr>
  </w:style>
  <w:style w:type="paragraph" w:styleId="6">
    <w:name w:val="Body Text Indent 2"/>
    <w:basedOn w:val="1"/>
    <w:next w:val="2"/>
    <w:unhideWhenUsed/>
    <w:qFormat/>
    <w:uiPriority w:val="99"/>
    <w:pPr>
      <w:spacing w:after="120" w:line="480" w:lineRule="auto"/>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unhideWhenUsed/>
    <w:qFormat/>
    <w:uiPriority w:val="99"/>
    <w:rPr>
      <w:rFonts w:ascii="Times New Roman" w:eastAsia="Times New Roman"/>
      <w:sz w:val="21"/>
    </w:rPr>
  </w:style>
  <w:style w:type="paragraph" w:customStyle="1" w:styleId="11">
    <w:name w:val="Table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1493</Words>
  <Characters>1567</Characters>
  <Lines>0</Lines>
  <Paragraphs>0</Paragraphs>
  <TotalTime>6</TotalTime>
  <ScaleCrop>false</ScaleCrop>
  <LinksUpToDate>false</LinksUpToDate>
  <CharactersWithSpaces>1645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2023-06-22T01:08:00Z</dcterms:created>
  <dc:creator>lx</dc:creator>
  <cp:lastModifiedBy>lx</cp:lastModifiedBy>
  <dcterms:modified xsi:type="dcterms:W3CDTF">2023-06-22T03:02:49Z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F3DDA90DB19F4C73A9BD62EB31F1DE48_12</vt:lpwstr>
  </property>
</Properties>
</file>