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ascii="宋体" w:hAnsi="宋体" w:eastAsia="宋体" w:cs="宋体"/>
          <w:b/>
          <w:bCs w:val="0"/>
          <w:color w:val="000000"/>
          <w:kern w:val="0"/>
          <w:sz w:val="72"/>
          <w:szCs w:val="72"/>
          <w:lang w:val="en-US" w:eastAsia="zh-CN"/>
        </w:rPr>
        <w:t>20</w:t>
      </w:r>
      <w:r>
        <w:rPr>
          <w:rFonts w:hint="eastAsia" w:eastAsia="宋体" w:cs="宋体"/>
          <w:b/>
          <w:bCs w:val="0"/>
          <w:color w:val="000000"/>
          <w:kern w:val="0"/>
          <w:sz w:val="72"/>
          <w:szCs w:val="72"/>
          <w:lang w:val="en-US" w:eastAsia="zh-CN"/>
        </w:rPr>
        <w:t>2</w:t>
      </w:r>
      <w:r>
        <w:rPr>
          <w:rFonts w:hint="eastAsia" w:cs="宋体"/>
          <w:b/>
          <w:bCs w:val="0"/>
          <w:color w:val="000000"/>
          <w:kern w:val="0"/>
          <w:sz w:val="72"/>
          <w:szCs w:val="72"/>
          <w:lang w:val="en-US" w:eastAsia="zh-CN"/>
        </w:rPr>
        <w:t>2</w:t>
      </w:r>
      <w:r>
        <w:rPr>
          <w:rFonts w:hint="eastAsia" w:ascii="宋体" w:hAnsi="宋体" w:eastAsia="宋体" w:cs="宋体"/>
          <w:b/>
          <w:bCs w:val="0"/>
          <w:color w:val="000000"/>
          <w:kern w:val="0"/>
          <w:sz w:val="72"/>
          <w:szCs w:val="72"/>
          <w:lang w:val="en-US" w:eastAsia="zh-CN"/>
        </w:rPr>
        <w:t>年</w:t>
      </w:r>
      <w:r>
        <w:rPr>
          <w:rFonts w:hint="eastAsia" w:eastAsia="宋体" w:cs="宋体"/>
          <w:b/>
          <w:bCs w:val="0"/>
          <w:color w:val="000000"/>
          <w:kern w:val="0"/>
          <w:sz w:val="72"/>
          <w:szCs w:val="72"/>
          <w:lang w:val="en-US" w:eastAsia="zh-CN"/>
        </w:rPr>
        <w:t>项目</w:t>
      </w:r>
      <w:r>
        <w:rPr>
          <w:rFonts w:hint="eastAsia" w:ascii="宋体" w:hAnsi="宋体" w:eastAsia="宋体" w:cs="宋体"/>
          <w:b/>
          <w:bCs w:val="0"/>
          <w:color w:val="000000"/>
          <w:kern w:val="0"/>
          <w:sz w:val="72"/>
          <w:szCs w:val="72"/>
          <w:lang w:val="en-US" w:eastAsia="zh-CN"/>
        </w:rPr>
        <w:t>绩效</w:t>
      </w:r>
      <w:r>
        <w:rPr>
          <w:rFonts w:hint="eastAsia" w:eastAsia="宋体" w:cs="宋体"/>
          <w:b/>
          <w:bCs w:val="0"/>
          <w:color w:val="000000"/>
          <w:kern w:val="0"/>
          <w:sz w:val="72"/>
          <w:szCs w:val="72"/>
          <w:lang w:val="en-US" w:eastAsia="zh-CN"/>
        </w:rPr>
        <w:t>自评</w:t>
      </w:r>
      <w:r>
        <w:rPr>
          <w:rFonts w:hint="eastAsia" w:ascii="宋体" w:hAnsi="宋体" w:eastAsia="宋体" w:cs="宋体"/>
          <w:b/>
          <w:bCs w:val="0"/>
          <w:color w:val="000000"/>
          <w:kern w:val="0"/>
          <w:sz w:val="72"/>
          <w:szCs w:val="72"/>
          <w:lang w:val="en-US" w:eastAsia="zh-CN"/>
        </w:rPr>
        <w:t>报告</w:t>
      </w:r>
    </w:p>
    <w:p>
      <w:pPr>
        <w:pStyle w:val="2"/>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bCs w:val="0"/>
          <w:color w:val="000000"/>
          <w:kern w:val="0"/>
          <w:sz w:val="72"/>
          <w:szCs w:val="72"/>
          <w:lang w:val="en-US" w:eastAsia="zh-CN"/>
        </w:rPr>
      </w:pPr>
      <w:r>
        <w:rPr>
          <w:rFonts w:hint="eastAsia" w:cs="宋体"/>
          <w:b/>
          <w:bCs w:val="0"/>
          <w:color w:val="000000"/>
          <w:kern w:val="0"/>
          <w:sz w:val="72"/>
          <w:szCs w:val="72"/>
          <w:lang w:val="en-US" w:eastAsia="zh-CN"/>
        </w:rPr>
        <w:t>（县级专项）</w:t>
      </w: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rPr>
          <w:rFonts w:hint="eastAsia" w:ascii="Times New Roman" w:hAnsi="Times New Roman" w:eastAsia="方正小标宋简体" w:cs="Times New Roman"/>
          <w:bCs/>
          <w:color w:val="000000"/>
          <w:kern w:val="0"/>
          <w:sz w:val="30"/>
          <w:szCs w:val="30"/>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eastAsia" w:ascii="仿宋" w:hAnsi="仿宋" w:eastAsia="仿宋" w:cs="仿宋"/>
          <w:b/>
          <w:bCs w:val="0"/>
          <w:color w:val="000000"/>
          <w:kern w:val="0"/>
          <w:sz w:val="52"/>
          <w:szCs w:val="52"/>
          <w:lang w:val="en-US" w:eastAsia="zh-CN"/>
        </w:rPr>
      </w:pPr>
    </w:p>
    <w:p>
      <w:pPr>
        <w:spacing w:line="620" w:lineRule="exact"/>
        <w:jc w:val="center"/>
        <w:rPr>
          <w:rFonts w:hint="default" w:ascii="仿宋" w:hAnsi="仿宋" w:eastAsia="仿宋" w:cs="仿宋"/>
          <w:b/>
          <w:bCs w:val="0"/>
          <w:color w:val="000000"/>
          <w:kern w:val="0"/>
          <w:sz w:val="52"/>
          <w:szCs w:val="52"/>
          <w:lang w:val="en-US" w:eastAsia="zh-CN"/>
        </w:rPr>
      </w:pPr>
      <w:r>
        <w:rPr>
          <w:rFonts w:hint="eastAsia" w:ascii="仿宋" w:hAnsi="仿宋" w:eastAsia="仿宋" w:cs="仿宋"/>
          <w:b/>
          <w:bCs w:val="0"/>
          <w:color w:val="000000"/>
          <w:kern w:val="0"/>
          <w:sz w:val="52"/>
          <w:szCs w:val="52"/>
          <w:lang w:val="en-US" w:eastAsia="zh-CN"/>
        </w:rPr>
        <w:t>合水县应急管理局</w:t>
      </w:r>
    </w:p>
    <w:p/>
    <w:p/>
    <w:p/>
    <w:p/>
    <w:p/>
    <w:p/>
    <w:p/>
    <w:p/>
    <w:p/>
    <w:p/>
    <w:p/>
    <w:p>
      <w:pPr>
        <w:spacing w:line="1600" w:lineRule="exact"/>
        <w:rPr>
          <w:rFonts w:ascii="方正小标宋简体" w:hAnsi="方正小标宋简体" w:eastAsia="方正小标宋简体" w:cs="方正小标宋简体"/>
          <w:w w:val="82"/>
          <w:sz w:val="124"/>
          <w:szCs w:val="124"/>
        </w:rPr>
      </w:pPr>
      <w:r>
        <w:rPr>
          <w:rFonts w:hint="eastAsia" w:ascii="方正小标宋简体" w:hAnsi="方正小标宋简体" w:eastAsia="方正小标宋简体" w:cs="方正小标宋简体"/>
          <w:color w:val="FF0000"/>
          <w:spacing w:val="-48"/>
          <w:w w:val="82"/>
          <w:sz w:val="124"/>
          <w:szCs w:val="124"/>
        </w:rPr>
        <w:t>合水县应急管理局函</w:t>
      </w:r>
    </w:p>
    <w:p>
      <w:pPr>
        <w:rPr>
          <w:rFonts w:hint="eastAsia" w:ascii="仿宋_GB2312" w:hAnsi="仿宋_GB2312" w:eastAsia="仿宋_GB2312" w:cs="仿宋_GB2312"/>
          <w:sz w:val="32"/>
          <w:szCs w:val="32"/>
          <w:u w:val="thick" w:color="FF0000"/>
        </w:rPr>
      </w:pPr>
      <w:r>
        <w:rPr>
          <w:rFonts w:hint="eastAsia" w:ascii="仿宋_GB2312" w:hAnsi="仿宋_GB2312" w:eastAsia="仿宋_GB2312" w:cs="仿宋_GB2312"/>
          <w:sz w:val="32"/>
          <w:szCs w:val="32"/>
          <w:u w:val="thick" w:color="FF0000"/>
        </w:rPr>
        <w:t xml:space="preserve">                                                    </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ascii="Times New Roman" w:hAnsi="Times New Roman" w:eastAsia="方正小标宋简体" w:cs="Times New Roman"/>
          <w:bCs/>
          <w:color w:val="000000"/>
          <w:sz w:val="40"/>
          <w:szCs w:val="40"/>
        </w:rPr>
        <w:t>20</w:t>
      </w:r>
      <w:r>
        <w:rPr>
          <w:rFonts w:hint="eastAsia" w:ascii="Times New Roman" w:hAnsi="Times New Roman" w:eastAsia="方正小标宋简体" w:cs="Times New Roman"/>
          <w:bCs/>
          <w:color w:val="000000"/>
          <w:sz w:val="40"/>
          <w:szCs w:val="40"/>
          <w:lang w:val="en-US" w:eastAsia="zh-CN"/>
        </w:rPr>
        <w:t>22</w:t>
      </w:r>
      <w:r>
        <w:rPr>
          <w:rFonts w:ascii="Times New Roman" w:hAnsi="Times New Roman" w:eastAsia="方正小标宋简体" w:cs="Times New Roman"/>
          <w:bCs/>
          <w:color w:val="000000"/>
          <w:sz w:val="40"/>
          <w:szCs w:val="40"/>
        </w:rPr>
        <w:t>年度</w:t>
      </w:r>
      <w:r>
        <w:rPr>
          <w:rFonts w:hint="eastAsia" w:ascii="Times New Roman" w:hAnsi="Times New Roman" w:eastAsia="方正小标宋简体" w:cs="Times New Roman"/>
          <w:bCs/>
          <w:color w:val="000000"/>
          <w:sz w:val="40"/>
          <w:szCs w:val="40"/>
          <w:lang w:val="en-US" w:eastAsia="zh-CN"/>
        </w:rPr>
        <w:t>合水县应急管理局</w:t>
      </w:r>
    </w:p>
    <w:p>
      <w:pPr>
        <w:pStyle w:val="2"/>
        <w:spacing w:line="700" w:lineRule="exact"/>
        <w:ind w:right="125"/>
        <w:jc w:val="center"/>
        <w:rPr>
          <w:rFonts w:hint="eastAsia" w:ascii="Times New Roman" w:hAnsi="Times New Roman" w:eastAsia="方正小标宋简体" w:cs="Times New Roman"/>
          <w:bCs/>
          <w:color w:val="000000"/>
          <w:sz w:val="40"/>
          <w:szCs w:val="40"/>
          <w:lang w:val="en-US" w:eastAsia="zh-CN"/>
        </w:rPr>
      </w:pPr>
      <w:r>
        <w:rPr>
          <w:rFonts w:hint="eastAsia" w:ascii="Times New Roman" w:hAnsi="Times New Roman" w:eastAsia="方正小标宋简体" w:cs="Times New Roman"/>
          <w:bCs/>
          <w:color w:val="000000"/>
          <w:sz w:val="40"/>
          <w:szCs w:val="40"/>
          <w:lang w:val="en-US" w:eastAsia="zh-CN"/>
        </w:rPr>
        <w:t>县级专项项目</w:t>
      </w:r>
      <w:r>
        <w:rPr>
          <w:rFonts w:ascii="Times New Roman" w:hAnsi="Times New Roman" w:eastAsia="方正小标宋简体" w:cs="Times New Roman"/>
          <w:bCs/>
          <w:color w:val="000000"/>
          <w:sz w:val="40"/>
          <w:szCs w:val="40"/>
        </w:rPr>
        <w:t>自评</w:t>
      </w:r>
      <w:r>
        <w:rPr>
          <w:rFonts w:hint="eastAsia" w:ascii="Times New Roman" w:hAnsi="Times New Roman" w:eastAsia="方正小标宋简体" w:cs="Times New Roman"/>
          <w:bCs/>
          <w:color w:val="000000"/>
          <w:sz w:val="40"/>
          <w:szCs w:val="40"/>
          <w:lang w:val="en-US" w:eastAsia="zh-CN"/>
        </w:rPr>
        <w:t>报告</w:t>
      </w:r>
    </w:p>
    <w:p>
      <w:pPr>
        <w:pStyle w:val="2"/>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一、自评工作开展情况</w:t>
      </w:r>
    </w:p>
    <w:p>
      <w:pPr>
        <w:keepNext w:val="0"/>
        <w:keepLines w:val="0"/>
        <w:pageBreakBefore w:val="0"/>
        <w:widowControl w:val="0"/>
        <w:kinsoku/>
        <w:wordWrap/>
        <w:overflowPunct/>
        <w:topLinePunct w:val="0"/>
        <w:autoSpaceDE w:val="0"/>
        <w:autoSpaceDN/>
        <w:bidi w:val="0"/>
        <w:adjustRightInd/>
        <w:snapToGrid/>
        <w:spacing w:line="680" w:lineRule="exact"/>
        <w:ind w:firstLine="640" w:firstLineChars="200"/>
        <w:jc w:val="left"/>
        <w:textAlignment w:val="auto"/>
        <w:rPr>
          <w:rFonts w:hint="eastAsia" w:ascii="微软雅黑" w:hAnsi="微软雅黑" w:eastAsia="微软雅黑" w:cs="微软雅黑"/>
          <w:i w:val="0"/>
          <w:iCs w:val="0"/>
          <w:caps w:val="0"/>
          <w:color w:val="333333"/>
          <w:spacing w:val="0"/>
          <w:sz w:val="24"/>
          <w:szCs w:val="24"/>
        </w:rPr>
      </w:pP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（一）</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合水县应急管理局</w:t>
      </w:r>
      <w:r>
        <w:rPr>
          <w:rFonts w:ascii="仿宋_GB2312" w:hAnsi="微软雅黑" w:eastAsia="仿宋_GB2312" w:cs="仿宋_GB2312"/>
          <w:i w:val="0"/>
          <w:iCs w:val="0"/>
          <w:caps w:val="0"/>
          <w:color w:val="000000"/>
          <w:spacing w:val="0"/>
          <w:kern w:val="0"/>
          <w:sz w:val="32"/>
          <w:szCs w:val="32"/>
          <w:shd w:val="clear" w:color="auto" w:fill="FFFFFF"/>
          <w:lang w:val="en-US" w:eastAsia="zh-CN" w:bidi="ar"/>
        </w:rPr>
        <w:t>严格按照</w:t>
      </w: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相关文件要求，安排部署项目绩效自评工作，明确一名专人负责此项工作，组织、协调和督促落实此项工作，并制定实施方案，推进绩效管理工作健康有序开展，根据上级有关规定和要求，对评价的单位、项目、时间及责任人等明确主体责任，规范工作内容，确保绩效评价工作有章可循，有序开展。    </w:t>
      </w: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 xml:space="preserve">  （二）我局2022年自评县级专项项目3个，预算总金额55.1万元，评价工作以部门单位自评为主，由各项目负责人对部门单位绩效工作进行督察、复审。经过汇审后，将部门整体绩效评价报告上报县财政局。</w:t>
      </w:r>
    </w:p>
    <w:p>
      <w:pPr>
        <w:pStyle w:val="2"/>
        <w:spacing w:line="600" w:lineRule="exact"/>
        <w:ind w:firstLine="640" w:firstLineChars="200"/>
        <w:rPr>
          <w:rFonts w:hint="eastAsia" w:ascii="Times New Roman" w:hAnsi="Times New Roman" w:eastAsia="黑体" w:cs="Times New Roman"/>
          <w:color w:val="000000"/>
          <w:sz w:val="32"/>
          <w:szCs w:val="32"/>
          <w:lang w:val="en-US" w:eastAsia="zh-CN"/>
        </w:rPr>
      </w:pPr>
      <w:r>
        <w:rPr>
          <w:rFonts w:hint="eastAsia" w:ascii="Times New Roman" w:hAnsi="Times New Roman" w:eastAsia="黑体" w:cs="Times New Roman"/>
          <w:color w:val="000000"/>
          <w:sz w:val="32"/>
          <w:szCs w:val="32"/>
          <w:lang w:val="en-US" w:eastAsia="zh-CN"/>
        </w:rPr>
        <w:t>二、项目绩效目标</w:t>
      </w:r>
    </w:p>
    <w:p>
      <w:pPr>
        <w:pStyle w:val="2"/>
        <w:spacing w:line="700" w:lineRule="exact"/>
        <w:ind w:right="125" w:firstLine="640" w:firstLineChars="200"/>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r>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t>进一步强化安全生产意识，优化应急管理体系，提升安全生产和应急管理水平。通过开展森林草原防灭火防治、防汛抗旱、防震减灾工作，有效化解灾害风险，兜住辖区群众生命财产安全红线，促进辖区经济发展。使各项安全生产监督及应急管理工作取得良好的社会效果。</w:t>
      </w:r>
    </w:p>
    <w:p>
      <w:pPr>
        <w:pStyle w:val="2"/>
        <w:spacing w:line="59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三、评价基本情况</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05" w:beforeAutospacing="0" w:after="105" w:afterAutospacing="0" w:line="23" w:lineRule="atLeast"/>
        <w:ind w:left="0" w:right="0" w:firstLine="420"/>
        <w:rPr>
          <w:rFonts w:hint="eastAsia" w:ascii="仿宋_GB2312" w:hAnsi="仿宋_GB2312" w:eastAsia="仿宋_GB2312" w:cs="仿宋_GB2312"/>
          <w:b/>
          <w:bCs/>
          <w:i w:val="0"/>
          <w:iCs w:val="0"/>
          <w:caps w:val="0"/>
          <w:color w:val="333333"/>
          <w:spacing w:val="0"/>
          <w:sz w:val="32"/>
          <w:szCs w:val="32"/>
          <w:shd w:val="clear" w:color="auto" w:fill="FFFFFF"/>
        </w:rPr>
      </w:pPr>
      <w:r>
        <w:rPr>
          <w:rFonts w:hint="eastAsia" w:ascii="仿宋_GB2312" w:hAnsi="微软雅黑" w:eastAsia="仿宋_GB2312" w:cs="仿宋_GB2312"/>
          <w:b/>
          <w:bCs/>
          <w:i w:val="0"/>
          <w:iCs w:val="0"/>
          <w:caps w:val="0"/>
          <w:color w:val="000000"/>
          <w:spacing w:val="0"/>
          <w:kern w:val="0"/>
          <w:sz w:val="32"/>
          <w:szCs w:val="32"/>
          <w:shd w:val="clear" w:color="auto" w:fill="FFFFFF"/>
          <w:lang w:val="en-US" w:eastAsia="zh-CN" w:bidi="ar"/>
        </w:rPr>
        <w:t>（一）</w:t>
      </w:r>
      <w:r>
        <w:rPr>
          <w:rFonts w:hint="eastAsia" w:ascii="仿宋_GB2312" w:hAnsi="仿宋_GB2312" w:eastAsia="仿宋_GB2312" w:cs="仿宋_GB2312"/>
          <w:b/>
          <w:bCs/>
          <w:i w:val="0"/>
          <w:iCs w:val="0"/>
          <w:caps w:val="0"/>
          <w:color w:val="333333"/>
          <w:spacing w:val="0"/>
          <w:sz w:val="32"/>
          <w:szCs w:val="32"/>
          <w:shd w:val="clear" w:color="auto" w:fill="FFFFFF"/>
        </w:rPr>
        <w:t>项目基本情况简介</w:t>
      </w:r>
    </w:p>
    <w:p>
      <w:pPr>
        <w:numPr>
          <w:ilvl w:val="0"/>
          <w:numId w:val="0"/>
        </w:numPr>
        <w:ind w:firstLine="320" w:firstLineChars="100"/>
        <w:jc w:val="both"/>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（1）2022年合水县应急管理局安全生产经费40万元，支出39.99万元。主要用于全县安全生产隐患排查治理、隐患核查和日常工作。</w:t>
      </w:r>
    </w:p>
    <w:p>
      <w:pPr>
        <w:numPr>
          <w:ilvl w:val="0"/>
          <w:numId w:val="0"/>
        </w:numPr>
        <w:ind w:firstLine="320" w:firstLineChars="100"/>
        <w:jc w:val="both"/>
        <w:rPr>
          <w:rFonts w:hint="default"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（2）2022年救灾应急专项10万元，支出9.98万元。主要用于防灾减灾知识宣传及救灾工作。</w:t>
      </w:r>
    </w:p>
    <w:p>
      <w:pPr>
        <w:numPr>
          <w:ilvl w:val="0"/>
          <w:numId w:val="0"/>
        </w:numPr>
        <w:ind w:firstLine="320" w:firstLineChars="100"/>
        <w:jc w:val="both"/>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pPr>
      <w:r>
        <w:rPr>
          <w:rFonts w:hint="eastAsia" w:ascii="仿宋_GB2312" w:hAnsi="仿宋_GB2312" w:eastAsia="仿宋_GB2312" w:cs="仿宋_GB2312"/>
          <w:b w:val="0"/>
          <w:bCs w:val="0"/>
          <w:i w:val="0"/>
          <w:iCs w:val="0"/>
          <w:caps w:val="0"/>
          <w:color w:val="auto"/>
          <w:spacing w:val="0"/>
          <w:sz w:val="32"/>
          <w:szCs w:val="32"/>
          <w:shd w:val="clear" w:color="auto" w:fill="FFFFFF"/>
          <w:lang w:val="en-US" w:eastAsia="zh-CN"/>
        </w:rPr>
        <w:t>（3）2022年灾害信息员补助5.1万元，支出4.86万元。主要用于发放灾害信息员补助。</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b/>
          <w:bCs/>
          <w:i w:val="0"/>
          <w:iCs w:val="0"/>
          <w:caps w:val="0"/>
          <w:color w:val="333333"/>
          <w:spacing w:val="0"/>
          <w:sz w:val="32"/>
          <w:szCs w:val="32"/>
        </w:rPr>
      </w:pPr>
      <w:r>
        <w:rPr>
          <w:rFonts w:hint="eastAsia" w:ascii="仿宋_GB2312" w:hAnsi="仿宋_GB2312" w:eastAsia="仿宋_GB2312" w:cs="仿宋_GB2312"/>
          <w:b/>
          <w:bCs/>
          <w:i w:val="0"/>
          <w:iCs w:val="0"/>
          <w:caps w:val="0"/>
          <w:color w:val="333333"/>
          <w:spacing w:val="0"/>
          <w:sz w:val="32"/>
          <w:szCs w:val="32"/>
          <w:shd w:val="clear" w:color="auto" w:fill="FFFFFF"/>
        </w:rPr>
        <w:t>（</w:t>
      </w:r>
      <w:r>
        <w:rPr>
          <w:rFonts w:hint="eastAsia" w:ascii="仿宋_GB2312" w:hAnsi="仿宋_GB2312" w:eastAsia="仿宋_GB2312" w:cs="仿宋_GB2312"/>
          <w:b/>
          <w:bCs/>
          <w:i w:val="0"/>
          <w:iCs w:val="0"/>
          <w:caps w:val="0"/>
          <w:color w:val="333333"/>
          <w:spacing w:val="0"/>
          <w:sz w:val="32"/>
          <w:szCs w:val="32"/>
          <w:shd w:val="clear" w:color="auto" w:fill="FFFFFF"/>
          <w:lang w:val="en-US" w:eastAsia="zh-CN"/>
        </w:rPr>
        <w:t>二</w:t>
      </w:r>
      <w:r>
        <w:rPr>
          <w:rFonts w:hint="eastAsia" w:ascii="仿宋_GB2312" w:hAnsi="仿宋_GB2312" w:eastAsia="仿宋_GB2312" w:cs="仿宋_GB2312"/>
          <w:b/>
          <w:bCs/>
          <w:i w:val="0"/>
          <w:iCs w:val="0"/>
          <w:caps w:val="0"/>
          <w:color w:val="333333"/>
          <w:spacing w:val="0"/>
          <w:sz w:val="32"/>
          <w:szCs w:val="32"/>
          <w:shd w:val="clear" w:color="auto" w:fill="FFFFFF"/>
        </w:rPr>
        <w:t>）绩效评价目的</w:t>
      </w:r>
    </w:p>
    <w:p>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33" w:lineRule="atLeast"/>
        <w:ind w:left="0" w:right="0" w:firstLine="420"/>
        <w:jc w:val="both"/>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color="auto" w:fill="FFFFFF"/>
        </w:rPr>
        <w:t>通过绩效评价全面分析该项目资金使用、管理和项目实施情况，进一步规范应急管理专项经费使用、管理制度，强化财政资金支出绩效理念，切实提高财政资金使用效益。</w:t>
      </w:r>
    </w:p>
    <w:p>
      <w:pPr>
        <w:pStyle w:val="2"/>
        <w:numPr>
          <w:ilvl w:val="0"/>
          <w:numId w:val="0"/>
        </w:numPr>
        <w:spacing w:line="700" w:lineRule="exact"/>
        <w:ind w:right="125" w:rightChars="0" w:firstLine="321" w:firstLineChars="100"/>
        <w:jc w:val="left"/>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（三）</w:t>
      </w:r>
      <w:r>
        <w:rPr>
          <w:rFonts w:ascii="Times New Roman" w:hAnsi="Times New Roman" w:eastAsia="仿宋_GB2312" w:cs="Times New Roman"/>
          <w:b/>
          <w:bCs/>
          <w:color w:val="000000"/>
          <w:sz w:val="32"/>
          <w:szCs w:val="32"/>
        </w:rPr>
        <w:t>评价对象与范围</w:t>
      </w:r>
    </w:p>
    <w:p>
      <w:pPr>
        <w:pStyle w:val="2"/>
        <w:numPr>
          <w:ilvl w:val="0"/>
          <w:numId w:val="0"/>
        </w:numPr>
        <w:spacing w:line="700" w:lineRule="exact"/>
        <w:ind w:right="125" w:rightChars="0" w:firstLine="640" w:firstLineChars="200"/>
        <w:jc w:val="left"/>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2022年县级预算专项项目</w:t>
      </w:r>
    </w:p>
    <w:p>
      <w:pPr>
        <w:pStyle w:val="2"/>
        <w:numPr>
          <w:ilvl w:val="0"/>
          <w:numId w:val="0"/>
        </w:numPr>
        <w:spacing w:line="700" w:lineRule="exact"/>
        <w:ind w:right="125" w:rightChars="0" w:firstLine="321" w:firstLineChars="1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（四）评价依据</w:t>
      </w:r>
    </w:p>
    <w:p>
      <w:pPr>
        <w:pStyle w:val="2"/>
        <w:numPr>
          <w:ilvl w:val="0"/>
          <w:numId w:val="0"/>
        </w:numPr>
        <w:spacing w:line="600" w:lineRule="exact"/>
        <w:ind w:firstLine="320" w:firstLineChars="100"/>
        <w:rPr>
          <w:rFonts w:ascii="仿宋_GB2312" w:hAnsi="Times New Roman" w:eastAsia="仿宋_GB2312"/>
          <w:sz w:val="32"/>
          <w:szCs w:val="32"/>
        </w:rPr>
      </w:pPr>
      <w:r>
        <w:rPr>
          <w:rFonts w:hint="eastAsia" w:ascii="仿宋_GB2312" w:hAnsi="Times New Roman" w:eastAsia="仿宋_GB2312"/>
          <w:sz w:val="32"/>
          <w:szCs w:val="32"/>
          <w:lang w:eastAsia="zh-CN"/>
        </w:rPr>
        <w:t>《</w:t>
      </w:r>
      <w:r>
        <w:rPr>
          <w:rFonts w:ascii="仿宋_GB2312" w:hAnsi="Times New Roman" w:eastAsia="仿宋_GB2312"/>
          <w:sz w:val="32"/>
          <w:szCs w:val="32"/>
        </w:rPr>
        <w:t>中央</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委办公室</w:t>
      </w:r>
      <w:r>
        <w:rPr>
          <w:rFonts w:hint="eastAsia" w:ascii="仿宋_GB2312" w:hAnsi="Times New Roman" w:eastAsia="仿宋_GB2312"/>
          <w:sz w:val="32"/>
          <w:szCs w:val="32"/>
          <w:lang w:val="en-US" w:eastAsia="zh-CN"/>
        </w:rPr>
        <w:t>合水县</w:t>
      </w:r>
      <w:r>
        <w:rPr>
          <w:rFonts w:ascii="仿宋_GB2312" w:hAnsi="Times New Roman" w:eastAsia="仿宋_GB2312"/>
          <w:sz w:val="32"/>
          <w:szCs w:val="32"/>
        </w:rPr>
        <w:t>人民政府办公室关于全面实施预算绩效管理</w:t>
      </w:r>
      <w:r>
        <w:rPr>
          <w:rFonts w:hint="eastAsia" w:ascii="仿宋_GB2312" w:hAnsi="Times New Roman" w:eastAsia="仿宋_GB2312"/>
          <w:sz w:val="32"/>
          <w:szCs w:val="32"/>
          <w:lang w:val="en-US" w:eastAsia="zh-CN"/>
        </w:rPr>
        <w:t>工作实施方案</w:t>
      </w:r>
      <w:r>
        <w:rPr>
          <w:rFonts w:ascii="仿宋_GB2312" w:hAnsi="Times New Roman" w:eastAsia="仿宋_GB2312"/>
          <w:sz w:val="32"/>
          <w:szCs w:val="32"/>
        </w:rPr>
        <w:t>的通知》（</w:t>
      </w:r>
      <w:r>
        <w:rPr>
          <w:rFonts w:hint="eastAsia" w:ascii="仿宋_GB2312" w:hAnsi="Times New Roman" w:eastAsia="仿宋_GB2312"/>
          <w:sz w:val="32"/>
          <w:szCs w:val="32"/>
          <w:lang w:val="en-US" w:eastAsia="zh-CN"/>
        </w:rPr>
        <w:t>合</w:t>
      </w:r>
      <w:r>
        <w:rPr>
          <w:rFonts w:ascii="仿宋_GB2312" w:hAnsi="Times New Roman" w:eastAsia="仿宋_GB2312"/>
          <w:sz w:val="32"/>
          <w:szCs w:val="32"/>
        </w:rPr>
        <w:t>办发〔</w:t>
      </w:r>
      <w:r>
        <w:rPr>
          <w:rFonts w:ascii="Times New Roman" w:hAnsi="Times New Roman" w:eastAsia="仿宋_GB2312"/>
          <w:sz w:val="32"/>
          <w:szCs w:val="32"/>
        </w:rPr>
        <w:t>20</w:t>
      </w:r>
      <w:r>
        <w:rPr>
          <w:rFonts w:hint="eastAsia" w:ascii="Times New Roman" w:hAnsi="Times New Roman" w:eastAsia="仿宋_GB2312"/>
          <w:sz w:val="32"/>
          <w:szCs w:val="32"/>
          <w:lang w:val="en-US" w:eastAsia="zh-CN"/>
        </w:rPr>
        <w:t>20</w:t>
      </w:r>
      <w:r>
        <w:rPr>
          <w:rFonts w:ascii="仿宋_GB2312" w:hAnsi="Times New Roman" w:eastAsia="仿宋_GB2312"/>
          <w:sz w:val="32"/>
          <w:szCs w:val="32"/>
        </w:rPr>
        <w:t>〕</w:t>
      </w:r>
      <w:r>
        <w:rPr>
          <w:rFonts w:hint="eastAsia" w:ascii="Times New Roman" w:hAnsi="Times New Roman" w:eastAsia="仿宋_GB2312"/>
          <w:sz w:val="32"/>
          <w:szCs w:val="32"/>
          <w:lang w:val="en-US" w:eastAsia="zh-CN"/>
        </w:rPr>
        <w:t>16</w:t>
      </w:r>
      <w:r>
        <w:rPr>
          <w:rFonts w:ascii="仿宋_GB2312" w:hAnsi="Times New Roman" w:eastAsia="仿宋_GB2312"/>
          <w:sz w:val="32"/>
          <w:szCs w:val="32"/>
        </w:rPr>
        <w:t>号）</w:t>
      </w:r>
    </w:p>
    <w:p>
      <w:pPr>
        <w:pStyle w:val="2"/>
        <w:numPr>
          <w:ilvl w:val="0"/>
          <w:numId w:val="0"/>
        </w:numPr>
        <w:spacing w:line="700" w:lineRule="exact"/>
        <w:ind w:right="125" w:rightChars="0" w:firstLine="643" w:firstLineChars="200"/>
        <w:jc w:val="left"/>
        <w:rPr>
          <w:rFonts w:hint="eastAsia" w:ascii="Times New Roman" w:hAnsi="Times New Roman" w:eastAsia="仿宋_GB2312" w:cs="Times New Roman"/>
          <w:b/>
          <w:bCs/>
          <w:color w:val="000000"/>
          <w:kern w:val="2"/>
          <w:sz w:val="32"/>
          <w:szCs w:val="32"/>
          <w:lang w:val="en-US" w:eastAsia="zh-CN" w:bidi="ar-SA"/>
        </w:rPr>
      </w:pPr>
      <w:r>
        <w:rPr>
          <w:rFonts w:hint="eastAsia" w:ascii="Times New Roman" w:hAnsi="Times New Roman" w:eastAsia="仿宋_GB2312" w:cs="Times New Roman"/>
          <w:b/>
          <w:bCs/>
          <w:color w:val="000000"/>
          <w:kern w:val="2"/>
          <w:sz w:val="32"/>
          <w:szCs w:val="32"/>
          <w:lang w:val="en-US" w:eastAsia="zh-CN" w:bidi="ar-SA"/>
        </w:rPr>
        <w:t>（五）评价原则、评价方法</w:t>
      </w:r>
    </w:p>
    <w:p>
      <w:pPr>
        <w:pStyle w:val="2"/>
        <w:numPr>
          <w:ilvl w:val="0"/>
          <w:numId w:val="0"/>
        </w:numPr>
        <w:spacing w:line="600" w:lineRule="exact"/>
        <w:ind w:firstLine="640" w:firstLineChars="200"/>
        <w:rPr>
          <w:rFonts w:hint="eastAsia" w:ascii="仿宋_GB2312" w:hAnsi="Times New Roman" w:eastAsia="仿宋_GB2312"/>
          <w:sz w:val="32"/>
          <w:szCs w:val="32"/>
          <w:lang w:val="en-US" w:eastAsia="zh-CN"/>
        </w:rPr>
      </w:pPr>
      <w:r>
        <w:rPr>
          <w:rFonts w:hint="eastAsia" w:ascii="仿宋_GB2312" w:hAnsi="Times New Roman" w:eastAsia="仿宋_GB2312"/>
          <w:sz w:val="32"/>
          <w:szCs w:val="32"/>
          <w:lang w:val="en-US" w:eastAsia="zh-CN"/>
        </w:rPr>
        <w:t>坚持科学规范原则、公开公正原则、分级分类原则、绩效相关原则。</w:t>
      </w:r>
    </w:p>
    <w:p>
      <w:pPr>
        <w:pStyle w:val="2"/>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sz w:val="32"/>
          <w:szCs w:val="32"/>
          <w:lang w:eastAsia="zh-CN"/>
        </w:rPr>
        <w:t>（</w:t>
      </w:r>
      <w:r>
        <w:rPr>
          <w:rFonts w:hint="eastAsia" w:ascii="Times New Roman" w:hAnsi="Times New Roman" w:eastAsia="仿宋_GB2312" w:cs="Times New Roman"/>
          <w:b/>
          <w:bCs/>
          <w:color w:val="000000"/>
          <w:sz w:val="32"/>
          <w:szCs w:val="32"/>
          <w:lang w:val="en-US" w:eastAsia="zh-CN"/>
        </w:rPr>
        <w:t>六</w:t>
      </w:r>
      <w:r>
        <w:rPr>
          <w:rFonts w:hint="eastAsia" w:ascii="Times New Roman" w:hAnsi="Times New Roman" w:eastAsia="仿宋_GB2312" w:cs="Times New Roman"/>
          <w:b/>
          <w:bCs/>
          <w:color w:val="000000"/>
          <w:sz w:val="32"/>
          <w:szCs w:val="32"/>
          <w:lang w:eastAsia="zh-CN"/>
        </w:rPr>
        <w:t>）</w:t>
      </w:r>
      <w:r>
        <w:rPr>
          <w:rFonts w:ascii="Times New Roman" w:hAnsi="Times New Roman" w:eastAsia="仿宋_GB2312" w:cs="Times New Roman"/>
          <w:b/>
          <w:bCs/>
          <w:color w:val="000000"/>
          <w:sz w:val="32"/>
          <w:szCs w:val="32"/>
        </w:rPr>
        <w:t>绩效评价指标体系</w:t>
      </w:r>
    </w:p>
    <w:p>
      <w:pPr>
        <w:pStyle w:val="2"/>
        <w:spacing w:line="600" w:lineRule="exact"/>
        <w:ind w:firstLine="640" w:firstLineChars="200"/>
        <w:rPr>
          <w:rFonts w:hint="eastAsia"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20</w:t>
      </w:r>
      <w:r>
        <w:rPr>
          <w:rFonts w:hint="eastAsia" w:ascii="Times New Roman" w:hAnsi="Times New Roman" w:eastAsia="仿宋_GB2312" w:cs="Times New Roman"/>
          <w:color w:val="000000"/>
          <w:sz w:val="32"/>
          <w:szCs w:val="32"/>
          <w:lang w:val="en-US" w:eastAsia="zh-CN"/>
        </w:rPr>
        <w:t>22年</w:t>
      </w:r>
      <w:r>
        <w:rPr>
          <w:rFonts w:hint="eastAsia" w:ascii="Times New Roman" w:hAnsi="Times New Roman" w:eastAsia="仿宋_GB2312" w:cs="Times New Roman"/>
          <w:color w:val="000000"/>
          <w:sz w:val="32"/>
          <w:szCs w:val="32"/>
        </w:rPr>
        <w:t>设定的产出数量、质量、时效、成本，以及经济效益、社会效益、服务对象满意度等绩效指标均已完成。</w:t>
      </w:r>
    </w:p>
    <w:p>
      <w:pPr>
        <w:pStyle w:val="2"/>
        <w:spacing w:line="600" w:lineRule="exact"/>
        <w:ind w:firstLine="643" w:firstLineChars="200"/>
        <w:rPr>
          <w:rFonts w:ascii="Times New Roman" w:hAnsi="Times New Roman" w:eastAsia="仿宋_GB2312" w:cs="Times New Roman"/>
          <w:color w:val="000000"/>
          <w:sz w:val="32"/>
          <w:szCs w:val="32"/>
        </w:rPr>
      </w:pPr>
      <w:r>
        <w:rPr>
          <w:rFonts w:ascii="Times New Roman" w:hAnsi="Times New Roman" w:eastAsia="仿宋_GB2312" w:cs="Times New Roman"/>
          <w:b/>
          <w:bCs/>
          <w:color w:val="000000"/>
          <w:sz w:val="32"/>
          <w:szCs w:val="32"/>
        </w:rPr>
        <w:t>（</w:t>
      </w:r>
      <w:r>
        <w:rPr>
          <w:rFonts w:hint="eastAsia" w:ascii="Times New Roman" w:hAnsi="Times New Roman" w:eastAsia="仿宋_GB2312" w:cs="Times New Roman"/>
          <w:b/>
          <w:bCs/>
          <w:color w:val="000000"/>
          <w:sz w:val="32"/>
          <w:szCs w:val="32"/>
          <w:lang w:val="en-US" w:eastAsia="zh-CN"/>
        </w:rPr>
        <w:t>七</w:t>
      </w:r>
      <w:r>
        <w:rPr>
          <w:rFonts w:ascii="Times New Roman" w:hAnsi="Times New Roman" w:eastAsia="仿宋_GB2312" w:cs="Times New Roman"/>
          <w:b/>
          <w:bCs/>
          <w:color w:val="000000"/>
          <w:sz w:val="32"/>
          <w:szCs w:val="32"/>
        </w:rPr>
        <w:t>）评价人员组成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主要负责人：</w:t>
      </w:r>
      <w:r>
        <w:rPr>
          <w:rFonts w:hint="eastAsia" w:ascii="Times New Roman" w:hAnsi="Times New Roman" w:eastAsia="仿宋_GB2312" w:cs="Times New Roman"/>
          <w:color w:val="000000"/>
          <w:sz w:val="32"/>
          <w:szCs w:val="32"/>
          <w:lang w:val="en-US" w:eastAsia="zh-CN"/>
        </w:rPr>
        <w:t>刘亚平</w:t>
      </w:r>
      <w:bookmarkStart w:id="0" w:name="_GoBack"/>
      <w:bookmarkEnd w:id="0"/>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w:t>
      </w:r>
      <w:r>
        <w:rPr>
          <w:rFonts w:hint="eastAsia" w:ascii="Times New Roman" w:hAnsi="Times New Roman" w:eastAsia="仿宋_GB2312" w:cs="Times New Roman"/>
          <w:color w:val="000000"/>
          <w:sz w:val="32"/>
          <w:szCs w:val="32"/>
          <w:lang w:eastAsia="zh-CN"/>
        </w:rPr>
        <w:t>财务负责人，负责审核汇总评价资料</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组员：</w:t>
      </w:r>
      <w:r>
        <w:rPr>
          <w:rFonts w:hint="eastAsia" w:ascii="Times New Roman" w:hAnsi="Times New Roman" w:eastAsia="仿宋_GB2312" w:cs="Times New Roman"/>
          <w:color w:val="000000"/>
          <w:sz w:val="32"/>
          <w:szCs w:val="32"/>
          <w:lang w:val="en-US" w:eastAsia="zh-CN"/>
        </w:rPr>
        <w:t>谢娜娜</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应急管理局会计</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赵成华，</w:t>
      </w:r>
      <w:r>
        <w:rPr>
          <w:rFonts w:hint="eastAsia" w:ascii="Times New Roman" w:hAnsi="Times New Roman" w:eastAsia="仿宋_GB2312" w:cs="Times New Roman"/>
          <w:color w:val="000000"/>
          <w:sz w:val="32"/>
          <w:szCs w:val="32"/>
          <w:lang w:eastAsia="zh-CN"/>
        </w:rPr>
        <w:t>合水县</w:t>
      </w:r>
      <w:r>
        <w:rPr>
          <w:rFonts w:hint="eastAsia" w:ascii="Times New Roman" w:hAnsi="Times New Roman" w:eastAsia="仿宋_GB2312" w:cs="Times New Roman"/>
          <w:color w:val="000000"/>
          <w:sz w:val="32"/>
          <w:szCs w:val="32"/>
          <w:lang w:val="en-US" w:eastAsia="zh-CN"/>
        </w:rPr>
        <w:t>应急管理局出纳，</w:t>
      </w:r>
      <w:r>
        <w:rPr>
          <w:rFonts w:hint="eastAsia" w:ascii="Times New Roman" w:hAnsi="Times New Roman" w:eastAsia="仿宋_GB2312" w:cs="Times New Roman"/>
          <w:color w:val="000000"/>
          <w:sz w:val="32"/>
          <w:szCs w:val="32"/>
          <w:lang w:eastAsia="zh-CN"/>
        </w:rPr>
        <w:t>负责资料汇总上报</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val="en-US" w:eastAsia="zh-CN"/>
        </w:rPr>
        <w:t xml:space="preserve">     丁  肖，合水县应急管理局防灾减灾救灾和应急救援指挥监督管理股股长，</w:t>
      </w:r>
      <w:r>
        <w:rPr>
          <w:rFonts w:hint="eastAsia" w:ascii="Times New Roman" w:hAnsi="Times New Roman" w:eastAsia="仿宋_GB2312" w:cs="Times New Roman"/>
          <w:color w:val="000000"/>
          <w:sz w:val="32"/>
          <w:szCs w:val="32"/>
          <w:lang w:eastAsia="zh-CN"/>
        </w:rPr>
        <w:t>负责资料汇总上报</w:t>
      </w:r>
    </w:p>
    <w:p>
      <w:pPr>
        <w:pStyle w:val="2"/>
        <w:numPr>
          <w:ilvl w:val="0"/>
          <w:numId w:val="0"/>
        </w:numPr>
        <w:spacing w:line="600" w:lineRule="exact"/>
        <w:ind w:firstLine="643" w:firstLineChars="200"/>
        <w:rPr>
          <w:rFonts w:ascii="Times New Roman" w:hAnsi="Times New Roman" w:eastAsia="仿宋_GB2312" w:cs="Times New Roman"/>
          <w:b/>
          <w:bCs/>
          <w:color w:val="000000"/>
          <w:sz w:val="32"/>
          <w:szCs w:val="32"/>
        </w:rPr>
      </w:pPr>
      <w:r>
        <w:rPr>
          <w:rFonts w:hint="eastAsia" w:ascii="Times New Roman" w:hAnsi="Times New Roman" w:eastAsia="仿宋_GB2312" w:cs="Times New Roman"/>
          <w:b/>
          <w:bCs/>
          <w:color w:val="000000"/>
          <w:kern w:val="2"/>
          <w:sz w:val="32"/>
          <w:szCs w:val="32"/>
          <w:lang w:val="en-US" w:eastAsia="zh-CN" w:bidi="ar-SA"/>
        </w:rPr>
        <w:t>（八）</w:t>
      </w:r>
      <w:r>
        <w:rPr>
          <w:rFonts w:ascii="Times New Roman" w:hAnsi="Times New Roman" w:eastAsia="仿宋_GB2312" w:cs="Times New Roman"/>
          <w:b/>
          <w:bCs/>
          <w:color w:val="000000"/>
          <w:sz w:val="32"/>
          <w:szCs w:val="32"/>
        </w:rPr>
        <w:t>绩效评价工作过程</w:t>
      </w:r>
    </w:p>
    <w:p>
      <w:pPr>
        <w:pStyle w:val="2"/>
        <w:spacing w:line="600" w:lineRule="exact"/>
        <w:ind w:firstLine="640" w:firstLineChars="200"/>
        <w:rPr>
          <w:rFonts w:hint="eastAsia" w:ascii="Times New Roman" w:hAnsi="Times New Roman" w:eastAsia="仿宋_GB2312" w:cs="Times New Roman"/>
          <w:color w:val="000000"/>
          <w:sz w:val="32"/>
          <w:szCs w:val="32"/>
          <w:lang w:val="en-US" w:eastAsia="zh-CN"/>
        </w:rPr>
      </w:pPr>
      <w:r>
        <w:rPr>
          <w:rFonts w:hint="eastAsia" w:ascii="Times New Roman" w:hAnsi="Times New Roman" w:eastAsia="仿宋_GB2312" w:cs="Times New Roman"/>
          <w:color w:val="000000"/>
          <w:sz w:val="32"/>
          <w:szCs w:val="32"/>
          <w:lang w:val="en-US" w:eastAsia="zh-CN"/>
        </w:rPr>
        <w:t>绩效自评是按照《中央合水县委办公室合水县人民政府办公室关于全面实施预算绩效管理工作实施方案的通知》（合办发〔2020〕16号）的相关规定，在全面收集分析有关绩效信息的基础上开展。我局接到财政局通知后高度重视，立即按照文件要求，遵循“谁支出、谁自评、谁负责”的原则，采用定量与定性评价相结合的方法，各项指标纵向对比计分，最后各项指标得分汇总形成总分，对指标值偏离原因进行了分析并提出了改进措施。</w:t>
      </w:r>
    </w:p>
    <w:p>
      <w:pPr>
        <w:pStyle w:val="2"/>
        <w:spacing w:line="600" w:lineRule="exact"/>
        <w:ind w:firstLine="640" w:firstLineChars="200"/>
        <w:rPr>
          <w:rFonts w:ascii="Times New Roman" w:hAnsi="Times New Roman" w:eastAsia="黑体" w:cs="Times New Roman"/>
          <w:color w:val="000000"/>
          <w:sz w:val="32"/>
          <w:szCs w:val="32"/>
        </w:rPr>
      </w:pPr>
      <w:r>
        <w:rPr>
          <w:rFonts w:hint="eastAsia" w:ascii="Times New Roman" w:hAnsi="Times New Roman" w:eastAsia="黑体" w:cs="Times New Roman"/>
          <w:color w:val="000000"/>
          <w:sz w:val="32"/>
          <w:szCs w:val="32"/>
          <w:lang w:eastAsia="zh-CN"/>
        </w:rPr>
        <w:t>四</w:t>
      </w:r>
      <w:r>
        <w:rPr>
          <w:rFonts w:ascii="Times New Roman" w:hAnsi="Times New Roman" w:eastAsia="黑体" w:cs="Times New Roman"/>
          <w:color w:val="000000"/>
          <w:sz w:val="32"/>
          <w:szCs w:val="32"/>
        </w:rPr>
        <w:t>、绩效评价指标分析</w:t>
      </w:r>
    </w:p>
    <w:p>
      <w:pPr>
        <w:pStyle w:val="2"/>
        <w:spacing w:line="600" w:lineRule="exact"/>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20</w:t>
      </w:r>
      <w:r>
        <w:rPr>
          <w:rFonts w:hint="eastAsia" w:ascii="Times New Roman" w:hAnsi="Times New Roman" w:eastAsia="仿宋_GB2312" w:cs="Times New Roman"/>
          <w:color w:val="000000"/>
          <w:sz w:val="32"/>
          <w:szCs w:val="32"/>
          <w:lang w:val="en-US" w:eastAsia="zh-CN"/>
        </w:rPr>
        <w:t>22</w:t>
      </w:r>
      <w:r>
        <w:rPr>
          <w:rFonts w:hint="eastAsia" w:ascii="Times New Roman" w:hAnsi="Times New Roman" w:eastAsia="仿宋_GB2312" w:cs="Times New Roman"/>
          <w:color w:val="000000"/>
          <w:sz w:val="32"/>
          <w:szCs w:val="32"/>
          <w:lang w:eastAsia="zh-CN"/>
        </w:rPr>
        <w:t>年设定的产出数量、质量、时效、成本，以及经济效益、社会效益、服务对象满意度等绩效指标均已完成。</w:t>
      </w:r>
    </w:p>
    <w:p>
      <w:pPr>
        <w:pStyle w:val="2"/>
        <w:numPr>
          <w:ilvl w:val="0"/>
          <w:numId w:val="1"/>
        </w:numPr>
        <w:spacing w:line="600" w:lineRule="exact"/>
        <w:ind w:firstLine="640" w:firstLineChars="200"/>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存在的问题及原因分析</w:t>
      </w:r>
    </w:p>
    <w:p>
      <w:pPr>
        <w:ind w:firstLine="640" w:firstLineChars="200"/>
        <w:rPr>
          <w:rFonts w:hint="eastAsia" w:ascii="Times New Roman" w:hAnsi="Times New Roman" w:eastAsia="仿宋_GB2312" w:cs="Times New Roman"/>
          <w:color w:val="000000"/>
          <w:sz w:val="32"/>
          <w:szCs w:val="32"/>
          <w:lang w:eastAsia="zh-CN"/>
        </w:rPr>
      </w:pPr>
      <w:r>
        <w:rPr>
          <w:rFonts w:hint="eastAsia" w:ascii="Times New Roman" w:hAnsi="Times New Roman" w:eastAsia="仿宋_GB2312" w:cs="Times New Roman"/>
          <w:color w:val="000000"/>
          <w:sz w:val="32"/>
          <w:szCs w:val="32"/>
          <w:lang w:eastAsia="zh-CN"/>
        </w:rPr>
        <w:t>通过对项目总体情况分析和自查，发现存在</w:t>
      </w:r>
      <w:r>
        <w:rPr>
          <w:rFonts w:hint="eastAsia" w:ascii="Times New Roman" w:hAnsi="Times New Roman" w:eastAsia="仿宋_GB2312" w:cs="Times New Roman"/>
          <w:color w:val="000000"/>
          <w:sz w:val="32"/>
          <w:szCs w:val="32"/>
          <w:lang w:val="en-US" w:eastAsia="zh-CN"/>
        </w:rPr>
        <w:t>的问题是</w:t>
      </w:r>
      <w:r>
        <w:rPr>
          <w:rFonts w:hint="eastAsia" w:ascii="Times New Roman" w:hAnsi="Times New Roman" w:eastAsia="仿宋_GB2312" w:cs="Times New Roman"/>
          <w:color w:val="000000"/>
          <w:sz w:val="32"/>
          <w:szCs w:val="32"/>
          <w:lang w:eastAsia="zh-CN"/>
        </w:rPr>
        <w:t>绩效管理工作虽初步走向规范，但相关人员仍对于绩效评价的认识不到位，部分对绩效不理解；</w:t>
      </w:r>
    </w:p>
    <w:p>
      <w:pPr>
        <w:ind w:firstLine="640" w:firstLineChars="200"/>
      </w:pPr>
      <w:r>
        <w:rPr>
          <w:rFonts w:ascii="仿宋_GB2312" w:hAnsi="宋体" w:eastAsia="仿宋_GB2312" w:cs="仿宋_GB2312"/>
          <w:i w:val="0"/>
          <w:iCs w:val="0"/>
          <w:caps w:val="0"/>
          <w:color w:val="000000"/>
          <w:spacing w:val="0"/>
          <w:sz w:val="32"/>
          <w:szCs w:val="32"/>
          <w:shd w:val="clear" w:color="auto" w:fill="FFFFFF"/>
        </w:rPr>
        <w:t>今后我</w:t>
      </w:r>
      <w:r>
        <w:rPr>
          <w:rFonts w:hint="eastAsia" w:ascii="仿宋_GB2312" w:eastAsia="仿宋_GB2312" w:cs="仿宋_GB2312"/>
          <w:i w:val="0"/>
          <w:iCs w:val="0"/>
          <w:caps w:val="0"/>
          <w:color w:val="000000"/>
          <w:spacing w:val="0"/>
          <w:sz w:val="32"/>
          <w:szCs w:val="32"/>
          <w:shd w:val="clear" w:color="auto" w:fill="FFFFFF"/>
          <w:lang w:val="en-US" w:eastAsia="zh-CN"/>
        </w:rPr>
        <w:t>局</w:t>
      </w:r>
      <w:r>
        <w:rPr>
          <w:rFonts w:ascii="仿宋_GB2312" w:hAnsi="宋体" w:eastAsia="仿宋_GB2312" w:cs="仿宋_GB2312"/>
          <w:i w:val="0"/>
          <w:iCs w:val="0"/>
          <w:caps w:val="0"/>
          <w:color w:val="000000"/>
          <w:spacing w:val="0"/>
          <w:sz w:val="32"/>
          <w:szCs w:val="32"/>
          <w:shd w:val="clear" w:color="auto" w:fill="FFFFFF"/>
        </w:rPr>
        <w:t>将继续克服预算绩效管理工作机构不健全等困难，不断学习借鉴其他县区的先进做法，充分发挥相关主管部门的专业优势，不断健全绩效评价工作机制，逐步建立起财政部门统一组织指导、预算部门具体实施、专业机构支持配合、社会各界广泛参与的领导工作机制和监督制约机制。</w:t>
      </w:r>
    </w:p>
    <w:p>
      <w:pPr>
        <w:pStyle w:val="2"/>
        <w:spacing w:line="700" w:lineRule="exact"/>
        <w:ind w:right="125"/>
        <w:jc w:val="left"/>
        <w:rPr>
          <w:rFonts w:hint="eastAsia" w:ascii="仿宋_GB2312" w:hAnsi="微软雅黑" w:eastAsia="仿宋_GB2312" w:cs="仿宋_GB2312"/>
          <w:i w:val="0"/>
          <w:iCs w:val="0"/>
          <w:caps w:val="0"/>
          <w:color w:val="000000"/>
          <w:spacing w:val="0"/>
          <w:kern w:val="0"/>
          <w:sz w:val="32"/>
          <w:szCs w:val="32"/>
          <w:shd w:val="clear" w:color="auto" w:fill="FFFFFF"/>
          <w:lang w:val="en-US" w:eastAsia="zh-CN" w:bidi="ar"/>
        </w:rPr>
      </w:pPr>
    </w:p>
    <w:p>
      <w:pPr>
        <w:rPr>
          <w:rFonts w:hint="eastAsia" w:ascii="仿宋_GB2312" w:hAnsi="仿宋_GB2312" w:eastAsia="仿宋_GB2312" w:cs="仿宋_GB2312"/>
          <w:sz w:val="32"/>
          <w:szCs w:val="32"/>
          <w:u w:val="thick" w:color="FF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Times New Roman`">
    <w:altName w:val="Times New Roman"/>
    <w:panose1 w:val="00000000000000000000"/>
    <w:charset w:val="00"/>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222AA8"/>
    <w:multiLevelType w:val="singleLevel"/>
    <w:tmpl w:val="2E222AA8"/>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VjNWY5YjQwMGZlOTZjMjE3YTViNDhjMzEyZjRmMzAifQ=="/>
  </w:docVars>
  <w:rsids>
    <w:rsidRoot w:val="00000000"/>
    <w:rsid w:val="00DA1BFD"/>
    <w:rsid w:val="014A3C99"/>
    <w:rsid w:val="0AF01547"/>
    <w:rsid w:val="0C7220B5"/>
    <w:rsid w:val="1CFA525B"/>
    <w:rsid w:val="207B66B3"/>
    <w:rsid w:val="23737F4F"/>
    <w:rsid w:val="26D94133"/>
    <w:rsid w:val="357339A5"/>
    <w:rsid w:val="3FE04F03"/>
    <w:rsid w:val="42A51F16"/>
    <w:rsid w:val="512D0E8A"/>
    <w:rsid w:val="72750AE5"/>
    <w:rsid w:val="767D7B31"/>
    <w:rsid w:val="78F10436"/>
    <w:rsid w:val="7DF602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qFormat/>
    <w:uiPriority w:val="0"/>
  </w:style>
  <w:style w:type="table" w:default="1" w:styleId="9">
    <w:name w:val="Normal Table"/>
    <w:semiHidden/>
    <w:uiPriority w:val="0"/>
    <w:tblPr>
      <w:tblCellMar>
        <w:top w:w="0" w:type="dxa"/>
        <w:left w:w="108" w:type="dxa"/>
        <w:bottom w:w="0" w:type="dxa"/>
        <w:right w:w="108" w:type="dxa"/>
      </w:tblCellMar>
    </w:tblPr>
  </w:style>
  <w:style w:type="paragraph" w:styleId="2">
    <w:name w:val="Body Text"/>
    <w:basedOn w:val="1"/>
    <w:next w:val="3"/>
    <w:uiPriority w:val="99"/>
    <w:rPr>
      <w:rFonts w:ascii="宋体" w:hAnsi="宋体" w:cs="宋体"/>
      <w:sz w:val="16"/>
      <w:szCs w:val="16"/>
    </w:rPr>
  </w:style>
  <w:style w:type="paragraph" w:styleId="3">
    <w:name w:val="toc 2"/>
    <w:basedOn w:val="1"/>
    <w:next w:val="1"/>
    <w:unhideWhenUsed/>
    <w:qFormat/>
    <w:uiPriority w:val="39"/>
    <w:pPr>
      <w:ind w:left="420" w:leftChars="200"/>
    </w:pPr>
  </w:style>
  <w:style w:type="paragraph" w:styleId="4">
    <w:name w:val="Normal Indent"/>
    <w:basedOn w:val="1"/>
    <w:qFormat/>
    <w:uiPriority w:val="0"/>
    <w:pPr>
      <w:ind w:firstLine="420" w:firstLineChars="200"/>
    </w:pPr>
    <w:rPr>
      <w:rFonts w:eastAsia="仿宋"/>
    </w:rPr>
  </w:style>
  <w:style w:type="paragraph" w:styleId="5">
    <w:name w:val="Body Text Indent"/>
    <w:basedOn w:val="1"/>
    <w:next w:val="4"/>
    <w:qFormat/>
    <w:uiPriority w:val="0"/>
    <w:pPr>
      <w:tabs>
        <w:tab w:val="left" w:pos="900"/>
      </w:tabs>
      <w:ind w:firstLine="720" w:firstLineChars="200"/>
    </w:pPr>
    <w:rPr>
      <w:rFonts w:ascii="`Times New Roman`" w:eastAsia="仿宋_GB2312"/>
      <w:color w:val="000000"/>
      <w:spacing w:val="20"/>
      <w:szCs w:val="30"/>
      <w:lang w:val="zh-CN"/>
    </w:rPr>
  </w:style>
  <w:style w:type="paragraph" w:styleId="6">
    <w:name w:val="Body Text Indent 2"/>
    <w:basedOn w:val="1"/>
    <w:next w:val="2"/>
    <w:unhideWhenUsed/>
    <w:qFormat/>
    <w:uiPriority w:val="99"/>
    <w:pPr>
      <w:spacing w:after="120" w:line="480" w:lineRule="auto"/>
      <w:ind w:left="420" w:leftChars="200"/>
    </w:pPr>
  </w:style>
  <w:style w:type="paragraph" w:styleId="7">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8">
    <w:name w:val="Body Text First Indent 2"/>
    <w:basedOn w:val="5"/>
    <w:unhideWhenUsed/>
    <w:qFormat/>
    <w:uiPriority w:val="99"/>
    <w:rPr>
      <w:rFonts w:ascii="Times New Roman" w:eastAsia="Times New Roman"/>
      <w:sz w:val="21"/>
    </w:rPr>
  </w:style>
  <w:style w:type="paragraph" w:customStyle="1" w:styleId="11">
    <w:name w:val="Table Paragraph"/>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1437</Words>
  <Characters>1489</Characters>
  <Lines>0</Lines>
  <Paragraphs>0</Paragraphs>
  <TotalTime>0</TotalTime>
  <ScaleCrop>false</ScaleCrop>
  <LinksUpToDate>false</LinksUpToDate>
  <CharactersWithSpaces>1559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2023-06-22T01:08:00Z</dcterms:created>
  <dc:creator>lx</dc:creator>
  <cp:lastModifiedBy>lx</cp:lastModifiedBy>
  <dcterms:modified xsi:type="dcterms:W3CDTF">2023-06-22T03:02:27Z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F3DDA90DB19F4C73A9BD62EB31F1DE48_12</vt:lpwstr>
  </property>
</Properties>
</file>