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B9A51">
      <w:pPr>
        <w:spacing w:before="85" w:line="492" w:lineRule="exact"/>
        <w:jc w:val="center"/>
        <w:outlineLvl w:val="0"/>
        <w:rPr>
          <w:rFonts w:hint="eastAsia" w:asciiTheme="minorEastAsia" w:hAnsiTheme="minorEastAsia" w:eastAsiaTheme="minorEastAsia" w:cstheme="minorEastAsia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eastAsia="zh-CN"/>
        </w:rPr>
        <w:t>合水县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val="en-US" w:eastAsia="zh-CN"/>
        </w:rPr>
        <w:t>2024年度城乡居民基本医疗保险参保县级配套资金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  <w:t>支出绩效评价报告</w:t>
      </w:r>
    </w:p>
    <w:bookmarkEnd w:id="0"/>
    <w:p w14:paraId="2877EE77">
      <w:pPr>
        <w:spacing w:line="55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9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807"/>
        <w:gridCol w:w="1983"/>
        <w:gridCol w:w="1786"/>
        <w:gridCol w:w="114"/>
        <w:gridCol w:w="2137"/>
      </w:tblGrid>
      <w:tr w14:paraId="23D57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2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4CB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一、项目基本情况</w:t>
            </w:r>
          </w:p>
        </w:tc>
      </w:tr>
      <w:tr w14:paraId="5CD0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75D206E8">
            <w:pPr>
              <w:pStyle w:val="10"/>
              <w:spacing w:before="229" w:line="209" w:lineRule="auto"/>
              <w:ind w:left="552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况</w:t>
            </w:r>
          </w:p>
        </w:tc>
        <w:tc>
          <w:tcPr>
            <w:tcW w:w="1807" w:type="dxa"/>
            <w:vAlign w:val="top"/>
          </w:tcPr>
          <w:p w14:paraId="72555EE4">
            <w:pPr>
              <w:pStyle w:val="10"/>
              <w:spacing w:before="201" w:line="221" w:lineRule="auto"/>
              <w:ind w:left="43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74F7AC73">
            <w:pPr>
              <w:pStyle w:val="10"/>
              <w:spacing w:before="201" w:line="219" w:lineRule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县2024年度城乡居民基本医疗保险参保县级配套资金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支出绩效评价</w:t>
            </w:r>
          </w:p>
        </w:tc>
      </w:tr>
      <w:tr w14:paraId="649E7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6F7B67CA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2EA19E04">
            <w:pPr>
              <w:pStyle w:val="10"/>
              <w:spacing w:before="198" w:line="219" w:lineRule="auto"/>
              <w:ind w:left="42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评价年度</w:t>
            </w:r>
          </w:p>
        </w:tc>
        <w:tc>
          <w:tcPr>
            <w:tcW w:w="1983" w:type="dxa"/>
            <w:vAlign w:val="top"/>
          </w:tcPr>
          <w:p w14:paraId="0329762F">
            <w:pPr>
              <w:pStyle w:val="10"/>
              <w:spacing w:before="199" w:line="220" w:lineRule="auto"/>
              <w:ind w:left="475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1786" w:type="dxa"/>
            <w:vAlign w:val="top"/>
          </w:tcPr>
          <w:p w14:paraId="4C578508">
            <w:pPr>
              <w:pStyle w:val="10"/>
              <w:spacing w:before="198" w:line="219" w:lineRule="auto"/>
              <w:ind w:left="40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评价类型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224F3882">
            <w:pPr>
              <w:pStyle w:val="10"/>
              <w:spacing w:before="198" w:line="219" w:lineRule="auto"/>
              <w:ind w:left="64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评价</w:t>
            </w:r>
          </w:p>
        </w:tc>
      </w:tr>
      <w:tr w14:paraId="3C41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39E1F17B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64C60D4E">
            <w:pPr>
              <w:pStyle w:val="10"/>
              <w:spacing w:before="285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委托评价单位</w:t>
            </w:r>
          </w:p>
        </w:tc>
        <w:tc>
          <w:tcPr>
            <w:tcW w:w="1983" w:type="dxa"/>
            <w:vAlign w:val="top"/>
          </w:tcPr>
          <w:p w14:paraId="5290E408">
            <w:pPr>
              <w:pStyle w:val="10"/>
              <w:spacing w:before="286" w:line="219" w:lineRule="auto"/>
              <w:ind w:left="27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县财政局</w:t>
            </w:r>
          </w:p>
        </w:tc>
        <w:tc>
          <w:tcPr>
            <w:tcW w:w="1786" w:type="dxa"/>
            <w:vAlign w:val="top"/>
          </w:tcPr>
          <w:p w14:paraId="6F2F0719">
            <w:pPr>
              <w:pStyle w:val="10"/>
              <w:spacing w:before="285" w:line="219" w:lineRule="auto"/>
              <w:ind w:left="16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评价机构名称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686254E5">
            <w:pPr>
              <w:pStyle w:val="10"/>
              <w:spacing w:before="96" w:line="229" w:lineRule="auto"/>
              <w:ind w:right="292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6499B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287D7E1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12295708">
            <w:pPr>
              <w:pStyle w:val="10"/>
              <w:spacing w:before="197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评价对象名称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01CA1CD3">
            <w:pPr>
              <w:pStyle w:val="10"/>
              <w:spacing w:before="198" w:line="219" w:lineRule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县2024年度城乡居民基本医疗保险参保县级配套资金项目</w:t>
            </w:r>
          </w:p>
        </w:tc>
      </w:tr>
      <w:tr w14:paraId="4DBF5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702" w:type="dxa"/>
            <w:tcBorders>
              <w:left w:val="nil"/>
            </w:tcBorders>
            <w:textDirection w:val="tbRlV"/>
            <w:vAlign w:val="top"/>
          </w:tcPr>
          <w:p w14:paraId="3218D0BA">
            <w:pPr>
              <w:pStyle w:val="10"/>
              <w:spacing w:before="229" w:line="202" w:lineRule="auto"/>
              <w:ind w:left="204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施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position w:val="1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的</w:t>
            </w:r>
          </w:p>
        </w:tc>
        <w:tc>
          <w:tcPr>
            <w:tcW w:w="7827" w:type="dxa"/>
            <w:gridSpan w:val="5"/>
            <w:tcBorders>
              <w:right w:val="nil"/>
            </w:tcBorders>
            <w:vAlign w:val="top"/>
          </w:tcPr>
          <w:p w14:paraId="44CDA8F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303" w:lineRule="auto"/>
              <w:ind w:right="10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确保基金平稳运行 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县级配套资金是城乡居民医疗保险基金的重要组成部分，通过提供稳定的资金支持，保障医保基金有足够的资金来支付参保人员的医疗费用，确保医保制度的正常运转。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提高保障待遇水平 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随着医疗技术的发展和医疗费用的增长，通过县级配套资金的投入，有助于提高居民医保的人均财政补助标准，进而提高参保人员的医疗保障待遇，减轻他们的医疗费用负担。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扩大医保覆盖范围 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县级配套资金可以用于对困难群众参保的资助，如特困人员、孤儿、低保对象等，实现应保尽保，让更多的人能够享受到医保政策带来的福利，扩大医保的覆盖范围。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增强制度可持续性 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稳定的县级配套资金投入，能够增强城乡居民医疗保险制度的财务可持续性，使其能够应对人口老龄化、疾病谱变化等挑战，保障制度长期稳定发展。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促进社会公平与和谐：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通过县级配套资金的支持，能够使不同收入水平的居民都能享受到基本医疗保障，缩小城乡之间、不同群体之间在医疗保障方面的差距，促进社会公平与和谐稳定。</w:t>
            </w:r>
          </w:p>
        </w:tc>
      </w:tr>
      <w:tr w14:paraId="0883A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LrV"/>
            <w:vAlign w:val="top"/>
          </w:tcPr>
          <w:p w14:paraId="1ABA98AF">
            <w:pPr>
              <w:pStyle w:val="10"/>
              <w:spacing w:before="229" w:line="202" w:lineRule="auto"/>
              <w:ind w:left="204" w:leftChars="0" w:right="113" w:firstLine="241" w:firstLineChars="10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资 金 情 况（万元）</w:t>
            </w:r>
          </w:p>
        </w:tc>
        <w:tc>
          <w:tcPr>
            <w:tcW w:w="1807" w:type="dxa"/>
            <w:vAlign w:val="top"/>
          </w:tcPr>
          <w:p w14:paraId="41F20640">
            <w:pPr>
              <w:pStyle w:val="10"/>
              <w:spacing w:before="200" w:line="220" w:lineRule="auto"/>
              <w:ind w:left="18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预算安排资金</w:t>
            </w:r>
          </w:p>
        </w:tc>
        <w:tc>
          <w:tcPr>
            <w:tcW w:w="1983" w:type="dxa"/>
            <w:vAlign w:val="top"/>
          </w:tcPr>
          <w:p w14:paraId="2EE08C3F">
            <w:pPr>
              <w:pStyle w:val="10"/>
              <w:spacing w:before="238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246.4万元</w:t>
            </w:r>
          </w:p>
        </w:tc>
        <w:tc>
          <w:tcPr>
            <w:tcW w:w="1900" w:type="dxa"/>
            <w:gridSpan w:val="2"/>
            <w:vAlign w:val="top"/>
          </w:tcPr>
          <w:p w14:paraId="41C16993">
            <w:pPr>
              <w:pStyle w:val="10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实际到位资金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05DBC0B0">
            <w:pPr>
              <w:pStyle w:val="10"/>
              <w:spacing w:before="237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218.17万元</w:t>
            </w:r>
          </w:p>
        </w:tc>
      </w:tr>
      <w:tr w14:paraId="47414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E280996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4D05CF04">
            <w:pPr>
              <w:pStyle w:val="10"/>
              <w:spacing w:before="200" w:line="221" w:lineRule="auto"/>
              <w:ind w:left="116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1983" w:type="dxa"/>
            <w:vAlign w:val="top"/>
          </w:tcPr>
          <w:p w14:paraId="290B9AA6">
            <w:pPr>
              <w:pStyle w:val="10"/>
              <w:spacing w:before="24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gridSpan w:val="2"/>
            <w:vAlign w:val="top"/>
          </w:tcPr>
          <w:p w14:paraId="66105287">
            <w:pPr>
              <w:pStyle w:val="10"/>
              <w:spacing w:before="200" w:line="221" w:lineRule="auto"/>
              <w:ind w:left="127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1C1E23BB">
            <w:pPr>
              <w:pStyle w:val="10"/>
              <w:spacing w:before="240" w:beforeLines="0" w:afterLines="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</w:tr>
      <w:tr w14:paraId="0E60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86ED73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3B7E900E">
            <w:pPr>
              <w:pStyle w:val="10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1983" w:type="dxa"/>
            <w:vAlign w:val="top"/>
          </w:tcPr>
          <w:p w14:paraId="190C312A">
            <w:pPr>
              <w:pStyle w:val="10"/>
              <w:spacing w:before="240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246.4万元</w:t>
            </w:r>
          </w:p>
        </w:tc>
        <w:tc>
          <w:tcPr>
            <w:tcW w:w="1900" w:type="dxa"/>
            <w:gridSpan w:val="2"/>
            <w:vAlign w:val="top"/>
          </w:tcPr>
          <w:p w14:paraId="2DF377AF">
            <w:pPr>
              <w:pStyle w:val="10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3710645A">
            <w:pPr>
              <w:pStyle w:val="10"/>
              <w:spacing w:before="240" w:beforeLines="0" w:afterLines="0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218.17万元</w:t>
            </w:r>
          </w:p>
        </w:tc>
      </w:tr>
      <w:tr w14:paraId="4516D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239453F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6A7167D4">
            <w:pPr>
              <w:pStyle w:val="10"/>
              <w:spacing w:before="200" w:line="221" w:lineRule="auto"/>
              <w:ind w:left="193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实际支出资金</w:t>
            </w:r>
          </w:p>
        </w:tc>
        <w:tc>
          <w:tcPr>
            <w:tcW w:w="1983" w:type="dxa"/>
            <w:vAlign w:val="top"/>
          </w:tcPr>
          <w:p w14:paraId="64F54DE7">
            <w:pPr>
              <w:pStyle w:val="10"/>
              <w:spacing w:before="239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218.17万元</w:t>
            </w:r>
          </w:p>
        </w:tc>
        <w:tc>
          <w:tcPr>
            <w:tcW w:w="1900" w:type="dxa"/>
            <w:gridSpan w:val="2"/>
            <w:vAlign w:val="top"/>
          </w:tcPr>
          <w:p w14:paraId="5F8D6931">
            <w:pPr>
              <w:pStyle w:val="10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结转结余资金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5D763974">
            <w:pPr>
              <w:pStyle w:val="10"/>
              <w:spacing w:before="237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1F90A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3AEA6B58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0818A1CE">
            <w:pPr>
              <w:pStyle w:val="10"/>
              <w:spacing w:before="202" w:line="220" w:lineRule="auto"/>
              <w:ind w:left="30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预算执行率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center"/>
          </w:tcPr>
          <w:p w14:paraId="315F536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88.54</w:t>
            </w:r>
            <w:r>
              <w:rPr>
                <w:rFonts w:hint="eastAsia" w:ascii="Times New Roman" w:hAnsi="Times New Roman" w:eastAsia="仿宋_GB2312" w:cs="Times New Roman"/>
              </w:rPr>
              <w:t>%</w:t>
            </w:r>
          </w:p>
        </w:tc>
      </w:tr>
    </w:tbl>
    <w:p w14:paraId="11A13F72">
      <w:pPr>
        <w:spacing w:before="197" w:line="220" w:lineRule="auto"/>
        <w:ind w:left="3314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</w:p>
    <w:p w14:paraId="2D8EFB63">
      <w:pPr>
        <w:spacing w:before="197" w:line="220" w:lineRule="auto"/>
        <w:ind w:left="3314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</w:p>
    <w:p w14:paraId="3298B6A8">
      <w:pPr>
        <w:spacing w:before="197" w:line="220" w:lineRule="auto"/>
        <w:ind w:left="3314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二、部门绩效目标</w:t>
      </w:r>
    </w:p>
    <w:p w14:paraId="3728A160">
      <w:pPr>
        <w:spacing w:line="83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9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136"/>
      </w:tblGrid>
      <w:tr w14:paraId="00622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325593E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年度绩效</w:t>
            </w:r>
          </w:p>
          <w:p w14:paraId="6261B58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目标</w:t>
            </w:r>
          </w:p>
        </w:tc>
        <w:tc>
          <w:tcPr>
            <w:tcW w:w="7136" w:type="dxa"/>
            <w:tcBorders>
              <w:right w:val="nil"/>
            </w:tcBorders>
            <w:vAlign w:val="top"/>
          </w:tcPr>
          <w:p w14:paraId="51B0E060"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  <w:p w14:paraId="416BEDA2"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1.县级配套资金足额到位，预算执行率达到100%；</w:t>
            </w:r>
          </w:p>
          <w:p w14:paraId="4C2CC91E"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2.城乡居民参保率稳定在98%以上；</w:t>
            </w:r>
          </w:p>
          <w:p w14:paraId="3167C5A1"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3.医保基金支付及时率100%，参保居民住院费用政策范围内报销比例不低于70%；</w:t>
            </w:r>
          </w:p>
          <w:p w14:paraId="3A8BF3F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right="108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4.居民对医保政策满意度达到9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%以上。</w:t>
            </w:r>
          </w:p>
        </w:tc>
      </w:tr>
      <w:tr w14:paraId="40726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29" w:type="dxa"/>
            <w:gridSpan w:val="2"/>
            <w:tcBorders>
              <w:left w:val="nil"/>
              <w:right w:val="nil"/>
            </w:tcBorders>
            <w:vAlign w:val="top"/>
          </w:tcPr>
          <w:p w14:paraId="54E43F7D">
            <w:pPr>
              <w:pStyle w:val="10"/>
              <w:spacing w:before="222" w:line="219" w:lineRule="auto"/>
              <w:ind w:left="331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三、评价基本情况</w:t>
            </w:r>
          </w:p>
        </w:tc>
      </w:tr>
      <w:tr w14:paraId="03FFF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4635A4B6">
            <w:pPr>
              <w:pStyle w:val="10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评价范围</w:t>
            </w:r>
          </w:p>
        </w:tc>
        <w:tc>
          <w:tcPr>
            <w:tcW w:w="7136" w:type="dxa"/>
            <w:tcBorders>
              <w:right w:val="nil"/>
            </w:tcBorders>
            <w:vAlign w:val="center"/>
          </w:tcPr>
          <w:p w14:paraId="7C57A56E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评价对象为县医保局城乡居民医疗保险县级配套资金项目，范围涵盖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年度项目预算安排、资金使用、政策落实及效益实现情况，涉及全县所有参保居民及相关经办机构。</w:t>
            </w:r>
          </w:p>
        </w:tc>
      </w:tr>
    </w:tbl>
    <w:p w14:paraId="6D80B9A0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9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106"/>
      </w:tblGrid>
      <w:tr w14:paraId="30B54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A1272BF">
            <w:pPr>
              <w:pStyle w:val="1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评价依据</w:t>
            </w:r>
          </w:p>
        </w:tc>
        <w:tc>
          <w:tcPr>
            <w:tcW w:w="7106" w:type="dxa"/>
            <w:tcBorders>
              <w:right w:val="nil"/>
            </w:tcBorders>
            <w:vAlign w:val="top"/>
          </w:tcPr>
          <w:p w14:paraId="4BB91AED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 国家及省级关于城乡居民医疗保险的政策文件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《社会保险法》《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甘肃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省城乡居民医保基金管理办法》；</w:t>
            </w:r>
          </w:p>
          <w:p w14:paraId="516E1318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 县级财政预算管理制度、项目资金管理办法；</w:t>
            </w:r>
          </w:p>
          <w:p w14:paraId="18556EFF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 项目预算批复、资金拨付凭证、基金收支报表等财务资料；</w:t>
            </w:r>
          </w:p>
          <w:p w14:paraId="6CF8D892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4. 参保人数、报销人次、待遇支付标准等业务数据。</w:t>
            </w:r>
          </w:p>
        </w:tc>
      </w:tr>
      <w:tr w14:paraId="46B1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D0697B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绩效评价指标体系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39682EE7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 项目决策（权重20%）</w:t>
            </w:r>
          </w:p>
          <w:p w14:paraId="48B98FF5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指标：政策依据充分性（10分）、预算测算合理性（10分）；</w:t>
            </w:r>
          </w:p>
          <w:p w14:paraId="21B83093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评价标准：政策依据不符合得0分，部分符合得5分，完全符合得10分；预算测算误差≤5%得10分，5%-10%得5分，＞10%得0分；</w:t>
            </w:r>
          </w:p>
          <w:p w14:paraId="3FF7E740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数据来源：政策文件、预算测算报告，通过查阅资料收集证据。</w:t>
            </w:r>
          </w:p>
          <w:p w14:paraId="3A91D965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 项目过程（权重30%）</w:t>
            </w:r>
          </w:p>
          <w:p w14:paraId="67B87931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指标：资金拨付及时性（15分）、资金使用合规性（15分）；</w:t>
            </w:r>
          </w:p>
          <w:p w14:paraId="6CAD4AB5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评价标准：资金按计划拨付得15分，延迟≤10天得10分，延迟＞10天得0分；无违规使用得15分，存在违规但未造成损失得5分，造成损失得0分；</w:t>
            </w:r>
          </w:p>
          <w:p w14:paraId="345930E0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数据来源：拨款凭证、审计报告，通过财务核查收集证据。</w:t>
            </w:r>
          </w:p>
          <w:p w14:paraId="7E75CC46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 项目产出（权重25%）</w:t>
            </w:r>
          </w:p>
          <w:p w14:paraId="03DC886C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指标：参保率（10分）、待遇支付及时率（15分）；</w:t>
            </w:r>
          </w:p>
          <w:p w14:paraId="3937B734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评价标准：参保率≥98%得10分，95%-98%得5分，＜95%得0分；支付及时率100%得15分，＜100%得0分；</w:t>
            </w:r>
          </w:p>
          <w:p w14:paraId="6867D55D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数据来源：参保统计报表、报销记录，通过业务系统数据核实。</w:t>
            </w:r>
          </w:p>
          <w:p w14:paraId="223AA626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4. 项目效益（权重25%）</w:t>
            </w:r>
          </w:p>
          <w:p w14:paraId="20BA5A39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指标：居民满意度（15分）、基金可持续性（10分）；</w:t>
            </w:r>
          </w:p>
          <w:p w14:paraId="0F35BF28">
            <w:pPr>
              <w:pStyle w:val="2"/>
              <w:spacing w:line="240" w:lineRule="auto"/>
              <w:ind w:right="125"/>
              <w:rPr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评价标准：满意度≥90%得15分，80%-90%得10分，＜80%得0分；基金累计结余可支付月数≥6个月得10分，＜6个月得0分；</w:t>
            </w:r>
          </w:p>
          <w:p w14:paraId="3913785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480" w:firstLineChars="200"/>
              <w:jc w:val="left"/>
              <w:textAlignment w:val="baseline"/>
              <w:rPr>
                <w:spacing w:val="0"/>
              </w:rPr>
            </w:pPr>
          </w:p>
        </w:tc>
      </w:tr>
      <w:tr w14:paraId="2CC8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590B79C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评价方法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532BE00F">
            <w:pPr>
              <w:pStyle w:val="2"/>
              <w:spacing w:line="240" w:lineRule="auto"/>
              <w:ind w:right="125"/>
              <w:rPr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评价方法：采用定量与定性相结合、非现场评价与现场评价相结合的方法，包括文献研究法、数据分析法、问卷调查法、实地访谈法（走访乡镇医保经办点、定点医院及参保居民）。</w:t>
            </w:r>
          </w:p>
        </w:tc>
      </w:tr>
      <w:tr w14:paraId="5B64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43DFCB9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数据采集及处理办法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72C3B3C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  <w:p w14:paraId="2169B4D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  <w:p w14:paraId="58423AA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政策文件、预算测算报告，通过查阅资料收集证据。参保统计报表、报销记录，通过业务系统数据核实。</w:t>
            </w:r>
          </w:p>
          <w:p w14:paraId="6164833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28AE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7A26A08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绩效评价工作过程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7A442C8F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  <w:p w14:paraId="05F4638D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1.前期准备：成立评价小组，制定评价方案，收集政策文件、财务及业务资料，设计调查问卷和访谈提纲。</w:t>
            </w:r>
          </w:p>
          <w:p w14:paraId="2D66DA36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2.非现场评价：对预算报表、基金收支数据、参保信息等进行分析，梳理项目决策及过程合规性。</w:t>
            </w:r>
          </w:p>
          <w:p w14:paraId="75922BE3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3.现场评价：走访3个乡镇医保经办点、2家定点医院，随机访谈50名参保居民，核实资金使用及待遇落实情况。</w:t>
            </w:r>
          </w:p>
          <w:p w14:paraId="0D4A8A91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4.综合分析：结合非现场与现场评价结果，对照指标体系打分，分析存在的问题。</w:t>
            </w:r>
          </w:p>
          <w:p w14:paraId="4E3422AB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5.报告撰写：汇总评价数据，形成评价结论，提出建议，完成报告初稿并征求相关单位意见后定稿。</w:t>
            </w:r>
          </w:p>
          <w:p w14:paraId="01A3F338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  <w:p w14:paraId="2FB7CC3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spacing w:val="0"/>
              </w:rPr>
            </w:pPr>
          </w:p>
        </w:tc>
      </w:tr>
    </w:tbl>
    <w:p w14:paraId="12ABA30F">
      <w:pPr>
        <w:pStyle w:val="2"/>
        <w:spacing w:before="238" w:line="219" w:lineRule="auto"/>
        <w:jc w:val="center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四、评价结论和绩效分析</w:t>
      </w:r>
    </w:p>
    <w:p w14:paraId="5945FE5F">
      <w:pPr>
        <w:spacing w:line="124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9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57"/>
        <w:gridCol w:w="1109"/>
        <w:gridCol w:w="1095"/>
        <w:gridCol w:w="1065"/>
        <w:gridCol w:w="1110"/>
        <w:gridCol w:w="1110"/>
        <w:gridCol w:w="1481"/>
      </w:tblGrid>
      <w:tr w14:paraId="40B15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2" w:type="dxa"/>
            <w:tcBorders>
              <w:left w:val="nil"/>
            </w:tcBorders>
            <w:vAlign w:val="top"/>
          </w:tcPr>
          <w:p w14:paraId="08AA7ECA">
            <w:pPr>
              <w:pStyle w:val="10"/>
              <w:spacing w:before="117" w:line="220" w:lineRule="auto"/>
              <w:ind w:left="14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-6"/>
              </w:rPr>
              <w:t>综合评价结论</w:t>
            </w:r>
          </w:p>
        </w:tc>
        <w:tc>
          <w:tcPr>
            <w:tcW w:w="1966" w:type="dxa"/>
            <w:gridSpan w:val="2"/>
            <w:vAlign w:val="center"/>
          </w:tcPr>
          <w:p w14:paraId="45670BCB">
            <w:pPr>
              <w:pStyle w:val="10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评价得分</w:t>
            </w:r>
          </w:p>
        </w:tc>
        <w:tc>
          <w:tcPr>
            <w:tcW w:w="3270" w:type="dxa"/>
            <w:gridSpan w:val="3"/>
            <w:vAlign w:val="center"/>
          </w:tcPr>
          <w:p w14:paraId="2D1E3793">
            <w:pPr>
              <w:pStyle w:val="10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  <w:p w14:paraId="0D5E9CB2">
            <w:pPr>
              <w:pStyle w:val="10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92</w:t>
            </w:r>
          </w:p>
          <w:p w14:paraId="0D8C4482">
            <w:pPr>
              <w:pStyle w:val="10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722B496">
            <w:pPr>
              <w:pStyle w:val="10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评价等级</w:t>
            </w:r>
          </w:p>
        </w:tc>
        <w:tc>
          <w:tcPr>
            <w:tcW w:w="1481" w:type="dxa"/>
            <w:tcBorders>
              <w:right w:val="nil"/>
            </w:tcBorders>
            <w:vAlign w:val="center"/>
          </w:tcPr>
          <w:p w14:paraId="4C4589FA">
            <w:pPr>
              <w:pStyle w:val="10"/>
              <w:spacing w:before="78" w:line="182" w:lineRule="auto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  <w:p w14:paraId="6BE09941">
            <w:pPr>
              <w:pStyle w:val="10"/>
              <w:spacing w:before="78" w:line="183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优秀</w:t>
            </w:r>
          </w:p>
          <w:p w14:paraId="66253B33">
            <w:pPr>
              <w:pStyle w:val="10"/>
              <w:spacing w:before="78" w:line="182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55DD8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vAlign w:val="top"/>
          </w:tcPr>
          <w:p w14:paraId="573773EA"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4B231BE8">
            <w:pPr>
              <w:pStyle w:val="10"/>
              <w:spacing w:before="78" w:line="220" w:lineRule="auto"/>
              <w:jc w:val="center"/>
              <w:rPr>
                <w:rFonts w:hint="eastAsia"/>
                <w:b/>
                <w:bCs/>
                <w:spacing w:val="-6"/>
                <w:lang w:eastAsia="zh-CN"/>
              </w:rPr>
            </w:pPr>
          </w:p>
          <w:p w14:paraId="193A2183">
            <w:pPr>
              <w:pStyle w:val="10"/>
              <w:spacing w:before="78" w:line="220" w:lineRule="auto"/>
              <w:jc w:val="center"/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绩</w:t>
            </w:r>
            <w:r>
              <w:rPr>
                <w:b/>
                <w:bCs/>
                <w:spacing w:val="-6"/>
              </w:rPr>
              <w:t>效</w:t>
            </w:r>
          </w:p>
          <w:p w14:paraId="4257DBB2">
            <w:pPr>
              <w:pStyle w:val="10"/>
              <w:spacing w:before="78" w:line="230" w:lineRule="auto"/>
              <w:ind w:right="109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分析</w:t>
            </w:r>
          </w:p>
        </w:tc>
        <w:tc>
          <w:tcPr>
            <w:tcW w:w="857" w:type="dxa"/>
            <w:vAlign w:val="center"/>
          </w:tcPr>
          <w:p w14:paraId="4DFEE862">
            <w:pPr>
              <w:pStyle w:val="10"/>
              <w:spacing w:before="78" w:line="221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指标</w:t>
            </w:r>
          </w:p>
        </w:tc>
        <w:tc>
          <w:tcPr>
            <w:tcW w:w="1109" w:type="dxa"/>
            <w:vAlign w:val="top"/>
          </w:tcPr>
          <w:p w14:paraId="6FA6F1B0">
            <w:pPr>
              <w:pStyle w:val="10"/>
              <w:spacing w:before="253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spacing w:val="-5"/>
              </w:rPr>
              <w:t>决策</w:t>
            </w:r>
          </w:p>
        </w:tc>
        <w:tc>
          <w:tcPr>
            <w:tcW w:w="1095" w:type="dxa"/>
            <w:vAlign w:val="top"/>
          </w:tcPr>
          <w:p w14:paraId="5282F746">
            <w:pPr>
              <w:pStyle w:val="10"/>
              <w:spacing w:before="254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spacing w:val="-3"/>
              </w:rPr>
              <w:t>过程</w:t>
            </w:r>
          </w:p>
        </w:tc>
        <w:tc>
          <w:tcPr>
            <w:tcW w:w="1065" w:type="dxa"/>
            <w:vAlign w:val="top"/>
          </w:tcPr>
          <w:p w14:paraId="1113C672">
            <w:pPr>
              <w:pStyle w:val="10"/>
              <w:spacing w:before="253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spacing w:val="-3"/>
              </w:rPr>
              <w:t>产出</w:t>
            </w:r>
          </w:p>
        </w:tc>
        <w:tc>
          <w:tcPr>
            <w:tcW w:w="1110" w:type="dxa"/>
            <w:vAlign w:val="top"/>
          </w:tcPr>
          <w:p w14:paraId="690BEEBF">
            <w:pPr>
              <w:pStyle w:val="10"/>
              <w:spacing w:before="254" w:line="220" w:lineRule="auto"/>
              <w:ind w:left="284" w:leftChars="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spacing w:val="-4"/>
              </w:rPr>
              <w:t>效益</w:t>
            </w:r>
          </w:p>
        </w:tc>
        <w:tc>
          <w:tcPr>
            <w:tcW w:w="2591" w:type="dxa"/>
            <w:gridSpan w:val="2"/>
            <w:tcBorders>
              <w:right w:val="nil"/>
            </w:tcBorders>
            <w:vAlign w:val="center"/>
          </w:tcPr>
          <w:p w14:paraId="2DB24984">
            <w:pPr>
              <w:pStyle w:val="10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49D5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5D5C8174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857" w:type="dxa"/>
            <w:vAlign w:val="top"/>
          </w:tcPr>
          <w:p w14:paraId="077BB81C">
            <w:pPr>
              <w:pStyle w:val="10"/>
              <w:spacing w:before="174" w:line="284" w:lineRule="auto"/>
              <w:ind w:left="304" w:right="169" w:hanging="11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得分率</w:t>
            </w:r>
          </w:p>
        </w:tc>
        <w:tc>
          <w:tcPr>
            <w:tcW w:w="1109" w:type="dxa"/>
            <w:vAlign w:val="center"/>
          </w:tcPr>
          <w:p w14:paraId="410E4AED">
            <w:pPr>
              <w:pStyle w:val="10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19%</w:t>
            </w:r>
          </w:p>
        </w:tc>
        <w:tc>
          <w:tcPr>
            <w:tcW w:w="1095" w:type="dxa"/>
            <w:vAlign w:val="center"/>
          </w:tcPr>
          <w:p w14:paraId="17299B93">
            <w:pPr>
              <w:pStyle w:val="10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28%</w:t>
            </w:r>
          </w:p>
        </w:tc>
        <w:tc>
          <w:tcPr>
            <w:tcW w:w="1065" w:type="dxa"/>
            <w:vAlign w:val="center"/>
          </w:tcPr>
          <w:p w14:paraId="6BDA2AA6">
            <w:pPr>
              <w:pStyle w:val="10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110" w:type="dxa"/>
            <w:vAlign w:val="center"/>
          </w:tcPr>
          <w:p w14:paraId="6B7C5C6B">
            <w:pPr>
              <w:pStyle w:val="10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2591" w:type="dxa"/>
            <w:gridSpan w:val="2"/>
            <w:tcBorders>
              <w:right w:val="nil"/>
            </w:tcBorders>
            <w:vAlign w:val="center"/>
          </w:tcPr>
          <w:p w14:paraId="0614FB7D">
            <w:pPr>
              <w:pStyle w:val="10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92</w:t>
            </w:r>
          </w:p>
        </w:tc>
      </w:tr>
    </w:tbl>
    <w:p w14:paraId="36744E36">
      <w:pPr>
        <w:pStyle w:val="2"/>
        <w:spacing w:before="238" w:line="219" w:lineRule="auto"/>
        <w:jc w:val="both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</w:p>
    <w:p w14:paraId="12F5AC03">
      <w:pPr>
        <w:pStyle w:val="2"/>
        <w:spacing w:before="238" w:line="219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五、存在的问题</w:t>
      </w:r>
    </w:p>
    <w:p w14:paraId="010E9CDE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9"/>
        <w:tblW w:w="8530" w:type="dxa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0"/>
      </w:tblGrid>
      <w:tr w14:paraId="1492D39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6784C995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1.部分地区服务便利性不足：偏远地区居民反映门诊报销需多次跑路，原因是基层经办点人员不足，线上报销操作指引不够清晰。</w:t>
            </w:r>
          </w:p>
          <w:p w14:paraId="0D5A7F28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2.居民满意度未达预期：主要因部分慢性病患者对特殊病种报销范围有更高需求，而当前政策受基金承受能力限制，暂未扩大覆盖范围。</w:t>
            </w:r>
          </w:p>
          <w:p w14:paraId="05E83BC5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3.预算测算精准度待提升：参保人数增长率预估偏差源于人口流动数据更新不及时，影响预算前瞻性。</w:t>
            </w:r>
          </w:p>
        </w:tc>
      </w:tr>
      <w:tr w14:paraId="7810094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631C7164">
            <w:pPr>
              <w:pStyle w:val="10"/>
              <w:spacing w:before="193" w:line="220" w:lineRule="auto"/>
              <w:ind w:left="3312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六、有关意见建议</w:t>
            </w:r>
          </w:p>
        </w:tc>
      </w:tr>
      <w:tr w14:paraId="35FA2F90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0BFCF91E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1.优化基层服务能力：增加偏远地区经办点人员编制，开展线上报销操作培训，制作简易指引手册，简化门诊报销流程。</w:t>
            </w:r>
          </w:p>
          <w:p w14:paraId="26BA4928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2.动态调整保障政策：结合基金结余情况，逐步扩大特殊病种门诊报销范围，定期调研居民需求，建立待遇调整长效机制。</w:t>
            </w:r>
          </w:p>
          <w:p w14:paraId="7191E9EB">
            <w:pPr>
              <w:pStyle w:val="2"/>
              <w:spacing w:line="240" w:lineRule="auto"/>
              <w:ind w:right="12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3.提升预算测算精度：加强与公安、民政部门数据共享，建立参保人数动态监测模型，提高预算与实际需求的匹配度。</w:t>
            </w:r>
          </w:p>
        </w:tc>
      </w:tr>
      <w:tr w14:paraId="2F22F6A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45915C0D">
            <w:pPr>
              <w:pStyle w:val="10"/>
              <w:spacing w:before="239" w:line="220" w:lineRule="auto"/>
              <w:ind w:left="319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七、</w:t>
            </w:r>
            <w:r>
              <w:rPr>
                <w:b/>
                <w:bCs/>
                <w:spacing w:val="0"/>
              </w:rPr>
              <w:t>其他需要说明的事项</w:t>
            </w:r>
          </w:p>
        </w:tc>
      </w:tr>
      <w:tr w14:paraId="56BE602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619FA87F">
            <w:pPr>
              <w:pStyle w:val="10"/>
              <w:spacing w:before="116" w:beforeLines="0" w:afterLines="0" w:line="306" w:lineRule="auto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7BDAA81C">
      <w:pP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sectPr>
      <w:footerReference r:id="rId5" w:type="default"/>
      <w:pgSz w:w="11906" w:h="16839"/>
      <w:pgMar w:top="1431" w:right="1687" w:bottom="1170" w:left="1688" w:header="0" w:footer="97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7AAC">
    <w:pPr>
      <w:pStyle w:val="2"/>
      <w:spacing w:line="179" w:lineRule="auto"/>
      <w:ind w:left="4020"/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E31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E31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0A566D5"/>
    <w:rsid w:val="02C74013"/>
    <w:rsid w:val="02E1776D"/>
    <w:rsid w:val="049C7DEF"/>
    <w:rsid w:val="058663AA"/>
    <w:rsid w:val="067E2E92"/>
    <w:rsid w:val="067E3AD6"/>
    <w:rsid w:val="07A86AAB"/>
    <w:rsid w:val="07BC4304"/>
    <w:rsid w:val="09B554AF"/>
    <w:rsid w:val="0B61769D"/>
    <w:rsid w:val="0C152235"/>
    <w:rsid w:val="0C8F3D96"/>
    <w:rsid w:val="11A57E6D"/>
    <w:rsid w:val="12C329EB"/>
    <w:rsid w:val="16A06327"/>
    <w:rsid w:val="19AC41D9"/>
    <w:rsid w:val="1D5242DB"/>
    <w:rsid w:val="20FA3A7C"/>
    <w:rsid w:val="226B2757"/>
    <w:rsid w:val="23264FFC"/>
    <w:rsid w:val="236D2C2B"/>
    <w:rsid w:val="248A3369"/>
    <w:rsid w:val="2E206AEC"/>
    <w:rsid w:val="2ECE4F53"/>
    <w:rsid w:val="300E12C4"/>
    <w:rsid w:val="30640F12"/>
    <w:rsid w:val="33707BCD"/>
    <w:rsid w:val="33723946"/>
    <w:rsid w:val="337B2999"/>
    <w:rsid w:val="35E82F17"/>
    <w:rsid w:val="3B6E70E8"/>
    <w:rsid w:val="3BE253E0"/>
    <w:rsid w:val="3C28373B"/>
    <w:rsid w:val="3C5F1085"/>
    <w:rsid w:val="3E572742"/>
    <w:rsid w:val="43EE7018"/>
    <w:rsid w:val="455F19D3"/>
    <w:rsid w:val="46596265"/>
    <w:rsid w:val="4703102D"/>
    <w:rsid w:val="47422245"/>
    <w:rsid w:val="48904B42"/>
    <w:rsid w:val="4BDB1FCD"/>
    <w:rsid w:val="530F0D59"/>
    <w:rsid w:val="5A2E5F69"/>
    <w:rsid w:val="5BE30FD5"/>
    <w:rsid w:val="5CB62246"/>
    <w:rsid w:val="5E1436C8"/>
    <w:rsid w:val="5E8124E4"/>
    <w:rsid w:val="5F3C1128"/>
    <w:rsid w:val="6913481E"/>
    <w:rsid w:val="6DA700B4"/>
    <w:rsid w:val="706E686D"/>
    <w:rsid w:val="710C4507"/>
    <w:rsid w:val="74D86DA5"/>
    <w:rsid w:val="77D36C3E"/>
    <w:rsid w:val="788A485A"/>
    <w:rsid w:val="7C4116D4"/>
    <w:rsid w:val="7C8021FC"/>
    <w:rsid w:val="7DCA74A7"/>
    <w:rsid w:val="7DE92023"/>
    <w:rsid w:val="7E3C027A"/>
    <w:rsid w:val="7F000CBE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277</Words>
  <Characters>286</Characters>
  <TotalTime>0</TotalTime>
  <ScaleCrop>false</ScaleCrop>
  <LinksUpToDate>false</LinksUpToDate>
  <CharactersWithSpaces>296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2024-11-27T14:55:00Z</dcterms:created>
  <dc:creator>Windows 用户</dc:creator>
  <cp:lastModifiedBy>A2     Eddy</cp:lastModifiedBy>
  <dcterms:modified xsi:type="dcterms:W3CDTF">2025-09-19T06:31:23Z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2024-12-05T15:11:16Z</vt:filetime>
  </property>
  <property fmtid="{D5CDD505-2E9C-101B-9397-08002B2CF9AE}" pid="4" name="KSOProductBuildVer">
    <vt:lpwstr>2052-12.1.0.22529</vt:lpwstr>
  </property>
  <property fmtid="{D5CDD505-2E9C-101B-9397-08002B2CF9AE}" pid="5" name="ICV">
    <vt:lpwstr>AE0FB40AADB047AEAE1F8147CB01E49B_13</vt:lpwstr>
  </property>
  <property fmtid="{D5CDD505-2E9C-101B-9397-08002B2CF9AE}" pid="6" name="KSOTemplateDocerSaveRecord">
    <vt:lpwstr>eyJoZGlkIjoiZTc5NDM3ZjAxMTBkYWQzYTUyMzI4MTQzN2FmODE2NzQiLCJ1c2VySWQiOiIzNTQzMTU5NzQifQ==</vt:lpwstr>
  </property>
</Properties>
</file>