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8520D">
      <w:pPr>
        <w:spacing w:before="85" w:line="492" w:lineRule="exact"/>
        <w:jc w:val="center"/>
        <w:outlineLvl w:val="0"/>
        <w:rPr>
          <w:rFonts w:hint="eastAsia" w:asciiTheme="minorEastAsia" w:hAnsiTheme="minorEastAsia" w:eastAsiaTheme="minorEastAsia" w:cstheme="minorEastAsia"/>
          <w:b/>
          <w:bCs/>
          <w:spacing w:val="0"/>
          <w:position w:val="2"/>
          <w:sz w:val="36"/>
          <w:szCs w:val="36"/>
        </w:rPr>
      </w:pPr>
      <w:r>
        <w:rPr>
          <w:rFonts w:hint="eastAsia" w:asciiTheme="minorEastAsia" w:hAnsiTheme="minorEastAsia" w:eastAsiaTheme="minorEastAsia" w:cstheme="minorEastAsia"/>
          <w:b/>
          <w:bCs/>
          <w:spacing w:val="0"/>
          <w:position w:val="2"/>
          <w:sz w:val="36"/>
          <w:szCs w:val="36"/>
          <w:lang w:eastAsia="zh-CN"/>
        </w:rPr>
        <w:t>合水县</w:t>
      </w:r>
      <w:r>
        <w:rPr>
          <w:rFonts w:hint="eastAsia" w:asciiTheme="minorEastAsia" w:hAnsiTheme="minorEastAsia" w:eastAsiaTheme="minorEastAsia" w:cstheme="minorEastAsia"/>
          <w:b/>
          <w:bCs/>
          <w:spacing w:val="0"/>
          <w:position w:val="2"/>
          <w:sz w:val="36"/>
          <w:szCs w:val="36"/>
          <w:lang w:val="en-US" w:eastAsia="zh-CN"/>
        </w:rPr>
        <w:t>医疗保障局</w:t>
      </w:r>
      <w:r>
        <w:rPr>
          <w:rFonts w:hint="eastAsia" w:asciiTheme="minorEastAsia" w:hAnsiTheme="minorEastAsia" w:eastAsiaTheme="minorEastAsia" w:cstheme="minorEastAsia"/>
          <w:b/>
          <w:bCs/>
          <w:spacing w:val="0"/>
          <w:position w:val="2"/>
          <w:sz w:val="36"/>
          <w:szCs w:val="36"/>
        </w:rPr>
        <w:t>部门整体支出</w:t>
      </w:r>
    </w:p>
    <w:p w14:paraId="688B9A51">
      <w:pPr>
        <w:spacing w:before="85" w:line="492" w:lineRule="exact"/>
        <w:jc w:val="center"/>
        <w:outlineLvl w:val="0"/>
        <w:rPr>
          <w:rFonts w:hint="eastAsia" w:asciiTheme="minorEastAsia" w:hAnsiTheme="minorEastAsia" w:eastAsiaTheme="minorEastAsia" w:cstheme="minorEastAsia"/>
          <w:spacing w:val="0"/>
          <w:sz w:val="36"/>
          <w:szCs w:val="36"/>
        </w:rPr>
      </w:pPr>
      <w:r>
        <w:rPr>
          <w:rFonts w:hint="eastAsia" w:asciiTheme="minorEastAsia" w:hAnsiTheme="minorEastAsia" w:eastAsiaTheme="minorEastAsia" w:cstheme="minorEastAsia"/>
          <w:b/>
          <w:bCs/>
          <w:spacing w:val="0"/>
          <w:position w:val="2"/>
          <w:sz w:val="36"/>
          <w:szCs w:val="36"/>
        </w:rPr>
        <w:t>绩效评价报告</w:t>
      </w:r>
    </w:p>
    <w:p w14:paraId="2877EE77">
      <w:pPr>
        <w:spacing w:line="55"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807"/>
        <w:gridCol w:w="1983"/>
        <w:gridCol w:w="1786"/>
        <w:gridCol w:w="114"/>
        <w:gridCol w:w="2137"/>
      </w:tblGrid>
      <w:tr w14:paraId="23D57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29" w:type="dxa"/>
            <w:gridSpan w:val="6"/>
            <w:tcBorders>
              <w:left w:val="nil"/>
              <w:bottom w:val="nil"/>
              <w:right w:val="nil"/>
            </w:tcBorders>
            <w:vAlign w:val="center"/>
          </w:tcPr>
          <w:p w14:paraId="6E4CB95B">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一、项目基本情况</w:t>
            </w:r>
          </w:p>
        </w:tc>
      </w:tr>
      <w:tr w14:paraId="5CD06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2" w:type="dxa"/>
            <w:vMerge w:val="restart"/>
            <w:tcBorders>
              <w:left w:val="nil"/>
              <w:bottom w:val="nil"/>
            </w:tcBorders>
            <w:textDirection w:val="tbRlV"/>
            <w:vAlign w:val="top"/>
          </w:tcPr>
          <w:p w14:paraId="75D206E8">
            <w:pPr>
              <w:pStyle w:val="10"/>
              <w:spacing w:before="229" w:line="209" w:lineRule="auto"/>
              <w:ind w:left="552"/>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基</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本</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情</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况</w:t>
            </w:r>
          </w:p>
        </w:tc>
        <w:tc>
          <w:tcPr>
            <w:tcW w:w="1807" w:type="dxa"/>
            <w:vAlign w:val="top"/>
          </w:tcPr>
          <w:p w14:paraId="72555EE4">
            <w:pPr>
              <w:pStyle w:val="10"/>
              <w:spacing w:before="201" w:line="221" w:lineRule="auto"/>
              <w:ind w:left="43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项目名称</w:t>
            </w:r>
          </w:p>
        </w:tc>
        <w:tc>
          <w:tcPr>
            <w:tcW w:w="6020" w:type="dxa"/>
            <w:gridSpan w:val="4"/>
            <w:tcBorders>
              <w:right w:val="nil"/>
            </w:tcBorders>
            <w:vAlign w:val="top"/>
          </w:tcPr>
          <w:p w14:paraId="74F7AC73">
            <w:pPr>
              <w:pStyle w:val="10"/>
              <w:spacing w:before="201" w:line="219" w:lineRule="auto"/>
              <w:ind w:left="85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w:t>
            </w:r>
            <w:r>
              <w:rPr>
                <w:rFonts w:hint="eastAsia" w:asciiTheme="minorEastAsia" w:hAnsiTheme="minorEastAsia" w:eastAsiaTheme="minorEastAsia" w:cstheme="minorEastAsia"/>
                <w:spacing w:val="0"/>
                <w:sz w:val="24"/>
                <w:szCs w:val="24"/>
                <w:lang w:val="en-US" w:eastAsia="zh-CN"/>
              </w:rPr>
              <w:t>医疗保障局</w:t>
            </w:r>
            <w:r>
              <w:rPr>
                <w:rFonts w:hint="eastAsia" w:asciiTheme="minorEastAsia" w:hAnsiTheme="minorEastAsia" w:eastAsiaTheme="minorEastAsia" w:cstheme="minorEastAsia"/>
                <w:spacing w:val="0"/>
                <w:sz w:val="24"/>
                <w:szCs w:val="24"/>
              </w:rPr>
              <w:t>部门整体支出绩效评价</w:t>
            </w:r>
          </w:p>
        </w:tc>
      </w:tr>
      <w:tr w14:paraId="649E7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continue"/>
            <w:tcBorders>
              <w:top w:val="nil"/>
              <w:left w:val="nil"/>
              <w:bottom w:val="nil"/>
            </w:tcBorders>
            <w:textDirection w:val="tbRlV"/>
            <w:vAlign w:val="top"/>
          </w:tcPr>
          <w:p w14:paraId="6F7B67CA">
            <w:pPr>
              <w:rPr>
                <w:rFonts w:hint="eastAsia" w:asciiTheme="minorEastAsia" w:hAnsiTheme="minorEastAsia" w:eastAsiaTheme="minorEastAsia" w:cstheme="minorEastAsia"/>
                <w:spacing w:val="0"/>
                <w:sz w:val="24"/>
                <w:szCs w:val="24"/>
              </w:rPr>
            </w:pPr>
          </w:p>
        </w:tc>
        <w:tc>
          <w:tcPr>
            <w:tcW w:w="1807" w:type="dxa"/>
            <w:vAlign w:val="top"/>
          </w:tcPr>
          <w:p w14:paraId="2EA19E04">
            <w:pPr>
              <w:pStyle w:val="10"/>
              <w:spacing w:before="198" w:line="219" w:lineRule="auto"/>
              <w:ind w:left="42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评价年度</w:t>
            </w:r>
          </w:p>
        </w:tc>
        <w:tc>
          <w:tcPr>
            <w:tcW w:w="1983" w:type="dxa"/>
            <w:vAlign w:val="top"/>
          </w:tcPr>
          <w:p w14:paraId="0329762F">
            <w:pPr>
              <w:pStyle w:val="10"/>
              <w:spacing w:before="199" w:line="220" w:lineRule="auto"/>
              <w:ind w:left="475"/>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202</w:t>
            </w: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rPr>
              <w:t>年度</w:t>
            </w:r>
          </w:p>
        </w:tc>
        <w:tc>
          <w:tcPr>
            <w:tcW w:w="1786" w:type="dxa"/>
            <w:vAlign w:val="top"/>
          </w:tcPr>
          <w:p w14:paraId="4C578508">
            <w:pPr>
              <w:pStyle w:val="10"/>
              <w:spacing w:before="198" w:line="219" w:lineRule="auto"/>
              <w:ind w:left="40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评价类型</w:t>
            </w:r>
          </w:p>
        </w:tc>
        <w:tc>
          <w:tcPr>
            <w:tcW w:w="2251" w:type="dxa"/>
            <w:gridSpan w:val="2"/>
            <w:tcBorders>
              <w:right w:val="nil"/>
            </w:tcBorders>
            <w:vAlign w:val="top"/>
          </w:tcPr>
          <w:p w14:paraId="224F3882">
            <w:pPr>
              <w:pStyle w:val="10"/>
              <w:spacing w:before="198" w:line="219" w:lineRule="auto"/>
              <w:ind w:left="645"/>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部门</w:t>
            </w:r>
            <w:r>
              <w:rPr>
                <w:rFonts w:hint="eastAsia" w:asciiTheme="minorEastAsia" w:hAnsiTheme="minorEastAsia" w:eastAsiaTheme="minorEastAsia" w:cstheme="minorEastAsia"/>
                <w:spacing w:val="0"/>
                <w:sz w:val="24"/>
                <w:szCs w:val="24"/>
              </w:rPr>
              <w:t>评价</w:t>
            </w:r>
          </w:p>
        </w:tc>
      </w:tr>
      <w:tr w14:paraId="3C413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02" w:type="dxa"/>
            <w:vMerge w:val="continue"/>
            <w:tcBorders>
              <w:top w:val="nil"/>
              <w:left w:val="nil"/>
              <w:bottom w:val="nil"/>
            </w:tcBorders>
            <w:textDirection w:val="tbRlV"/>
            <w:vAlign w:val="top"/>
          </w:tcPr>
          <w:p w14:paraId="39E1F17B">
            <w:pPr>
              <w:rPr>
                <w:rFonts w:hint="eastAsia" w:asciiTheme="minorEastAsia" w:hAnsiTheme="minorEastAsia" w:eastAsiaTheme="minorEastAsia" w:cstheme="minorEastAsia"/>
                <w:spacing w:val="0"/>
                <w:sz w:val="24"/>
                <w:szCs w:val="24"/>
              </w:rPr>
            </w:pPr>
          </w:p>
        </w:tc>
        <w:tc>
          <w:tcPr>
            <w:tcW w:w="1807" w:type="dxa"/>
            <w:vAlign w:val="top"/>
          </w:tcPr>
          <w:p w14:paraId="64C60D4E">
            <w:pPr>
              <w:pStyle w:val="10"/>
              <w:spacing w:before="285"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委托评价单位</w:t>
            </w:r>
          </w:p>
        </w:tc>
        <w:tc>
          <w:tcPr>
            <w:tcW w:w="1983" w:type="dxa"/>
            <w:vAlign w:val="top"/>
          </w:tcPr>
          <w:p w14:paraId="5290E408">
            <w:pPr>
              <w:pStyle w:val="10"/>
              <w:spacing w:before="286" w:line="219" w:lineRule="auto"/>
              <w:ind w:left="27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县财政局</w:t>
            </w:r>
          </w:p>
        </w:tc>
        <w:tc>
          <w:tcPr>
            <w:tcW w:w="1786" w:type="dxa"/>
            <w:vAlign w:val="top"/>
          </w:tcPr>
          <w:p w14:paraId="6F2F0719">
            <w:pPr>
              <w:pStyle w:val="10"/>
              <w:spacing w:before="285" w:line="219" w:lineRule="auto"/>
              <w:ind w:left="16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评价机构名称</w:t>
            </w:r>
          </w:p>
        </w:tc>
        <w:tc>
          <w:tcPr>
            <w:tcW w:w="2251" w:type="dxa"/>
            <w:gridSpan w:val="2"/>
            <w:tcBorders>
              <w:right w:val="nil"/>
            </w:tcBorders>
            <w:vAlign w:val="top"/>
          </w:tcPr>
          <w:p w14:paraId="686254E5">
            <w:pPr>
              <w:pStyle w:val="10"/>
              <w:spacing w:before="96" w:line="229" w:lineRule="auto"/>
              <w:ind w:right="292"/>
              <w:jc w:val="center"/>
              <w:rPr>
                <w:rFonts w:hint="eastAsia" w:asciiTheme="minorEastAsia" w:hAnsiTheme="minorEastAsia" w:eastAsiaTheme="minorEastAsia" w:cstheme="minorEastAsia"/>
                <w:spacing w:val="0"/>
                <w:sz w:val="24"/>
                <w:szCs w:val="24"/>
              </w:rPr>
            </w:pPr>
          </w:p>
        </w:tc>
      </w:tr>
      <w:tr w14:paraId="6499B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02" w:type="dxa"/>
            <w:vMerge w:val="continue"/>
            <w:tcBorders>
              <w:top w:val="nil"/>
              <w:left w:val="nil"/>
            </w:tcBorders>
            <w:textDirection w:val="tbRlV"/>
            <w:vAlign w:val="top"/>
          </w:tcPr>
          <w:p w14:paraId="287D7E1E">
            <w:pPr>
              <w:rPr>
                <w:rFonts w:hint="eastAsia" w:asciiTheme="minorEastAsia" w:hAnsiTheme="minorEastAsia" w:eastAsiaTheme="minorEastAsia" w:cstheme="minorEastAsia"/>
                <w:spacing w:val="0"/>
                <w:sz w:val="24"/>
                <w:szCs w:val="24"/>
              </w:rPr>
            </w:pPr>
          </w:p>
        </w:tc>
        <w:tc>
          <w:tcPr>
            <w:tcW w:w="1807" w:type="dxa"/>
            <w:vAlign w:val="top"/>
          </w:tcPr>
          <w:p w14:paraId="12295708">
            <w:pPr>
              <w:pStyle w:val="10"/>
              <w:spacing w:before="197"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评价对象名称</w:t>
            </w:r>
          </w:p>
        </w:tc>
        <w:tc>
          <w:tcPr>
            <w:tcW w:w="6020" w:type="dxa"/>
            <w:gridSpan w:val="4"/>
            <w:tcBorders>
              <w:right w:val="nil"/>
            </w:tcBorders>
            <w:vAlign w:val="top"/>
          </w:tcPr>
          <w:p w14:paraId="01CA1CD3">
            <w:pPr>
              <w:pStyle w:val="10"/>
              <w:spacing w:before="198" w:line="219" w:lineRule="auto"/>
              <w:ind w:firstLine="720" w:firstLineChars="300"/>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w:t>
            </w:r>
            <w:r>
              <w:rPr>
                <w:rFonts w:hint="eastAsia" w:asciiTheme="minorEastAsia" w:hAnsiTheme="minorEastAsia" w:eastAsiaTheme="minorEastAsia" w:cstheme="minorEastAsia"/>
                <w:spacing w:val="0"/>
                <w:sz w:val="24"/>
                <w:szCs w:val="24"/>
                <w:lang w:val="en-US" w:eastAsia="zh-CN"/>
              </w:rPr>
              <w:t>医疗保障局2024年度整体支持</w:t>
            </w:r>
          </w:p>
        </w:tc>
      </w:tr>
      <w:tr w14:paraId="4DBF5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702" w:type="dxa"/>
            <w:tcBorders>
              <w:left w:val="nil"/>
            </w:tcBorders>
            <w:textDirection w:val="tbRlV"/>
            <w:vAlign w:val="top"/>
          </w:tcPr>
          <w:p w14:paraId="3218D0BA">
            <w:pPr>
              <w:pStyle w:val="10"/>
              <w:spacing w:before="229" w:line="202" w:lineRule="auto"/>
              <w:ind w:left="20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实</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施</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position w:val="1"/>
                <w:sz w:val="24"/>
                <w:szCs w:val="24"/>
              </w:rPr>
              <w:t>目</w:t>
            </w:r>
            <w:r>
              <w:rPr>
                <w:rFonts w:hint="eastAsia" w:asciiTheme="minorEastAsia" w:hAnsiTheme="minorEastAsia" w:eastAsiaTheme="minorEastAsia" w:cstheme="minorEastAsia"/>
                <w:spacing w:val="0"/>
                <w:position w:val="1"/>
                <w:sz w:val="24"/>
                <w:szCs w:val="24"/>
              </w:rPr>
              <w:t xml:space="preserve"> </w:t>
            </w:r>
            <w:r>
              <w:rPr>
                <w:rFonts w:hint="eastAsia" w:asciiTheme="minorEastAsia" w:hAnsiTheme="minorEastAsia" w:eastAsiaTheme="minorEastAsia" w:cstheme="minorEastAsia"/>
                <w:b/>
                <w:bCs/>
                <w:spacing w:val="0"/>
                <w:sz w:val="24"/>
                <w:szCs w:val="24"/>
              </w:rPr>
              <w:t>的</w:t>
            </w:r>
          </w:p>
        </w:tc>
        <w:tc>
          <w:tcPr>
            <w:tcW w:w="7827" w:type="dxa"/>
            <w:gridSpan w:val="5"/>
            <w:tcBorders>
              <w:right w:val="nil"/>
            </w:tcBorders>
            <w:vAlign w:val="top"/>
          </w:tcPr>
          <w:p w14:paraId="44CDA8F0">
            <w:pPr>
              <w:pStyle w:val="10"/>
              <w:keepNext w:val="0"/>
              <w:keepLines w:val="0"/>
              <w:pageBreakBefore w:val="0"/>
              <w:widowControl/>
              <w:kinsoku/>
              <w:wordWrap/>
              <w:overflowPunct/>
              <w:topLinePunct w:val="0"/>
              <w:autoSpaceDE w:val="0"/>
              <w:autoSpaceDN w:val="0"/>
              <w:bidi w:val="0"/>
              <w:adjustRightInd w:val="0"/>
              <w:snapToGrid w:val="0"/>
              <w:spacing w:before="193" w:line="303" w:lineRule="auto"/>
              <w:ind w:left="113" w:right="108" w:firstLine="482"/>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保障医保基金安全 ：</w:t>
            </w:r>
            <w:r>
              <w:rPr>
                <w:rFonts w:hint="eastAsia" w:asciiTheme="minorEastAsia" w:hAnsiTheme="minorEastAsia" w:eastAsiaTheme="minorEastAsia" w:cstheme="minorEastAsia"/>
                <w:spacing w:val="0"/>
                <w:sz w:val="24"/>
                <w:szCs w:val="24"/>
              </w:rPr>
              <w:t>通过开展对协议医院与药店的药品和医疗服务价格的日常监管行动，以及政策法规宣传等，从主观层面杜绝基金滥用的情况，确保医保资金合理使用、安全可控。</w:t>
            </w:r>
            <w:r>
              <w:rPr>
                <w:rFonts w:hint="eastAsia" w:asciiTheme="minorEastAsia" w:hAnsiTheme="minorEastAsia" w:eastAsiaTheme="minorEastAsia" w:cstheme="minorEastAsia"/>
                <w:b/>
                <w:bCs/>
                <w:spacing w:val="0"/>
                <w:sz w:val="24"/>
                <w:szCs w:val="24"/>
              </w:rPr>
              <w:t>落实医保待遇政策 ：</w:t>
            </w:r>
            <w:r>
              <w:rPr>
                <w:rFonts w:hint="eastAsia" w:asciiTheme="minorEastAsia" w:hAnsiTheme="minorEastAsia" w:eastAsiaTheme="minorEastAsia" w:cstheme="minorEastAsia"/>
                <w:spacing w:val="0"/>
                <w:sz w:val="24"/>
                <w:szCs w:val="24"/>
              </w:rPr>
              <w:t>深化医疗保障制度改革，公平适度保障人民群众基本医疗保障权益，全面落实国家医疗保障待遇清单制度的要求，不断提高医保基金保障绩效。</w:t>
            </w:r>
            <w:r>
              <w:rPr>
                <w:rFonts w:hint="eastAsia" w:asciiTheme="minorEastAsia" w:hAnsiTheme="minorEastAsia" w:eastAsiaTheme="minorEastAsia" w:cstheme="minorEastAsia"/>
                <w:b/>
                <w:bCs/>
                <w:spacing w:val="0"/>
                <w:sz w:val="24"/>
                <w:szCs w:val="24"/>
              </w:rPr>
              <w:t>提升服务质量和管理水平：</w:t>
            </w:r>
            <w:r>
              <w:rPr>
                <w:rFonts w:hint="eastAsia" w:asciiTheme="minorEastAsia" w:hAnsiTheme="minorEastAsia" w:eastAsiaTheme="minorEastAsia" w:cstheme="minorEastAsia"/>
                <w:spacing w:val="0"/>
                <w:sz w:val="24"/>
                <w:szCs w:val="24"/>
              </w:rPr>
              <w:t>持续加强行风建设，规范经办服务管理，深化医保领域“放管服”改革，将医保经办服务延伸至村居一级，打通“最后一公里”，提高服务的便捷性和可及性。</w:t>
            </w:r>
            <w:r>
              <w:rPr>
                <w:rFonts w:hint="eastAsia" w:asciiTheme="minorEastAsia" w:hAnsiTheme="minorEastAsia" w:eastAsiaTheme="minorEastAsia" w:cstheme="minorEastAsia"/>
                <w:b/>
                <w:bCs/>
                <w:spacing w:val="0"/>
                <w:sz w:val="24"/>
                <w:szCs w:val="24"/>
              </w:rPr>
              <w:t>促进制度可持续发展 ：</w:t>
            </w:r>
            <w:r>
              <w:rPr>
                <w:rFonts w:hint="eastAsia" w:asciiTheme="minorEastAsia" w:hAnsiTheme="minorEastAsia" w:eastAsiaTheme="minorEastAsia" w:cstheme="minorEastAsia"/>
                <w:spacing w:val="0"/>
                <w:sz w:val="24"/>
                <w:szCs w:val="24"/>
              </w:rPr>
              <w:t>确保城乡居民医疗保险基金平稳运行，扩大医保覆盖范围，增强制度可持续性，切实减轻居民医疗负担，促进社会公平与和谐稳定。</w:t>
            </w:r>
            <w:r>
              <w:rPr>
                <w:rFonts w:hint="eastAsia" w:asciiTheme="minorEastAsia" w:hAnsiTheme="minorEastAsia" w:eastAsiaTheme="minorEastAsia" w:cstheme="minorEastAsia"/>
                <w:b/>
                <w:bCs/>
                <w:spacing w:val="0"/>
                <w:sz w:val="24"/>
                <w:szCs w:val="24"/>
              </w:rPr>
              <w:t>提高资金使用效益 ：</w:t>
            </w:r>
            <w:r>
              <w:rPr>
                <w:rFonts w:hint="eastAsia" w:asciiTheme="minorEastAsia" w:hAnsiTheme="minorEastAsia" w:eastAsiaTheme="minorEastAsia" w:cstheme="minorEastAsia"/>
                <w:spacing w:val="0"/>
                <w:sz w:val="24"/>
                <w:szCs w:val="24"/>
              </w:rPr>
              <w:t>通过开展绩效评价，全面了解、分析财政投入项目资金使用、管理和项目实施等情况，督促项目实施进一步完善相关制度，规范资金分配、使用及管理等，切实提高财政项目资金使用效益。</w:t>
            </w:r>
          </w:p>
        </w:tc>
      </w:tr>
      <w:tr w14:paraId="0883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restart"/>
            <w:tcBorders>
              <w:left w:val="nil"/>
              <w:bottom w:val="nil"/>
            </w:tcBorders>
            <w:textDirection w:val="tbLrV"/>
            <w:vAlign w:val="top"/>
          </w:tcPr>
          <w:p w14:paraId="1ABA98AF">
            <w:pPr>
              <w:pStyle w:val="10"/>
              <w:spacing w:before="229" w:line="202" w:lineRule="auto"/>
              <w:ind w:left="204" w:leftChars="0" w:right="113" w:firstLine="241" w:firstLineChars="100"/>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b/>
                <w:bCs/>
                <w:spacing w:val="0"/>
                <w:sz w:val="24"/>
                <w:szCs w:val="24"/>
                <w:highlight w:val="none"/>
                <w:lang w:val="en-US" w:eastAsia="zh-CN"/>
              </w:rPr>
              <w:t>资 金 情 况（万元）</w:t>
            </w:r>
          </w:p>
        </w:tc>
        <w:tc>
          <w:tcPr>
            <w:tcW w:w="1807" w:type="dxa"/>
            <w:vAlign w:val="top"/>
          </w:tcPr>
          <w:p w14:paraId="41F20640">
            <w:pPr>
              <w:pStyle w:val="10"/>
              <w:spacing w:before="200" w:line="220" w:lineRule="auto"/>
              <w:ind w:left="18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预算安排资金</w:t>
            </w:r>
          </w:p>
        </w:tc>
        <w:tc>
          <w:tcPr>
            <w:tcW w:w="1983" w:type="dxa"/>
            <w:vAlign w:val="top"/>
          </w:tcPr>
          <w:p w14:paraId="2EE08C3F">
            <w:pPr>
              <w:pStyle w:val="10"/>
              <w:spacing w:before="238"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imes New Roman"/>
                <w:color w:val="000000" w:themeColor="text1"/>
                <w:lang w:val="en-US" w:eastAsia="zh-CN"/>
                <w14:textFill>
                  <w14:solidFill>
                    <w14:schemeClr w14:val="tx1"/>
                  </w14:solidFill>
                </w14:textFill>
              </w:rPr>
              <w:t>889.39</w:t>
            </w:r>
          </w:p>
        </w:tc>
        <w:tc>
          <w:tcPr>
            <w:tcW w:w="1900" w:type="dxa"/>
            <w:gridSpan w:val="2"/>
            <w:vAlign w:val="top"/>
          </w:tcPr>
          <w:p w14:paraId="41C16993">
            <w:pPr>
              <w:pStyle w:val="10"/>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实际到位资金</w:t>
            </w:r>
          </w:p>
        </w:tc>
        <w:tc>
          <w:tcPr>
            <w:tcW w:w="2137" w:type="dxa"/>
            <w:tcBorders>
              <w:right w:val="nil"/>
            </w:tcBorders>
            <w:vAlign w:val="top"/>
          </w:tcPr>
          <w:p w14:paraId="05DBC0B0">
            <w:pPr>
              <w:pStyle w:val="10"/>
              <w:spacing w:before="237" w:line="184"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imes New Roman"/>
                <w:color w:val="000000" w:themeColor="text1"/>
                <w:lang w:val="en-US" w:eastAsia="zh-CN"/>
                <w14:textFill>
                  <w14:solidFill>
                    <w14:schemeClr w14:val="tx1"/>
                  </w14:solidFill>
                </w14:textFill>
              </w:rPr>
              <w:t>774.79</w:t>
            </w:r>
          </w:p>
        </w:tc>
      </w:tr>
      <w:tr w14:paraId="47414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E280996">
            <w:pPr>
              <w:rPr>
                <w:rFonts w:hint="eastAsia" w:asciiTheme="minorEastAsia" w:hAnsiTheme="minorEastAsia" w:eastAsiaTheme="minorEastAsia" w:cstheme="minorEastAsia"/>
                <w:spacing w:val="0"/>
                <w:sz w:val="24"/>
                <w:szCs w:val="24"/>
                <w:highlight w:val="none"/>
              </w:rPr>
            </w:pPr>
          </w:p>
        </w:tc>
        <w:tc>
          <w:tcPr>
            <w:tcW w:w="1807" w:type="dxa"/>
            <w:vAlign w:val="top"/>
          </w:tcPr>
          <w:p w14:paraId="4D05CF04">
            <w:pPr>
              <w:pStyle w:val="10"/>
              <w:spacing w:before="200" w:line="221" w:lineRule="auto"/>
              <w:ind w:left="116"/>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1983" w:type="dxa"/>
            <w:vAlign w:val="top"/>
          </w:tcPr>
          <w:p w14:paraId="290B9AA6">
            <w:pPr>
              <w:pStyle w:val="10"/>
              <w:spacing w:before="240" w:line="183" w:lineRule="auto"/>
              <w:jc w:val="center"/>
              <w:rPr>
                <w:rFonts w:hint="eastAsia" w:asciiTheme="minorEastAsia" w:hAnsiTheme="minorEastAsia" w:eastAsiaTheme="minorEastAsia" w:cstheme="minorEastAsia"/>
                <w:spacing w:val="0"/>
                <w:sz w:val="24"/>
                <w:szCs w:val="24"/>
                <w:highlight w:val="none"/>
              </w:rPr>
            </w:pPr>
          </w:p>
        </w:tc>
        <w:tc>
          <w:tcPr>
            <w:tcW w:w="1900" w:type="dxa"/>
            <w:gridSpan w:val="2"/>
            <w:vAlign w:val="top"/>
          </w:tcPr>
          <w:p w14:paraId="66105287">
            <w:pPr>
              <w:pStyle w:val="10"/>
              <w:spacing w:before="200" w:line="221" w:lineRule="auto"/>
              <w:ind w:left="127"/>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2137" w:type="dxa"/>
            <w:tcBorders>
              <w:right w:val="nil"/>
            </w:tcBorders>
            <w:vAlign w:val="top"/>
          </w:tcPr>
          <w:p w14:paraId="1C1E23BB">
            <w:pPr>
              <w:pStyle w:val="10"/>
              <w:spacing w:before="240" w:beforeLines="0" w:afterLines="0" w:line="183" w:lineRule="auto"/>
              <w:jc w:val="center"/>
              <w:rPr>
                <w:rFonts w:hint="eastAsia" w:asciiTheme="minorEastAsia" w:hAnsiTheme="minorEastAsia" w:eastAsiaTheme="minorEastAsia" w:cstheme="minorEastAsia"/>
                <w:spacing w:val="0"/>
                <w:sz w:val="24"/>
                <w:szCs w:val="24"/>
                <w:highlight w:val="none"/>
              </w:rPr>
            </w:pPr>
          </w:p>
        </w:tc>
      </w:tr>
      <w:tr w14:paraId="0E60C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486ED73E">
            <w:pPr>
              <w:rPr>
                <w:rFonts w:hint="eastAsia" w:asciiTheme="minorEastAsia" w:hAnsiTheme="minorEastAsia" w:eastAsiaTheme="minorEastAsia" w:cstheme="minorEastAsia"/>
                <w:spacing w:val="0"/>
                <w:sz w:val="24"/>
                <w:szCs w:val="24"/>
                <w:highlight w:val="none"/>
              </w:rPr>
            </w:pPr>
          </w:p>
        </w:tc>
        <w:tc>
          <w:tcPr>
            <w:tcW w:w="1807" w:type="dxa"/>
            <w:vAlign w:val="top"/>
          </w:tcPr>
          <w:p w14:paraId="3B7E900E">
            <w:pPr>
              <w:pStyle w:val="10"/>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1983" w:type="dxa"/>
            <w:vAlign w:val="top"/>
          </w:tcPr>
          <w:p w14:paraId="190C312A">
            <w:pPr>
              <w:pStyle w:val="10"/>
              <w:spacing w:before="240"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imes New Roman"/>
                <w:color w:val="000000" w:themeColor="text1"/>
                <w:lang w:val="en-US" w:eastAsia="zh-CN"/>
                <w14:textFill>
                  <w14:solidFill>
                    <w14:schemeClr w14:val="tx1"/>
                  </w14:solidFill>
                </w14:textFill>
              </w:rPr>
              <w:t>889.39</w:t>
            </w:r>
          </w:p>
        </w:tc>
        <w:tc>
          <w:tcPr>
            <w:tcW w:w="1900" w:type="dxa"/>
            <w:gridSpan w:val="2"/>
            <w:vAlign w:val="top"/>
          </w:tcPr>
          <w:p w14:paraId="2DF377AF">
            <w:pPr>
              <w:pStyle w:val="10"/>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2137" w:type="dxa"/>
            <w:tcBorders>
              <w:right w:val="nil"/>
            </w:tcBorders>
            <w:vAlign w:val="top"/>
          </w:tcPr>
          <w:p w14:paraId="3710645A">
            <w:pPr>
              <w:pStyle w:val="10"/>
              <w:spacing w:before="240" w:beforeLines="0" w:afterLines="0"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imes New Roman"/>
                <w:color w:val="000000" w:themeColor="text1"/>
                <w:lang w:val="en-US" w:eastAsia="zh-CN"/>
                <w14:textFill>
                  <w14:solidFill>
                    <w14:schemeClr w14:val="tx1"/>
                  </w14:solidFill>
                </w14:textFill>
              </w:rPr>
              <w:t>774.79</w:t>
            </w:r>
          </w:p>
        </w:tc>
      </w:tr>
      <w:tr w14:paraId="4516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239453F">
            <w:pPr>
              <w:rPr>
                <w:rFonts w:hint="eastAsia" w:asciiTheme="minorEastAsia" w:hAnsiTheme="minorEastAsia" w:eastAsiaTheme="minorEastAsia" w:cstheme="minorEastAsia"/>
                <w:spacing w:val="0"/>
                <w:sz w:val="24"/>
                <w:szCs w:val="24"/>
                <w:highlight w:val="none"/>
              </w:rPr>
            </w:pPr>
          </w:p>
        </w:tc>
        <w:tc>
          <w:tcPr>
            <w:tcW w:w="1807" w:type="dxa"/>
            <w:vAlign w:val="top"/>
          </w:tcPr>
          <w:p w14:paraId="6A7167D4">
            <w:pPr>
              <w:pStyle w:val="10"/>
              <w:spacing w:before="200" w:line="221" w:lineRule="auto"/>
              <w:ind w:left="193"/>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实际支出资金</w:t>
            </w:r>
          </w:p>
        </w:tc>
        <w:tc>
          <w:tcPr>
            <w:tcW w:w="1983" w:type="dxa"/>
            <w:vAlign w:val="top"/>
          </w:tcPr>
          <w:p w14:paraId="64F54DE7">
            <w:pPr>
              <w:pStyle w:val="10"/>
              <w:spacing w:before="239"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imes New Roman"/>
                <w:color w:val="000000" w:themeColor="text1"/>
                <w:lang w:val="en-US" w:eastAsia="zh-CN"/>
                <w14:textFill>
                  <w14:solidFill>
                    <w14:schemeClr w14:val="tx1"/>
                  </w14:solidFill>
                </w14:textFill>
              </w:rPr>
              <w:t>774.79</w:t>
            </w:r>
          </w:p>
        </w:tc>
        <w:tc>
          <w:tcPr>
            <w:tcW w:w="1900" w:type="dxa"/>
            <w:gridSpan w:val="2"/>
            <w:vAlign w:val="top"/>
          </w:tcPr>
          <w:p w14:paraId="5F8D6931">
            <w:pPr>
              <w:pStyle w:val="10"/>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结转结余资金</w:t>
            </w:r>
          </w:p>
        </w:tc>
        <w:tc>
          <w:tcPr>
            <w:tcW w:w="2137" w:type="dxa"/>
            <w:tcBorders>
              <w:right w:val="nil"/>
            </w:tcBorders>
            <w:vAlign w:val="top"/>
          </w:tcPr>
          <w:p w14:paraId="5D763974">
            <w:pPr>
              <w:pStyle w:val="10"/>
              <w:spacing w:before="237" w:line="184" w:lineRule="auto"/>
              <w:jc w:val="center"/>
              <w:rPr>
                <w:rFonts w:hint="default"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0</w:t>
            </w:r>
          </w:p>
        </w:tc>
      </w:tr>
      <w:tr w14:paraId="1F90A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2" w:type="dxa"/>
            <w:vMerge w:val="continue"/>
            <w:tcBorders>
              <w:top w:val="nil"/>
              <w:left w:val="nil"/>
            </w:tcBorders>
            <w:vAlign w:val="top"/>
          </w:tcPr>
          <w:p w14:paraId="3AEA6B58">
            <w:pPr>
              <w:rPr>
                <w:rFonts w:hint="eastAsia" w:asciiTheme="minorEastAsia" w:hAnsiTheme="minorEastAsia" w:eastAsiaTheme="minorEastAsia" w:cstheme="minorEastAsia"/>
                <w:spacing w:val="0"/>
                <w:sz w:val="24"/>
                <w:szCs w:val="24"/>
                <w:highlight w:val="none"/>
              </w:rPr>
            </w:pPr>
          </w:p>
        </w:tc>
        <w:tc>
          <w:tcPr>
            <w:tcW w:w="1807" w:type="dxa"/>
            <w:vAlign w:val="top"/>
          </w:tcPr>
          <w:p w14:paraId="0818A1CE">
            <w:pPr>
              <w:pStyle w:val="10"/>
              <w:spacing w:before="202" w:line="220" w:lineRule="auto"/>
              <w:ind w:left="30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预算执行率</w:t>
            </w:r>
          </w:p>
        </w:tc>
        <w:tc>
          <w:tcPr>
            <w:tcW w:w="6020" w:type="dxa"/>
            <w:gridSpan w:val="4"/>
            <w:tcBorders>
              <w:right w:val="nil"/>
            </w:tcBorders>
            <w:vAlign w:val="center"/>
          </w:tcPr>
          <w:p w14:paraId="315F5367">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100%</w:t>
            </w:r>
          </w:p>
        </w:tc>
      </w:tr>
    </w:tbl>
    <w:p w14:paraId="63A19B08">
      <w:pPr>
        <w:spacing w:before="197" w:line="220" w:lineRule="auto"/>
        <w:ind w:left="3314"/>
        <w:rPr>
          <w:rFonts w:hint="eastAsia" w:asciiTheme="minorEastAsia" w:hAnsiTheme="minorEastAsia" w:eastAsiaTheme="minorEastAsia" w:cstheme="minorEastAsia"/>
          <w:b/>
          <w:bCs/>
          <w:spacing w:val="0"/>
          <w:sz w:val="24"/>
          <w:szCs w:val="24"/>
        </w:rPr>
      </w:pPr>
    </w:p>
    <w:p w14:paraId="458FDF17">
      <w:pPr>
        <w:spacing w:before="197" w:line="220" w:lineRule="auto"/>
        <w:ind w:left="3314"/>
        <w:rPr>
          <w:rFonts w:hint="eastAsia" w:asciiTheme="minorEastAsia" w:hAnsiTheme="minorEastAsia" w:eastAsiaTheme="minorEastAsia" w:cstheme="minorEastAsia"/>
          <w:b/>
          <w:bCs/>
          <w:spacing w:val="0"/>
          <w:sz w:val="24"/>
          <w:szCs w:val="24"/>
        </w:rPr>
      </w:pPr>
    </w:p>
    <w:p w14:paraId="3E848B3E">
      <w:pPr>
        <w:spacing w:before="197" w:line="220" w:lineRule="auto"/>
        <w:ind w:left="3314"/>
        <w:rPr>
          <w:rFonts w:hint="eastAsia" w:asciiTheme="minorEastAsia" w:hAnsiTheme="minorEastAsia" w:eastAsiaTheme="minorEastAsia" w:cstheme="minorEastAsia"/>
          <w:b/>
          <w:bCs/>
          <w:spacing w:val="0"/>
          <w:sz w:val="24"/>
          <w:szCs w:val="24"/>
        </w:rPr>
      </w:pPr>
    </w:p>
    <w:p w14:paraId="3298B6A8">
      <w:pPr>
        <w:spacing w:before="197" w:line="220" w:lineRule="auto"/>
        <w:ind w:left="331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二、部门绩效目标</w:t>
      </w:r>
    </w:p>
    <w:p w14:paraId="3728A160">
      <w:pPr>
        <w:spacing w:line="83"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3"/>
        <w:gridCol w:w="7136"/>
      </w:tblGrid>
      <w:tr w14:paraId="0062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6" w:hRule="atLeast"/>
        </w:trPr>
        <w:tc>
          <w:tcPr>
            <w:tcW w:w="1393" w:type="dxa"/>
            <w:tcBorders>
              <w:left w:val="nil"/>
            </w:tcBorders>
            <w:vAlign w:val="center"/>
          </w:tcPr>
          <w:p w14:paraId="325593E1">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年度绩效</w:t>
            </w:r>
          </w:p>
          <w:p w14:paraId="6261B586">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目标</w:t>
            </w:r>
          </w:p>
        </w:tc>
        <w:tc>
          <w:tcPr>
            <w:tcW w:w="7136" w:type="dxa"/>
            <w:tcBorders>
              <w:right w:val="nil"/>
            </w:tcBorders>
            <w:vAlign w:val="top"/>
          </w:tcPr>
          <w:p w14:paraId="707BD3D8">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目标一：</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城乡居民基本医疗保险参保缴费。</w:t>
            </w:r>
            <w:r>
              <w:rPr>
                <w:rFonts w:hint="eastAsia" w:asciiTheme="minorEastAsia" w:hAnsiTheme="minorEastAsia" w:eastAsiaTheme="minorEastAsia" w:cstheme="minorEastAsia"/>
                <w:color w:val="000000" w:themeColor="text1"/>
                <w:kern w:val="2"/>
                <w:sz w:val="24"/>
                <w:szCs w:val="24"/>
                <w:lang w:val="zh-CN" w:eastAsia="zh-CN" w:bidi="ar-SA"/>
                <w14:textFill>
                  <w14:solidFill>
                    <w14:schemeClr w14:val="tx1"/>
                  </w14:solidFill>
                </w14:textFill>
              </w:rPr>
              <w:t>深入贯彻县委县政府</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关于全县医疗保障工作的</w:t>
            </w:r>
            <w:r>
              <w:rPr>
                <w:rFonts w:hint="eastAsia" w:asciiTheme="minorEastAsia" w:hAnsiTheme="minorEastAsia" w:eastAsiaTheme="minorEastAsia" w:cstheme="minorEastAsia"/>
                <w:color w:val="000000" w:themeColor="text1"/>
                <w:kern w:val="2"/>
                <w:sz w:val="24"/>
                <w:szCs w:val="24"/>
                <w:lang w:val="zh-CN" w:eastAsia="zh-CN" w:bidi="ar-SA"/>
                <w14:textFill>
                  <w14:solidFill>
                    <w14:schemeClr w14:val="tx1"/>
                  </w14:solidFill>
                </w14:textFill>
              </w:rPr>
              <w:t>决策部署，</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通过宣传提升参保率，有效防止因病致贫、返贫情况的发生，巩固拓展医疗保障脱贫攻坚成果，维护地区稳定。</w:t>
            </w: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目标二：医疗保障基金监管。</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通过飞行检查、执法检查等形式，对辖区医保定点医药机构医保基金使用情况进行全覆盖检查，收缴违规基金并处罚款，以切实保障辖区内医保基金安全平稳运行，并逐步提高报销比例，提升医保基金使用效率，有效降低参保患者就医负担。</w:t>
            </w: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目标三：医疗保障经办服务。</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深入推进医疗保障改革，不断优化参保登记、异地就医备案、慢性病申请等医保经办流程，简化经办所需资料，切实方便参保群众办事，提升群众满意度。</w:t>
            </w: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目标四：药品及医用耗材招标采购。</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按照省市医疗保障部门关于推进药品和医用耗材集中带量采购的要求，督促医保定点医疗机构通过甘肃省医疗保障信息平台，对药品及医用耗材执行网上订单采购，切实提升网采率，降低药品及医用耗材价格，降低参保患者就医负担，减轻医保基金收支压力。</w:t>
            </w:r>
          </w:p>
        </w:tc>
      </w:tr>
      <w:tr w14:paraId="4072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29" w:type="dxa"/>
            <w:gridSpan w:val="2"/>
            <w:tcBorders>
              <w:left w:val="nil"/>
              <w:right w:val="nil"/>
            </w:tcBorders>
            <w:vAlign w:val="top"/>
          </w:tcPr>
          <w:p w14:paraId="54E43F7D">
            <w:pPr>
              <w:pStyle w:val="10"/>
              <w:spacing w:before="222" w:line="219" w:lineRule="auto"/>
              <w:ind w:left="331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三、评价基本情况</w:t>
            </w:r>
          </w:p>
        </w:tc>
      </w:tr>
      <w:tr w14:paraId="03FFF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393" w:type="dxa"/>
            <w:tcBorders>
              <w:left w:val="nil"/>
            </w:tcBorders>
            <w:vAlign w:val="center"/>
          </w:tcPr>
          <w:p w14:paraId="4635A4B6">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评价范围</w:t>
            </w:r>
          </w:p>
        </w:tc>
        <w:tc>
          <w:tcPr>
            <w:tcW w:w="7136" w:type="dxa"/>
            <w:tcBorders>
              <w:right w:val="nil"/>
            </w:tcBorders>
            <w:vAlign w:val="center"/>
          </w:tcPr>
          <w:p w14:paraId="375F4842">
            <w:pPr>
              <w:pStyle w:val="10"/>
              <w:spacing w:before="38" w:line="303" w:lineRule="auto"/>
              <w:ind w:right="151"/>
              <w:jc w:val="left"/>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此次绩效评价的对象为合水县医疗保障局2024年部门整体支出774.79万元，评价时间范围为2024年1月至2024年12月。</w:t>
            </w:r>
          </w:p>
        </w:tc>
      </w:tr>
    </w:tbl>
    <w:p w14:paraId="6D80B9A0">
      <w:pPr>
        <w:spacing w:line="91" w:lineRule="auto"/>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7106"/>
      </w:tblGrid>
      <w:tr w14:paraId="30B5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5" w:hRule="atLeast"/>
        </w:trPr>
        <w:tc>
          <w:tcPr>
            <w:tcW w:w="1423" w:type="dxa"/>
            <w:tcBorders>
              <w:left w:val="nil"/>
            </w:tcBorders>
            <w:vAlign w:val="center"/>
          </w:tcPr>
          <w:p w14:paraId="6A1272BF">
            <w:pPr>
              <w:pStyle w:val="10"/>
              <w:keepNext/>
              <w:keepLines/>
              <w:pageBreakBefore w:val="0"/>
              <w:widowControl/>
              <w:kinsoku/>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评价依据</w:t>
            </w:r>
          </w:p>
        </w:tc>
        <w:tc>
          <w:tcPr>
            <w:tcW w:w="7106" w:type="dxa"/>
            <w:tcBorders>
              <w:right w:val="nil"/>
            </w:tcBorders>
            <w:vAlign w:val="top"/>
          </w:tcPr>
          <w:p w14:paraId="4CAEC29D">
            <w:pPr>
              <w:pStyle w:val="10"/>
              <w:keepNext/>
              <w:keepLines/>
              <w:pageBreakBefore w:val="0"/>
              <w:widowControl/>
              <w:kinsoku/>
              <w:wordWrap/>
              <w:overflowPunct/>
              <w:topLinePunct w:val="0"/>
              <w:autoSpaceDE w:val="0"/>
              <w:autoSpaceDN w:val="0"/>
              <w:bidi w:val="0"/>
              <w:adjustRightInd w:val="0"/>
              <w:snapToGrid w:val="0"/>
              <w:spacing w:before="30" w:line="298" w:lineRule="auto"/>
              <w:ind w:left="116" w:right="108"/>
              <w:textAlignment w:val="baseline"/>
              <w:rPr>
                <w:rFonts w:hint="eastAsia" w:asciiTheme="minorEastAsia" w:hAnsiTheme="minorEastAsia" w:eastAsiaTheme="minorEastAsia" w:cstheme="minorEastAsia"/>
                <w:spacing w:val="0"/>
                <w:sz w:val="24"/>
                <w:szCs w:val="24"/>
              </w:rPr>
            </w:pPr>
          </w:p>
          <w:p w14:paraId="506171E1">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《国家医疗保障局 财政部 国家税务总局关于做好2024年城乡居民基本医疗保障工作的通知》《庆阳市医疗保障局关于印发2024年度医疗保障重点工作的通知》《中共合水县委办公室、合水县人民政府办公室&lt;关于印发合水县医疗保障局职能配置、内设机构和人员编制规定的通知&gt;》。</w:t>
            </w:r>
          </w:p>
        </w:tc>
      </w:tr>
      <w:tr w14:paraId="46B19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423" w:type="dxa"/>
            <w:tcBorders>
              <w:left w:val="nil"/>
            </w:tcBorders>
            <w:vAlign w:val="center"/>
          </w:tcPr>
          <w:p w14:paraId="6D0697B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绩效评价指标体系</w:t>
            </w:r>
          </w:p>
        </w:tc>
        <w:tc>
          <w:tcPr>
            <w:tcW w:w="7106" w:type="dxa"/>
            <w:tcBorders>
              <w:right w:val="nil"/>
            </w:tcBorders>
            <w:vAlign w:val="center"/>
          </w:tcPr>
          <w:p w14:paraId="7BEE718E">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p>
          <w:p w14:paraId="4EFD0223">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绩效评价指标体系围绕2024年部门整体支出申报、绩效目标管理、资金投入组织实施及资金管理等重要内容，结合绩效评价方法，从决策、管理、履职、效益四个方面对项目实施情况进行综合评价。具体评价指标内容如下：</w:t>
            </w:r>
          </w:p>
          <w:p w14:paraId="2E665830">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1.决策: 占权重分值13分，从项目申报、目标设定、资金投入三个方面进行评价分析。</w:t>
            </w:r>
          </w:p>
          <w:p w14:paraId="0BE956F6">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2.管理:占权重分值24分，从资金管理和组织实施两个方面进行评价分析。</w:t>
            </w:r>
          </w:p>
          <w:p w14:paraId="63AB0634">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3.履职: 占权重分值 34 分，从数量、质量、时效和成本四个方面进行绩效分析。</w:t>
            </w:r>
          </w:p>
          <w:p w14:paraId="017008C9">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spacing w:val="0"/>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4.效益: 占权重分值 29 分，从社会效益、可持续影响、满意度三个方面进行评价分析。</w:t>
            </w:r>
          </w:p>
          <w:p w14:paraId="6A619EA5">
            <w:pPr>
              <w:pStyle w:val="10"/>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left"/>
              <w:textAlignment w:val="baseline"/>
              <w:rPr>
                <w:spacing w:val="0"/>
              </w:rPr>
            </w:pPr>
          </w:p>
        </w:tc>
      </w:tr>
      <w:tr w14:paraId="2CC81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423" w:type="dxa"/>
            <w:tcBorders>
              <w:left w:val="nil"/>
            </w:tcBorders>
            <w:vAlign w:val="center"/>
          </w:tcPr>
          <w:p w14:paraId="590B79C0">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评价方法</w:t>
            </w:r>
          </w:p>
        </w:tc>
        <w:tc>
          <w:tcPr>
            <w:tcW w:w="7106" w:type="dxa"/>
            <w:tcBorders>
              <w:right w:val="nil"/>
            </w:tcBorders>
            <w:vAlign w:val="center"/>
          </w:tcPr>
          <w:p w14:paraId="17781D75">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1.科学公正。运用科学合理的方法，按照规范的程序，坚持定量与定性分析相结合，客观准确地反映财政资金绩效情况，对项目绩效进行客观、公正地反映。</w:t>
            </w:r>
          </w:p>
          <w:p w14:paraId="57445C95">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2.激励约束。绩效评价结果应用与预算安排、政策调整改进管理实质性挂钩，体现奖优罚劣和激励相容导向有效要安排、低效要压减、无效要问责。</w:t>
            </w:r>
          </w:p>
          <w:p w14:paraId="3865686F">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spacing w:val="0"/>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3.公开透明。绩效评价结果依法依规公开，接受社会监督提高财政资金使用的透明度。</w:t>
            </w:r>
          </w:p>
        </w:tc>
      </w:tr>
      <w:tr w14:paraId="5B64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423" w:type="dxa"/>
            <w:tcBorders>
              <w:left w:val="nil"/>
            </w:tcBorders>
            <w:vAlign w:val="center"/>
          </w:tcPr>
          <w:p w14:paraId="43DFCB9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数据采集及处理办法</w:t>
            </w:r>
          </w:p>
        </w:tc>
        <w:tc>
          <w:tcPr>
            <w:tcW w:w="7106" w:type="dxa"/>
            <w:tcBorders>
              <w:right w:val="nil"/>
            </w:tcBorders>
            <w:vAlign w:val="center"/>
          </w:tcPr>
          <w:p w14:paraId="58423AA5">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default" w:asciiTheme="minorEastAsia" w:hAnsiTheme="minorEastAsia" w:eastAsiaTheme="minorEastAsia" w:cstheme="minorEastAsia"/>
                <w:b/>
                <w:bCs/>
                <w:spacing w:val="0"/>
                <w:sz w:val="24"/>
                <w:szCs w:val="24"/>
                <w:lang w:val="en-US" w:eastAsia="zh-CN"/>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通过全省医保平台调取全年数据、查阅报表台账、开展调查问卷等采集数据，并对数据进行分类处理，确保数据准确可用。</w:t>
            </w:r>
          </w:p>
        </w:tc>
      </w:tr>
      <w:tr w14:paraId="128AE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423" w:type="dxa"/>
            <w:tcBorders>
              <w:left w:val="nil"/>
            </w:tcBorders>
            <w:vAlign w:val="center"/>
          </w:tcPr>
          <w:p w14:paraId="7A26A08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b/>
                <w:bCs/>
                <w:spacing w:val="0"/>
              </w:rPr>
            </w:pPr>
            <w:r>
              <w:rPr>
                <w:b/>
                <w:bCs/>
                <w:spacing w:val="0"/>
              </w:rPr>
              <w:t>绩效评价工作过程</w:t>
            </w:r>
          </w:p>
        </w:tc>
        <w:tc>
          <w:tcPr>
            <w:tcW w:w="7106" w:type="dxa"/>
            <w:tcBorders>
              <w:right w:val="nil"/>
            </w:tcBorders>
            <w:vAlign w:val="center"/>
          </w:tcPr>
          <w:p w14:paraId="6DC1B248">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1、前期准备阶段</w:t>
            </w:r>
          </w:p>
          <w:p w14:paraId="65DA25F0">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根据《合水县财政局关于开展2024年度部门和财政重点绩效评价工作的通知》(合财发【2025】59号)要求，明确评价任务和工作要求，成立项目评价工作组，制定工作计划。</w:t>
            </w:r>
          </w:p>
          <w:p w14:paraId="17E37DE8">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2、非现场评价阶段</w:t>
            </w:r>
          </w:p>
          <w:p w14:paraId="2D8DEEF6">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对财务资料进行查阅，核实其真实性。搜集资金明细账、项目实施的相关资料，从而了解资金和项目的管理方式以及项目的效益实现情况。实施收集、查阅项目实施方案、资金下达文件、项目实施进度、财务收支计划及与项目绩效评价有关的资料、文件及相关制度等必要评价程序，在现场核查过程中，尽可能收集足够的相关信息，掌握详细资料，准备好各类基础资料。选取资金拨付金额大、完成率低的项目资金进行着重调查(按照项目具体情况，确定重点调查方向)，总结整理各专项绩效执行情况，整理汇总绩效数据，从“绩”和“效”两个方面全面评价，了解项目实施过程中存在的问题以及受益人员满意度。</w:t>
            </w:r>
          </w:p>
          <w:p w14:paraId="088E33B8">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3、现场评价阶段</w:t>
            </w:r>
          </w:p>
          <w:p w14:paraId="0F69206E">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开展现场座谈会，听取各相关股室对评价对象的目标设定及完成程度，组织管理制度建立健全及落实情况，预算支出执行情况，财务管理状况，资产管理情况和预算支出执行产生的效益效果等情况介绍;依据相关文件和规定为标杆，着重以地方政策规定为指导，结合项目管理单位及实施单位提供的相关资料，了解项目的背景、实施意义以及项目效果等情况。</w:t>
            </w:r>
          </w:p>
          <w:p w14:paraId="6E40B6AF">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4.综合分析阶段</w:t>
            </w:r>
          </w:p>
          <w:p w14:paraId="0087CEA0">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全面梳理、汇总现场评价和非现场评价情况，进行综合分析，主要根据现场评价情况形成评价结论。</w:t>
            </w:r>
          </w:p>
          <w:p w14:paraId="51198AC1">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5.形成报告阶段</w:t>
            </w:r>
          </w:p>
          <w:p w14:paraId="6A161709">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(1)撰写报告:评价工作组撰写绩效评价报告，形成绩效评价初稿。</w:t>
            </w:r>
          </w:p>
          <w:p w14:paraId="2BDDAB4F">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(2)报告征求意见及报告完善:评价报告经审核后，送交各相关股室征求意见，报告初稿意见反馈及初稿完善。</w:t>
            </w:r>
          </w:p>
          <w:p w14:paraId="254B8F40">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spacing w:val="0"/>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(3)报告报送:根据各相关股室意见修改报告，在规定时间内正式向财政局报送绩效评价报告。</w:t>
            </w:r>
          </w:p>
        </w:tc>
      </w:tr>
    </w:tbl>
    <w:p w14:paraId="2778E877">
      <w:pPr>
        <w:pStyle w:val="2"/>
        <w:spacing w:before="238" w:line="219" w:lineRule="auto"/>
        <w:ind w:left="2971"/>
        <w:rPr>
          <w:rFonts w:hint="eastAsia" w:asciiTheme="minorEastAsia" w:hAnsiTheme="minorEastAsia" w:eastAsiaTheme="minorEastAsia" w:cstheme="minorEastAsia"/>
          <w:b/>
          <w:bCs/>
          <w:spacing w:val="0"/>
          <w:sz w:val="24"/>
          <w:szCs w:val="24"/>
        </w:rPr>
      </w:pPr>
    </w:p>
    <w:p w14:paraId="4FAE3A7F">
      <w:pPr>
        <w:pStyle w:val="2"/>
        <w:spacing w:before="238" w:line="219" w:lineRule="auto"/>
        <w:ind w:left="2971"/>
        <w:rPr>
          <w:rFonts w:hint="eastAsia" w:asciiTheme="minorEastAsia" w:hAnsiTheme="minorEastAsia" w:eastAsiaTheme="minorEastAsia" w:cstheme="minorEastAsia"/>
          <w:b/>
          <w:bCs/>
          <w:spacing w:val="0"/>
          <w:sz w:val="24"/>
          <w:szCs w:val="24"/>
        </w:rPr>
      </w:pPr>
    </w:p>
    <w:p w14:paraId="12ABA30F">
      <w:pPr>
        <w:pStyle w:val="2"/>
        <w:spacing w:before="238" w:line="219" w:lineRule="auto"/>
        <w:ind w:left="297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四、评价结论和绩效分析</w:t>
      </w:r>
    </w:p>
    <w:p w14:paraId="5945FE5F">
      <w:pPr>
        <w:spacing w:line="124"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857"/>
        <w:gridCol w:w="854"/>
        <w:gridCol w:w="750"/>
        <w:gridCol w:w="720"/>
        <w:gridCol w:w="780"/>
        <w:gridCol w:w="750"/>
        <w:gridCol w:w="1050"/>
        <w:gridCol w:w="1020"/>
        <w:gridCol w:w="1046"/>
      </w:tblGrid>
      <w:tr w14:paraId="40B15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2" w:type="dxa"/>
            <w:tcBorders>
              <w:left w:val="nil"/>
            </w:tcBorders>
            <w:vAlign w:val="top"/>
          </w:tcPr>
          <w:p w14:paraId="08AA7ECA">
            <w:pPr>
              <w:pStyle w:val="10"/>
              <w:spacing w:before="117" w:line="220" w:lineRule="auto"/>
              <w:ind w:left="146"/>
              <w:rPr>
                <w:rFonts w:hint="eastAsia" w:asciiTheme="minorEastAsia" w:hAnsiTheme="minorEastAsia" w:eastAsiaTheme="minorEastAsia" w:cstheme="minorEastAsia"/>
                <w:spacing w:val="0"/>
                <w:sz w:val="24"/>
                <w:szCs w:val="24"/>
              </w:rPr>
            </w:pPr>
            <w:r>
              <w:rPr>
                <w:b/>
                <w:bCs/>
                <w:spacing w:val="-6"/>
              </w:rPr>
              <w:t>综合评价结论</w:t>
            </w:r>
          </w:p>
        </w:tc>
        <w:tc>
          <w:tcPr>
            <w:tcW w:w="1711" w:type="dxa"/>
            <w:gridSpan w:val="2"/>
            <w:vAlign w:val="center"/>
          </w:tcPr>
          <w:p w14:paraId="45670BCB">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评价得分</w:t>
            </w:r>
          </w:p>
        </w:tc>
        <w:tc>
          <w:tcPr>
            <w:tcW w:w="2250" w:type="dxa"/>
            <w:gridSpan w:val="3"/>
            <w:vAlign w:val="center"/>
          </w:tcPr>
          <w:p w14:paraId="2D1E3793">
            <w:pPr>
              <w:pStyle w:val="10"/>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p w14:paraId="0D5E9CB2">
            <w:pPr>
              <w:pStyle w:val="10"/>
              <w:spacing w:before="78" w:line="183" w:lineRule="auto"/>
              <w:ind w:left="714"/>
              <w:jc w:val="both"/>
              <w:rPr>
                <w:rFonts w:hint="eastAsia" w:asciiTheme="minorEastAsia" w:hAnsiTheme="minorEastAsia" w:eastAsiaTheme="minorEastAsia" w:cstheme="minorEastAsia"/>
                <w:spacing w:val="0"/>
                <w:sz w:val="24"/>
                <w:szCs w:val="24"/>
                <w:lang w:val="en-US" w:eastAsia="zh-CN"/>
              </w:rPr>
            </w:pPr>
            <w:r>
              <w:rPr>
                <w:rFonts w:hint="eastAsia" w:ascii="Times New Roman" w:hAnsi="Times New Roman" w:eastAsia="仿宋_GB2312" w:cs="Times New Roman"/>
                <w:color w:val="000000" w:themeColor="text1"/>
                <w:lang w:val="en-US" w:eastAsia="zh-CN"/>
                <w14:textFill>
                  <w14:solidFill>
                    <w14:schemeClr w14:val="tx1"/>
                  </w14:solidFill>
                </w14:textFill>
              </w:rPr>
              <w:t>89.5</w:t>
            </w:r>
          </w:p>
          <w:p w14:paraId="0D8C4482">
            <w:pPr>
              <w:pStyle w:val="10"/>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tc>
        <w:tc>
          <w:tcPr>
            <w:tcW w:w="1800" w:type="dxa"/>
            <w:gridSpan w:val="2"/>
            <w:vAlign w:val="center"/>
          </w:tcPr>
          <w:p w14:paraId="0722B496">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评价等级</w:t>
            </w:r>
          </w:p>
        </w:tc>
        <w:tc>
          <w:tcPr>
            <w:tcW w:w="2066" w:type="dxa"/>
            <w:gridSpan w:val="2"/>
            <w:tcBorders>
              <w:right w:val="nil"/>
            </w:tcBorders>
            <w:vAlign w:val="center"/>
          </w:tcPr>
          <w:p w14:paraId="66253B33">
            <w:pPr>
              <w:pStyle w:val="10"/>
              <w:spacing w:before="78" w:line="182" w:lineRule="auto"/>
              <w:ind w:firstLine="960" w:firstLineChars="400"/>
              <w:jc w:val="both"/>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良</w:t>
            </w:r>
          </w:p>
        </w:tc>
      </w:tr>
      <w:tr w14:paraId="55DD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02" w:type="dxa"/>
            <w:vMerge w:val="restart"/>
            <w:tcBorders>
              <w:left w:val="nil"/>
              <w:bottom w:val="nil"/>
            </w:tcBorders>
            <w:vAlign w:val="top"/>
          </w:tcPr>
          <w:p w14:paraId="573773EA">
            <w:pPr>
              <w:spacing w:line="244" w:lineRule="auto"/>
              <w:rPr>
                <w:rFonts w:hint="eastAsia" w:asciiTheme="minorEastAsia" w:hAnsiTheme="minorEastAsia" w:eastAsiaTheme="minorEastAsia" w:cstheme="minorEastAsia"/>
                <w:spacing w:val="0"/>
                <w:sz w:val="24"/>
                <w:szCs w:val="24"/>
              </w:rPr>
            </w:pPr>
          </w:p>
          <w:p w14:paraId="4B231BE8">
            <w:pPr>
              <w:pStyle w:val="10"/>
              <w:spacing w:before="78" w:line="220" w:lineRule="auto"/>
              <w:jc w:val="center"/>
              <w:rPr>
                <w:rFonts w:hint="eastAsia"/>
                <w:b/>
                <w:bCs/>
                <w:spacing w:val="-6"/>
                <w:lang w:eastAsia="zh-CN"/>
              </w:rPr>
            </w:pPr>
          </w:p>
          <w:p w14:paraId="193A2183">
            <w:pPr>
              <w:pStyle w:val="10"/>
              <w:spacing w:before="78" w:line="220" w:lineRule="auto"/>
              <w:jc w:val="center"/>
            </w:pPr>
            <w:r>
              <w:rPr>
                <w:rFonts w:hint="eastAsia"/>
                <w:b/>
                <w:bCs/>
                <w:spacing w:val="-6"/>
                <w:lang w:eastAsia="zh-CN"/>
              </w:rPr>
              <w:t>绩</w:t>
            </w:r>
            <w:r>
              <w:rPr>
                <w:b/>
                <w:bCs/>
                <w:spacing w:val="-6"/>
              </w:rPr>
              <w:t>效</w:t>
            </w:r>
          </w:p>
          <w:p w14:paraId="4257DBB2">
            <w:pPr>
              <w:pStyle w:val="10"/>
              <w:spacing w:before="78" w:line="230" w:lineRule="auto"/>
              <w:ind w:right="109"/>
              <w:jc w:val="center"/>
              <w:rPr>
                <w:rFonts w:hint="eastAsia" w:asciiTheme="minorEastAsia" w:hAnsiTheme="minorEastAsia" w:eastAsiaTheme="minorEastAsia" w:cstheme="minorEastAsia"/>
                <w:spacing w:val="0"/>
                <w:sz w:val="24"/>
                <w:szCs w:val="24"/>
              </w:rPr>
            </w:pPr>
            <w:r>
              <w:rPr>
                <w:rFonts w:hint="eastAsia"/>
                <w:b/>
                <w:bCs/>
                <w:spacing w:val="-5"/>
                <w:lang w:val="en-US" w:eastAsia="zh-CN"/>
              </w:rPr>
              <w:t xml:space="preserve"> </w:t>
            </w:r>
            <w:r>
              <w:rPr>
                <w:b/>
                <w:bCs/>
                <w:spacing w:val="-5"/>
              </w:rPr>
              <w:t>分析</w:t>
            </w:r>
          </w:p>
        </w:tc>
        <w:tc>
          <w:tcPr>
            <w:tcW w:w="857" w:type="dxa"/>
            <w:vAlign w:val="center"/>
          </w:tcPr>
          <w:p w14:paraId="4DFEE862">
            <w:pPr>
              <w:pStyle w:val="10"/>
              <w:spacing w:before="78" w:line="221" w:lineRule="auto"/>
              <w:ind w:left="178"/>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指标</w:t>
            </w:r>
          </w:p>
        </w:tc>
        <w:tc>
          <w:tcPr>
            <w:tcW w:w="854" w:type="dxa"/>
            <w:vAlign w:val="center"/>
          </w:tcPr>
          <w:p w14:paraId="303DEACB">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部门</w:t>
            </w:r>
          </w:p>
          <w:p w14:paraId="6FA6F1B0">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规划</w:t>
            </w:r>
          </w:p>
        </w:tc>
        <w:tc>
          <w:tcPr>
            <w:tcW w:w="750" w:type="dxa"/>
            <w:vAlign w:val="center"/>
          </w:tcPr>
          <w:p w14:paraId="53F34F75">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运行</w:t>
            </w:r>
          </w:p>
          <w:p w14:paraId="5282F746">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成本</w:t>
            </w:r>
          </w:p>
        </w:tc>
        <w:tc>
          <w:tcPr>
            <w:tcW w:w="720" w:type="dxa"/>
            <w:vAlign w:val="center"/>
          </w:tcPr>
          <w:p w14:paraId="161F1ED2">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管理</w:t>
            </w:r>
          </w:p>
          <w:p w14:paraId="1113C672">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效率</w:t>
            </w:r>
          </w:p>
        </w:tc>
        <w:tc>
          <w:tcPr>
            <w:tcW w:w="780" w:type="dxa"/>
            <w:vAlign w:val="center"/>
          </w:tcPr>
          <w:p w14:paraId="46381FF0">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履职</w:t>
            </w:r>
          </w:p>
          <w:p w14:paraId="690BEEBF">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效能</w:t>
            </w:r>
          </w:p>
        </w:tc>
        <w:tc>
          <w:tcPr>
            <w:tcW w:w="750" w:type="dxa"/>
            <w:vAlign w:val="center"/>
          </w:tcPr>
          <w:p w14:paraId="069193B5">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社会</w:t>
            </w:r>
          </w:p>
          <w:p w14:paraId="32ED4493">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效益</w:t>
            </w:r>
          </w:p>
        </w:tc>
        <w:tc>
          <w:tcPr>
            <w:tcW w:w="1050" w:type="dxa"/>
            <w:vAlign w:val="center"/>
          </w:tcPr>
          <w:p w14:paraId="57EBCBDA">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可持续</w:t>
            </w:r>
          </w:p>
          <w:p w14:paraId="77763604">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发展能力</w:t>
            </w:r>
          </w:p>
        </w:tc>
        <w:tc>
          <w:tcPr>
            <w:tcW w:w="1020" w:type="dxa"/>
            <w:vAlign w:val="center"/>
          </w:tcPr>
          <w:p w14:paraId="67CCD9C3">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服务对象满意度</w:t>
            </w:r>
          </w:p>
        </w:tc>
        <w:tc>
          <w:tcPr>
            <w:tcW w:w="1046" w:type="dxa"/>
            <w:tcBorders>
              <w:right w:val="nil"/>
            </w:tcBorders>
            <w:vAlign w:val="center"/>
          </w:tcPr>
          <w:p w14:paraId="2DB24984">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合计</w:t>
            </w:r>
          </w:p>
        </w:tc>
      </w:tr>
      <w:tr w14:paraId="49D5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702" w:type="dxa"/>
            <w:vMerge w:val="continue"/>
            <w:tcBorders>
              <w:top w:val="nil"/>
              <w:left w:val="nil"/>
            </w:tcBorders>
            <w:vAlign w:val="top"/>
          </w:tcPr>
          <w:p w14:paraId="5D5C8174">
            <w:pPr>
              <w:rPr>
                <w:rFonts w:hint="eastAsia" w:asciiTheme="minorEastAsia" w:hAnsiTheme="minorEastAsia" w:eastAsiaTheme="minorEastAsia" w:cstheme="minorEastAsia"/>
                <w:spacing w:val="0"/>
                <w:sz w:val="24"/>
                <w:szCs w:val="24"/>
              </w:rPr>
            </w:pPr>
          </w:p>
        </w:tc>
        <w:tc>
          <w:tcPr>
            <w:tcW w:w="857" w:type="dxa"/>
            <w:vAlign w:val="top"/>
          </w:tcPr>
          <w:p w14:paraId="077BB81C">
            <w:pPr>
              <w:pStyle w:val="10"/>
              <w:spacing w:before="174" w:line="284" w:lineRule="auto"/>
              <w:ind w:left="304" w:right="169" w:hanging="11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得分率</w:t>
            </w:r>
          </w:p>
        </w:tc>
        <w:tc>
          <w:tcPr>
            <w:tcW w:w="854" w:type="dxa"/>
            <w:vAlign w:val="center"/>
          </w:tcPr>
          <w:p w14:paraId="410E4AED">
            <w:pPr>
              <w:pStyle w:val="10"/>
              <w:spacing w:before="65" w:line="270" w:lineRule="exact"/>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13%</w:t>
            </w:r>
          </w:p>
        </w:tc>
        <w:tc>
          <w:tcPr>
            <w:tcW w:w="750" w:type="dxa"/>
            <w:vAlign w:val="center"/>
          </w:tcPr>
          <w:p w14:paraId="17299B93">
            <w:pPr>
              <w:pStyle w:val="10"/>
              <w:spacing w:before="65" w:line="270" w:lineRule="exact"/>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13%</w:t>
            </w:r>
          </w:p>
        </w:tc>
        <w:tc>
          <w:tcPr>
            <w:tcW w:w="720" w:type="dxa"/>
            <w:vAlign w:val="center"/>
          </w:tcPr>
          <w:p w14:paraId="6BDA2AA6">
            <w:pPr>
              <w:pStyle w:val="10"/>
              <w:spacing w:before="65" w:line="269" w:lineRule="exact"/>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11%</w:t>
            </w:r>
          </w:p>
        </w:tc>
        <w:tc>
          <w:tcPr>
            <w:tcW w:w="780" w:type="dxa"/>
            <w:vAlign w:val="center"/>
          </w:tcPr>
          <w:p w14:paraId="6B7C5C6B">
            <w:pPr>
              <w:pStyle w:val="10"/>
              <w:spacing w:before="65" w:line="269" w:lineRule="exact"/>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25.5%</w:t>
            </w:r>
          </w:p>
        </w:tc>
        <w:tc>
          <w:tcPr>
            <w:tcW w:w="750" w:type="dxa"/>
            <w:vAlign w:val="center"/>
          </w:tcPr>
          <w:p w14:paraId="28CCF245">
            <w:pPr>
              <w:pStyle w:val="10"/>
              <w:spacing w:before="65" w:line="270" w:lineRule="exact"/>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w:t>
            </w:r>
          </w:p>
        </w:tc>
        <w:tc>
          <w:tcPr>
            <w:tcW w:w="1050" w:type="dxa"/>
            <w:vAlign w:val="center"/>
          </w:tcPr>
          <w:p w14:paraId="29671117">
            <w:pPr>
              <w:pStyle w:val="10"/>
              <w:spacing w:before="65" w:line="269" w:lineRule="exact"/>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9%</w:t>
            </w:r>
          </w:p>
        </w:tc>
        <w:tc>
          <w:tcPr>
            <w:tcW w:w="1020" w:type="dxa"/>
            <w:vAlign w:val="center"/>
          </w:tcPr>
          <w:p w14:paraId="55CF812C">
            <w:pPr>
              <w:pStyle w:val="10"/>
              <w:spacing w:before="65" w:line="269" w:lineRule="exact"/>
              <w:jc w:val="center"/>
              <w:rPr>
                <w:rFonts w:hint="default" w:asciiTheme="minorEastAsia" w:hAnsiTheme="minorEastAsia" w:eastAsiaTheme="minorEastAsia" w:cstheme="minorEastAsia"/>
                <w:spacing w:val="0"/>
                <w:position w:val="1"/>
                <w:sz w:val="24"/>
                <w:szCs w:val="24"/>
                <w:lang w:val="en-US" w:eastAsia="zh-CN"/>
              </w:rPr>
            </w:pPr>
            <w:r>
              <w:rPr>
                <w:rFonts w:hint="eastAsia" w:asciiTheme="minorEastAsia" w:hAnsiTheme="minorEastAsia" w:eastAsiaTheme="minorEastAsia" w:cstheme="minorEastAsia"/>
                <w:spacing w:val="0"/>
                <w:position w:val="1"/>
                <w:sz w:val="24"/>
                <w:szCs w:val="24"/>
                <w:lang w:val="en-US" w:eastAsia="zh-CN"/>
              </w:rPr>
              <w:t>10%</w:t>
            </w:r>
          </w:p>
        </w:tc>
        <w:tc>
          <w:tcPr>
            <w:tcW w:w="1046" w:type="dxa"/>
            <w:tcBorders>
              <w:right w:val="nil"/>
            </w:tcBorders>
            <w:vAlign w:val="center"/>
          </w:tcPr>
          <w:p w14:paraId="0614FB7D">
            <w:pPr>
              <w:pStyle w:val="10"/>
              <w:spacing w:before="65" w:line="269" w:lineRule="exact"/>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89.5%</w:t>
            </w:r>
          </w:p>
        </w:tc>
      </w:tr>
    </w:tbl>
    <w:p w14:paraId="12F5AC03">
      <w:pPr>
        <w:pStyle w:val="2"/>
        <w:spacing w:before="238" w:line="219" w:lineRule="auto"/>
        <w:jc w:val="center"/>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五、存在的问题</w:t>
      </w:r>
    </w:p>
    <w:p w14:paraId="010E9CDE">
      <w:pPr>
        <w:spacing w:line="91" w:lineRule="auto"/>
        <w:rPr>
          <w:rFonts w:hint="eastAsia" w:asciiTheme="minorEastAsia" w:hAnsiTheme="minorEastAsia" w:eastAsiaTheme="minorEastAsia" w:cstheme="minorEastAsia"/>
          <w:spacing w:val="0"/>
          <w:sz w:val="24"/>
          <w:szCs w:val="24"/>
        </w:rPr>
      </w:pPr>
    </w:p>
    <w:tbl>
      <w:tblPr>
        <w:tblStyle w:val="9"/>
        <w:tblW w:w="8530" w:type="dxa"/>
        <w:tblInd w:w="0" w:type="dxa"/>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Layout w:type="fixed"/>
        <w:tblCellMar>
          <w:top w:w="0" w:type="dxa"/>
          <w:left w:w="0" w:type="dxa"/>
          <w:bottom w:w="0" w:type="dxa"/>
          <w:right w:w="0" w:type="dxa"/>
        </w:tblCellMar>
      </w:tblPr>
      <w:tblGrid>
        <w:gridCol w:w="8530"/>
      </w:tblGrid>
      <w:tr w14:paraId="1492D398">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3556" w:hRule="atLeast"/>
        </w:trPr>
        <w:tc>
          <w:tcPr>
            <w:tcW w:w="8530" w:type="dxa"/>
            <w:tcBorders>
              <w:tl2br w:val="nil"/>
              <w:tr2bl w:val="nil"/>
            </w:tcBorders>
            <w:vAlign w:val="center"/>
          </w:tcPr>
          <w:p w14:paraId="4B418307">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我单位 2024年在项目决策上合理，实施过程中领导重视，管理较规范，较好的达到了预期的绩效目标，但有些方面仍有不足，主要是县财政支出压力大，部分资金未拨付到位。</w:t>
            </w:r>
          </w:p>
          <w:p w14:paraId="1E41CC32">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在今后的工作中进一步强化预算执行管理，严格预算支出管理，强化预算约束，从源头上管控好预算指标的实际执行，始终完善经费支出审批程序。同时，加强预算管理监督，切实严肃财经纪律，严格执行各项法律法规，切实把财经纪律和各项管理制度落到实处，着力强化单位内部管理，把各环节责任明确到人、落实到位。</w:t>
            </w:r>
          </w:p>
        </w:tc>
      </w:tr>
      <w:tr w14:paraId="78100947">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57" w:hRule="atLeast"/>
        </w:trPr>
        <w:tc>
          <w:tcPr>
            <w:tcW w:w="8530" w:type="dxa"/>
            <w:tcBorders>
              <w:tl2br w:val="nil"/>
              <w:tr2bl w:val="nil"/>
            </w:tcBorders>
            <w:vAlign w:val="center"/>
          </w:tcPr>
          <w:p w14:paraId="631C7164">
            <w:pPr>
              <w:pStyle w:val="10"/>
              <w:spacing w:before="193" w:line="220" w:lineRule="auto"/>
              <w:ind w:left="3312"/>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六、有关意见建议</w:t>
            </w:r>
          </w:p>
        </w:tc>
      </w:tr>
      <w:tr w14:paraId="35FA2F90">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2565" w:hRule="atLeast"/>
        </w:trPr>
        <w:tc>
          <w:tcPr>
            <w:tcW w:w="8530" w:type="dxa"/>
            <w:tcBorders>
              <w:tl2br w:val="nil"/>
              <w:tr2bl w:val="nil"/>
            </w:tcBorders>
            <w:vAlign w:val="center"/>
          </w:tcPr>
          <w:p w14:paraId="0AD6727F">
            <w:pPr>
              <w:pStyle w:val="2"/>
              <w:keepNext w:val="0"/>
              <w:keepLines w:val="0"/>
              <w:pageBreakBefore w:val="0"/>
              <w:kinsoku/>
              <w:wordWrap/>
              <w:overflowPunct/>
              <w:topLinePunct w:val="0"/>
              <w:autoSpaceDE/>
              <w:autoSpaceDN/>
              <w:bidi w:val="0"/>
              <w:adjustRightInd/>
              <w:snapToGrid/>
              <w:spacing w:beforeAutospacing="0" w:afterAutospacing="0" w:line="240" w:lineRule="auto"/>
              <w:ind w:right="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建议单位按照项目实施进度督促项目负责人及时提出资金支付申请，财务部门及时审核、拨付资金，加快项目资金支出进度，尽早发挥财政资金使用效益。</w:t>
            </w:r>
          </w:p>
        </w:tc>
      </w:tr>
      <w:tr w14:paraId="2F22F6A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648" w:hRule="atLeast"/>
        </w:trPr>
        <w:tc>
          <w:tcPr>
            <w:tcW w:w="8530" w:type="dxa"/>
            <w:tcBorders>
              <w:tl2br w:val="nil"/>
              <w:tr2bl w:val="nil"/>
            </w:tcBorders>
            <w:vAlign w:val="center"/>
          </w:tcPr>
          <w:p w14:paraId="45915C0D">
            <w:pPr>
              <w:pStyle w:val="10"/>
              <w:spacing w:before="239" w:line="220" w:lineRule="auto"/>
              <w:ind w:left="3190"/>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七、</w:t>
            </w:r>
            <w:r>
              <w:rPr>
                <w:b/>
                <w:bCs/>
                <w:spacing w:val="0"/>
              </w:rPr>
              <w:t>其他需要说明的事项</w:t>
            </w:r>
          </w:p>
        </w:tc>
      </w:tr>
      <w:tr w14:paraId="56BE602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2186" w:hRule="atLeast"/>
        </w:trPr>
        <w:tc>
          <w:tcPr>
            <w:tcW w:w="8530" w:type="dxa"/>
            <w:tcBorders>
              <w:tl2br w:val="nil"/>
              <w:tr2bl w:val="nil"/>
            </w:tcBorders>
            <w:vAlign w:val="center"/>
          </w:tcPr>
          <w:p w14:paraId="39714EF8">
            <w:pPr>
              <w:pStyle w:val="5"/>
              <w:keepNext w:val="0"/>
              <w:keepLines w:val="0"/>
              <w:widowControl/>
              <w:suppressLineNumbers w:val="0"/>
              <w:spacing w:before="0" w:beforeAutospacing="0" w:after="0" w:afterAutospacing="0"/>
              <w:ind w:right="0"/>
              <w:jc w:val="both"/>
              <w:rPr>
                <w:rFonts w:hint="default" w:asciiTheme="minorEastAsia" w:hAnsiTheme="minorEastAsia" w:eastAsiaTheme="minorEastAsia" w:cstheme="minorEastAsia"/>
                <w:snapToGrid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2"/>
                <w:sz w:val="24"/>
                <w:szCs w:val="24"/>
                <w:lang w:val="en-US" w:eastAsia="zh-CN" w:bidi="ar-SA"/>
                <w14:textFill>
                  <w14:solidFill>
                    <w14:schemeClr w14:val="tx1"/>
                  </w14:solidFill>
                </w14:textFill>
              </w:rPr>
              <w:t>无</w:t>
            </w:r>
          </w:p>
          <w:p w14:paraId="619FA87F">
            <w:pPr>
              <w:pStyle w:val="10"/>
              <w:spacing w:before="116" w:beforeLines="0" w:afterLines="0" w:line="306" w:lineRule="auto"/>
              <w:ind w:left="118" w:right="28" w:firstLine="476"/>
              <w:jc w:val="both"/>
              <w:rPr>
                <w:rFonts w:hint="eastAsia" w:asciiTheme="minorEastAsia" w:hAnsiTheme="minorEastAsia" w:eastAsiaTheme="minorEastAsia" w:cstheme="minorEastAsia"/>
                <w:spacing w:val="0"/>
                <w:sz w:val="24"/>
                <w:szCs w:val="24"/>
              </w:rPr>
            </w:pPr>
            <w:bookmarkStart w:id="0" w:name="_GoBack"/>
            <w:bookmarkEnd w:id="0"/>
          </w:p>
          <w:p w14:paraId="49465040">
            <w:pPr>
              <w:pStyle w:val="10"/>
              <w:spacing w:before="116" w:beforeLines="0" w:afterLines="0" w:line="306" w:lineRule="auto"/>
              <w:ind w:left="118" w:right="28" w:firstLine="476"/>
              <w:jc w:val="both"/>
              <w:rPr>
                <w:rFonts w:hint="eastAsia" w:asciiTheme="minorEastAsia" w:hAnsiTheme="minorEastAsia" w:eastAsiaTheme="minorEastAsia" w:cstheme="minorEastAsia"/>
                <w:spacing w:val="0"/>
                <w:sz w:val="24"/>
                <w:szCs w:val="24"/>
              </w:rPr>
            </w:pPr>
          </w:p>
        </w:tc>
      </w:tr>
    </w:tbl>
    <w:p w14:paraId="7BDAA81C">
      <w:pPr>
        <w:rPr>
          <w:rFonts w:hint="eastAsia" w:asciiTheme="minorEastAsia" w:hAnsiTheme="minorEastAsia" w:eastAsiaTheme="minorEastAsia" w:cstheme="minorEastAsia"/>
          <w:spacing w:val="0"/>
          <w:sz w:val="24"/>
          <w:szCs w:val="24"/>
        </w:rPr>
      </w:pPr>
    </w:p>
    <w:sectPr>
      <w:footerReference r:id="rId5" w:type="default"/>
      <w:pgSz w:w="11906" w:h="16839"/>
      <w:pgMar w:top="1431" w:right="1687" w:bottom="1170" w:left="1688" w:header="0" w:footer="975"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7AAC">
    <w:pPr>
      <w:pStyle w:val="2"/>
      <w:spacing w:line="179" w:lineRule="auto"/>
      <w:ind w:left="4020"/>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E31B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2E31B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172A27"/>
    <w:rsid w:val="00A566D5"/>
    <w:rsid w:val="02E1776D"/>
    <w:rsid w:val="049C7DEF"/>
    <w:rsid w:val="058663AA"/>
    <w:rsid w:val="067E2E92"/>
    <w:rsid w:val="067E3AD6"/>
    <w:rsid w:val="07A86AAB"/>
    <w:rsid w:val="07BC4304"/>
    <w:rsid w:val="09B554AF"/>
    <w:rsid w:val="09DF7BEC"/>
    <w:rsid w:val="0C8F3D96"/>
    <w:rsid w:val="11A57E6D"/>
    <w:rsid w:val="12C329EB"/>
    <w:rsid w:val="16A06327"/>
    <w:rsid w:val="19AC41D9"/>
    <w:rsid w:val="1D5242DB"/>
    <w:rsid w:val="20FA3A7C"/>
    <w:rsid w:val="226B2757"/>
    <w:rsid w:val="23264FFC"/>
    <w:rsid w:val="236D2C2B"/>
    <w:rsid w:val="248A3369"/>
    <w:rsid w:val="28E7579C"/>
    <w:rsid w:val="2E206AEC"/>
    <w:rsid w:val="300E12C4"/>
    <w:rsid w:val="30640F12"/>
    <w:rsid w:val="33707BCD"/>
    <w:rsid w:val="33723946"/>
    <w:rsid w:val="337B2999"/>
    <w:rsid w:val="35E82F17"/>
    <w:rsid w:val="3B6E70E8"/>
    <w:rsid w:val="3BE253E0"/>
    <w:rsid w:val="3C28373B"/>
    <w:rsid w:val="3C5F1085"/>
    <w:rsid w:val="43EE7018"/>
    <w:rsid w:val="455F19D3"/>
    <w:rsid w:val="46596265"/>
    <w:rsid w:val="4703102D"/>
    <w:rsid w:val="47422245"/>
    <w:rsid w:val="48904B42"/>
    <w:rsid w:val="530F0D59"/>
    <w:rsid w:val="5A2E5F69"/>
    <w:rsid w:val="5BE30FD5"/>
    <w:rsid w:val="5CB62246"/>
    <w:rsid w:val="5E1436C8"/>
    <w:rsid w:val="5E8124E4"/>
    <w:rsid w:val="5F3C1128"/>
    <w:rsid w:val="652B1AD8"/>
    <w:rsid w:val="6913481E"/>
    <w:rsid w:val="6DA700B4"/>
    <w:rsid w:val="706E686D"/>
    <w:rsid w:val="74D86DA5"/>
    <w:rsid w:val="77584B43"/>
    <w:rsid w:val="788A485A"/>
    <w:rsid w:val="7C4116D4"/>
    <w:rsid w:val="7C8021FC"/>
    <w:rsid w:val="7DCA74A7"/>
    <w:rsid w:val="7DE92023"/>
    <w:rsid w:val="7E3C027A"/>
    <w:rsid w:val="7FC52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9"/>
      <w:szCs w:val="1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307</Words>
  <Characters>316</Characters>
  <TotalTime>0</TotalTime>
  <ScaleCrop>false</ScaleCrop>
  <LinksUpToDate>false</LinksUpToDate>
  <CharactersWithSpaces>326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2024-11-27T14:55:00Z</dcterms:created>
  <dc:creator>Windows 用户</dc:creator>
  <cp:lastModifiedBy>A2     Eddy</cp:lastModifiedBy>
  <dcterms:modified xsi:type="dcterms:W3CDTF">2025-09-19T02:17:14Z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2024-12-05T15:11:16Z</vt:filetime>
  </property>
  <property fmtid="{D5CDD505-2E9C-101B-9397-08002B2CF9AE}" pid="4" name="KSOProductBuildVer">
    <vt:lpwstr>2052-12.1.0.22529</vt:lpwstr>
  </property>
  <property fmtid="{D5CDD505-2E9C-101B-9397-08002B2CF9AE}" pid="5" name="ICV">
    <vt:lpwstr>14EA29BC42D4462288625A5BDBA3A0ED_13</vt:lpwstr>
  </property>
  <property fmtid="{D5CDD505-2E9C-101B-9397-08002B2CF9AE}" pid="6" name="KSOTemplateDocerSaveRecord">
    <vt:lpwstr>eyJoZGlkIjoiZTc5NDM3ZjAxMTBkYWQzYTUyMzI4MTQzN2FmODE2NzQiLCJ1c2VySWQiOiIzNTQzMTU5NzQifQ==</vt:lpwstr>
  </property>
</Properties>
</file>