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合卫健发〔202*〕**号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绩效自评报告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bookmarkStart w:id="0" w:name="_Hlk136360601"/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为进一步加强财政支出绩效管理，提高财政资金使用效益，根据通知要求，对我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乡中医药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项目专项资金进行了绩效评价</w:t>
      </w:r>
      <w:bookmarkEnd w:id="0"/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。现将评价情况报告如下：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按照医药卫生体制改革总体要求，</w:t>
      </w:r>
      <w:r>
        <w:rPr>
          <w:rFonts w:hint="eastAsia" w:cs="Times New Roman"/>
          <w:b w:val="0"/>
          <w:bCs w:val="0"/>
          <w:kern w:val="0"/>
          <w:sz w:val="32"/>
          <w:szCs w:val="32"/>
          <w:lang w:val="en-US" w:eastAsia="zh-CN"/>
        </w:rPr>
        <w:t>我院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落实了项目绩效政策，根据《关于下达2021年省级有关转移支付补助资金的通知》甘财社（2021）14号</w:t>
      </w:r>
      <w:r>
        <w:rPr>
          <w:rFonts w:hint="eastAsia" w:cs="Times New Roman"/>
          <w:b w:val="0"/>
          <w:bCs w:val="0"/>
          <w:kern w:val="0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与资金管理规定，及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时科学有效兑付了项目资金，实现了全县人民政策普惠共享。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要求依据因素法与项目法相结合的方式分配。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财务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部门编制，主要内容包含实施项目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方案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、投资额度、建设内容、工期进度、完成时限要求等，经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县卫健局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会议审定后，报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县国资局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审批。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全面落实了支付预算和绩效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补偿政策，建立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稳定的补偿渠道和补偿方式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，有效弥补了医疗机构因政策性亏损造成的损失，提升了基层医疗机构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中医诊疗能力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，由施工企业申请、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卫生院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初审、县卫健局相关股室负责人、分管领导、主要领导分级审核，执行三级审批制度。资金拨付有规范的审批流程和完整的拨付手续，不存在违规使用资金存的情况。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项目实施及管理情况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项目总体目标为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建设中医馆，提高中医药服务能力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绩效申报表与项目年度计划相辅相成，三级指标结合本项目实际，按照项目推进的关键因素制定，能够如实反映项目建设过程中的重要指标。通过项目的实施，进一步扩大城乡医疗资源供给，优化全县医疗布局，逐步改善各医疗卫生单位条件，为患者提供良好的就医环境，通过努力提升医疗水平，促使全县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1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1"/>
      <w:bookmarkStart w:id="2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本年县级预算</w:t>
      </w:r>
      <w:r>
        <w:rPr>
          <w:rFonts w:hint="eastAsia" w:ascii="仿宋" w:hAnsi="仿宋" w:eastAsia="仿宋"/>
          <w:color w:val="1F497D"/>
          <w:sz w:val="32"/>
          <w:szCs w:val="32"/>
          <w:lang w:val="en-US" w:eastAsia="zh-CN"/>
        </w:rPr>
        <w:t>、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4" w:name="_Hlk136360016"/>
      <w:r>
        <w:rPr>
          <w:rFonts w:hint="eastAsia" w:ascii="仿宋" w:hAnsi="仿宋" w:eastAsia="仿宋"/>
          <w:sz w:val="32"/>
          <w:szCs w:val="32"/>
        </w:rPr>
        <w:t>依据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《关于下达2021年省级有关转移支付补助资金的通知》甘财社（2021）14号</w:t>
      </w:r>
      <w:r>
        <w:rPr>
          <w:rFonts w:hint="eastAsia" w:cs="Times New Roman"/>
          <w:b w:val="0"/>
          <w:bCs w:val="0"/>
          <w:kern w:val="0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/>
          <w:sz w:val="32"/>
          <w:szCs w:val="32"/>
        </w:rPr>
        <w:t>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5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7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院长吴滢滢</w:t>
      </w:r>
      <w:r>
        <w:rPr>
          <w:rFonts w:hint="eastAsia" w:ascii="仿宋" w:hAnsi="仿宋" w:eastAsia="仿宋"/>
          <w:sz w:val="32"/>
          <w:szCs w:val="32"/>
        </w:rPr>
        <w:t>为组长，项目分管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院长张玉亮</w:t>
      </w:r>
      <w:r>
        <w:rPr>
          <w:rFonts w:hint="eastAsia" w:ascii="仿宋" w:hAnsi="仿宋" w:eastAsia="仿宋"/>
          <w:sz w:val="32"/>
          <w:szCs w:val="32"/>
        </w:rPr>
        <w:t>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会计梁宝鹏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临床医师李雅雅、护士长郑华</w:t>
      </w:r>
      <w:r>
        <w:rPr>
          <w:rFonts w:hint="eastAsia" w:ascii="仿宋" w:hAnsi="仿宋" w:eastAsia="仿宋"/>
          <w:sz w:val="32"/>
          <w:szCs w:val="32"/>
        </w:rPr>
        <w:t>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明确，项目申报符合条件，程序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手续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齐全，项目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质量达到相关行业标准，</w:t>
      </w:r>
      <w:r>
        <w:rPr>
          <w:rFonts w:hint="eastAsia" w:ascii="仿宋" w:hAnsi="仿宋" w:eastAsia="仿宋"/>
          <w:sz w:val="32"/>
          <w:szCs w:val="32"/>
        </w:rPr>
        <w:t>项目建设进度能够按期完成，资金使用管理基本</w:t>
      </w:r>
      <w:r>
        <w:rPr>
          <w:rFonts w:ascii="仿宋" w:hAnsi="仿宋" w:eastAsia="仿宋"/>
          <w:sz w:val="32"/>
          <w:szCs w:val="32"/>
        </w:rPr>
        <w:t>达到预期绩效目标要求。</w:t>
      </w:r>
      <w:r>
        <w:rPr>
          <w:rFonts w:hint="eastAsia" w:ascii="仿宋" w:hAnsi="仿宋" w:eastAsia="仿宋"/>
          <w:sz w:val="32"/>
          <w:szCs w:val="32"/>
        </w:rPr>
        <w:t>项目专项资金共下达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bookmarkStart w:id="8" w:name="_GoBack"/>
      <w:bookmarkEnd w:id="8"/>
      <w:r>
        <w:rPr>
          <w:rFonts w:hint="eastAsia" w:ascii="仿宋" w:hAnsi="仿宋" w:eastAsia="仿宋"/>
          <w:sz w:val="32"/>
          <w:szCs w:val="32"/>
        </w:rPr>
        <w:t>目前实际拨付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17.22</w:t>
      </w:r>
      <w:r>
        <w:rPr>
          <w:rFonts w:hint="eastAsia" w:ascii="仿宋" w:hAnsi="仿宋" w:eastAsia="仿宋"/>
          <w:sz w:val="32"/>
          <w:szCs w:val="32"/>
          <w:highlight w:val="none"/>
        </w:rPr>
        <w:t>万元，资金支付率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86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</w:rPr>
        <w:t>，资金支付较为迟缓。绩效自评总得分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96</w:t>
      </w:r>
      <w:r>
        <w:rPr>
          <w:rFonts w:hint="eastAsia" w:ascii="仿宋" w:hAnsi="仿宋" w:eastAsia="仿宋"/>
          <w:sz w:val="32"/>
          <w:szCs w:val="32"/>
          <w:highlight w:val="none"/>
        </w:rPr>
        <w:t>分，评价总体结论为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优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中医药专项</w:t>
      </w:r>
      <w:r>
        <w:rPr>
          <w:rFonts w:hint="eastAsia" w:ascii="仿宋" w:hAnsi="仿宋" w:eastAsia="仿宋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通过项目的实施，全县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hint="eastAsia" w:ascii="仿宋" w:hAnsi="仿宋" w:eastAsia="仿宋"/>
          <w:sz w:val="32"/>
          <w:szCs w:val="32"/>
        </w:rPr>
        <w:t>条件进一步改善</w:t>
      </w:r>
      <w:r>
        <w:rPr>
          <w:rFonts w:hint="eastAsia" w:ascii="仿宋" w:hAnsi="仿宋" w:eastAsia="仿宋"/>
          <w:sz w:val="32"/>
          <w:szCs w:val="32"/>
          <w:lang w:eastAsia="zh-CN"/>
        </w:rPr>
        <w:t>，医疗水平</w:t>
      </w:r>
      <w:r>
        <w:rPr>
          <w:rFonts w:hint="eastAsia" w:ascii="仿宋" w:hAnsi="仿宋" w:eastAsia="仿宋"/>
          <w:sz w:val="32"/>
          <w:szCs w:val="32"/>
        </w:rPr>
        <w:t>持续增加，</w:t>
      </w:r>
      <w:r>
        <w:rPr>
          <w:rFonts w:hint="eastAsia" w:ascii="仿宋" w:hAnsi="仿宋" w:eastAsia="仿宋"/>
          <w:sz w:val="32"/>
          <w:szCs w:val="32"/>
          <w:lang w:eastAsia="zh-CN"/>
        </w:rPr>
        <w:t>看病难、看病贵</w:t>
      </w:r>
      <w:r>
        <w:rPr>
          <w:rFonts w:hint="eastAsia" w:ascii="仿宋" w:hAnsi="仿宋" w:eastAsia="仿宋"/>
          <w:sz w:val="32"/>
          <w:szCs w:val="32"/>
        </w:rPr>
        <w:t>问题得到有效解决。</w:t>
      </w:r>
      <w:r>
        <w:rPr>
          <w:rFonts w:hint="eastAsia" w:ascii="仿宋" w:hAnsi="仿宋" w:eastAsia="仿宋"/>
          <w:sz w:val="32"/>
          <w:szCs w:val="32"/>
          <w:lang w:eastAsia="zh-CN"/>
        </w:rPr>
        <w:t>医疗水平</w:t>
      </w:r>
      <w:r>
        <w:rPr>
          <w:rFonts w:hint="eastAsia" w:ascii="仿宋" w:hAnsi="仿宋" w:eastAsia="仿宋"/>
          <w:sz w:val="32"/>
          <w:szCs w:val="32"/>
        </w:rPr>
        <w:t>实现跨越式发展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ascii="仿宋" w:hAnsi="仿宋" w:eastAsia="仿宋"/>
          <w:sz w:val="32"/>
          <w:szCs w:val="32"/>
        </w:rPr>
        <w:t>质量</w:t>
      </w:r>
      <w:r>
        <w:rPr>
          <w:rFonts w:hint="eastAsia" w:ascii="仿宋" w:hAnsi="仿宋" w:eastAsia="仿宋"/>
          <w:sz w:val="32"/>
          <w:szCs w:val="32"/>
        </w:rPr>
        <w:t>逐步</w:t>
      </w:r>
      <w:r>
        <w:rPr>
          <w:rFonts w:ascii="仿宋" w:hAnsi="仿宋" w:eastAsia="仿宋"/>
          <w:sz w:val="32"/>
          <w:szCs w:val="32"/>
        </w:rPr>
        <w:t>提升，</w:t>
      </w:r>
      <w:r>
        <w:rPr>
          <w:rFonts w:hint="eastAsia" w:ascii="仿宋" w:hAnsi="仿宋" w:eastAsia="仿宋"/>
          <w:sz w:val="32"/>
          <w:szCs w:val="32"/>
        </w:rPr>
        <w:t>趋向多元化发展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近年来虽然我们在项目落实上取得了一定成绩，但还存在一些不足。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由于县级配套困难，加之中央补助资金总量不足，致使医疗机构政策亏损不能完全弥补。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建议：进一步加大中央预算资金投入，化解医院债务。加强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中医药服务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管理，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加强中医医师人才培训，进一步提高中医药服务能力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outlineLvl w:val="0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合水县段家集中心卫生院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**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134" w:right="1440" w:bottom="1701" w:left="1440" w:header="851" w:footer="992" w:gutter="0"/>
      <w:pgNumType w:fmt="numberInDash"/>
      <w:cols w:space="720" w:num="1"/>
      <w:rtlGutter w:val="0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WRkYjZlMGRjZmU1M2M1ZDFkZDY3ZDU5YjJhYTgifQ=="/>
  </w:docVars>
  <w:rsids>
    <w:rsidRoot w:val="38906BA1"/>
    <w:rsid w:val="38906BA1"/>
    <w:rsid w:val="505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 Indent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2023-06-22T03:07:00Z</dcterms:created>
  <dc:creator>陪伴是最奢侈的幸福</dc:creator>
  <cp:lastModifiedBy>北辰</cp:lastModifiedBy>
  <dcterms:modified xsi:type="dcterms:W3CDTF">2024-06-05T06:10:08Z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1B62DB304AD5445EBA157D5BE07D764C_11</vt:lpwstr>
  </property>
</Properties>
</file>