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color w:val="000000"/>
          <w:sz w:val="36"/>
          <w:szCs w:val="36"/>
        </w:rPr>
      </w:pPr>
    </w:p>
    <w:p>
      <w:pPr>
        <w:pStyle w:val="3"/>
        <w:spacing w:before="0" w:after="0" w:line="600" w:lineRule="exact"/>
        <w:jc w:val="center"/>
        <w:rPr>
          <w:rFonts w:hint="eastAsia" w:ascii="方正小标宋简体" w:eastAsia="方正小标宋简体" w:cs="宋体"/>
          <w:b w:val="0"/>
          <w:color w:val="000000"/>
          <w:sz w:val="40"/>
          <w:szCs w:val="40"/>
        </w:rPr>
      </w:pPr>
      <w:r>
        <w:rPr>
          <w:rFonts w:hint="eastAsia" w:ascii="方正小标宋简体" w:eastAsia="方正小标宋简体"/>
          <w:b w:val="0"/>
          <w:color w:val="000000"/>
          <w:sz w:val="40"/>
          <w:szCs w:val="40"/>
          <w:lang w:val="en-US" w:eastAsia="zh-CN"/>
        </w:rPr>
        <w:t>重大传染病防控经费</w:t>
      </w:r>
      <w:r>
        <w:rPr>
          <w:rFonts w:hint="eastAsia" w:ascii="方正小标宋简体" w:eastAsia="方正小标宋简体"/>
          <w:b w:val="0"/>
          <w:color w:val="000000"/>
          <w:sz w:val="40"/>
          <w:szCs w:val="40"/>
        </w:rPr>
        <w:t>项目支出绩效自评表</w:t>
      </w:r>
    </w:p>
    <w:p>
      <w:pPr>
        <w:spacing w:line="600" w:lineRule="exact"/>
        <w:jc w:val="center"/>
        <w:rPr>
          <w:rFonts w:hint="eastAsia" w:ascii="宋体" w:hAnsi="宋体" w:cs="仿宋"/>
          <w:color w:val="000000"/>
          <w:sz w:val="23"/>
          <w:szCs w:val="23"/>
        </w:rPr>
      </w:pPr>
      <w:r>
        <w:rPr>
          <w:rFonts w:hint="eastAsia" w:ascii="宋体" w:hAnsi="宋体" w:cs="仿宋"/>
          <w:color w:val="000000"/>
          <w:sz w:val="23"/>
          <w:szCs w:val="23"/>
        </w:rPr>
        <w:t>（20</w:t>
      </w:r>
      <w:r>
        <w:rPr>
          <w:rFonts w:hint="eastAsia" w:ascii="宋体" w:hAnsi="宋体" w:cs="仿宋"/>
          <w:color w:val="000000"/>
          <w:sz w:val="23"/>
          <w:szCs w:val="23"/>
          <w:lang w:val="en-US" w:eastAsia="zh-CN"/>
        </w:rPr>
        <w:t>22</w:t>
      </w:r>
      <w:r>
        <w:rPr>
          <w:rFonts w:hint="eastAsia" w:ascii="宋体" w:hAnsi="宋体" w:cs="仿宋"/>
          <w:color w:val="000000"/>
          <w:sz w:val="23"/>
          <w:szCs w:val="23"/>
        </w:rPr>
        <w:t>年度）</w:t>
      </w:r>
    </w:p>
    <w:tbl>
      <w:tblPr>
        <w:tblStyle w:val="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27"/>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1"/>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重大传染病防控经费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4"/>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74.57</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eastAsia="zh-CN"/>
              </w:rPr>
            </w:pPr>
            <w:r>
              <w:rPr>
                <w:rFonts w:hint="eastAsia" w:ascii="Times New Roman"/>
                <w:color w:val="000000"/>
                <w:sz w:val="14"/>
                <w:szCs w:val="14"/>
                <w:lang w:val="en-US" w:eastAsia="zh-CN"/>
              </w:rPr>
              <w:t>74.57</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18.79</w:t>
            </w: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rFonts w:hint="default" w:eastAsia="宋体"/>
                <w:color w:val="000000"/>
                <w:sz w:val="15"/>
                <w:szCs w:val="15"/>
                <w:lang w:val="en-US" w:eastAsia="zh-CN"/>
              </w:rPr>
            </w:pPr>
            <w:r>
              <w:rPr>
                <w:rFonts w:hint="eastAsia"/>
                <w:color w:val="000000"/>
                <w:sz w:val="15"/>
                <w:szCs w:val="15"/>
                <w:lang w:val="en-US" w:eastAsia="zh-CN"/>
              </w:rPr>
              <w:t>10</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25.19%</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eastAsia" w:eastAsia="宋体"/>
                <w:color w:val="000000"/>
                <w:sz w:val="15"/>
                <w:szCs w:val="15"/>
                <w:lang w:val="en-US" w:eastAsia="zh-CN"/>
              </w:rPr>
            </w:pPr>
            <w:r>
              <w:rPr>
                <w:rFonts w:hint="eastAsia"/>
                <w:color w:val="000000"/>
                <w:sz w:val="15"/>
                <w:szCs w:val="15"/>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74.57</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eastAsia="zh-CN"/>
              </w:rPr>
            </w:pPr>
            <w:r>
              <w:rPr>
                <w:rFonts w:hint="eastAsia" w:ascii="Times New Roman"/>
                <w:color w:val="000000"/>
                <w:sz w:val="14"/>
                <w:szCs w:val="14"/>
                <w:lang w:val="en-US" w:eastAsia="zh-CN"/>
              </w:rPr>
              <w:t>74.57</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18.79</w:t>
            </w: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lang w:val="en-US" w:eastAsia="zh-CN"/>
              </w:rPr>
              <w:t>10</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25.19%</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color w:val="000000"/>
                <w:sz w:val="15"/>
                <w:szCs w:val="15"/>
              </w:rPr>
            </w:pPr>
            <w:r>
              <w:rPr>
                <w:rFonts w:hint="eastAsia" w:ascii="Times New Roman"/>
                <w:color w:val="000000"/>
                <w:sz w:val="14"/>
                <w:szCs w:val="1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89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627"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日标1：以乡镇（道）为单位适龄儿童国家免疫规划疫苗接种率大于等于90%</w:t>
            </w:r>
          </w:p>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目标2:开展重大慢性病早期筛查干预项目，落实慢性病及其相关危險因索监测</w:t>
            </w:r>
          </w:p>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目标3：减少艾滋病新发感染，降低艾滋病病死率，进一步减少结核感染、患病和死总亡，加强传染病疫情监测、流行病学调查和疫情分析研判，及时处置暴发疫情，逐步降低重点传染病的危害。</w:t>
            </w:r>
          </w:p>
          <w:p>
            <w:pPr>
              <w:pStyle w:val="9"/>
              <w:jc w:val="left"/>
              <w:rPr>
                <w:rFonts w:hint="default" w:ascii="Times New Roman" w:eastAsia="宋体"/>
                <w:color w:val="000000"/>
                <w:sz w:val="14"/>
                <w:szCs w:val="14"/>
                <w:lang w:val="en-US" w:eastAsia="zh-CN"/>
              </w:rPr>
            </w:pPr>
            <w:r>
              <w:rPr>
                <w:rFonts w:hint="eastAsia" w:ascii="Times New Roman"/>
                <w:color w:val="000000"/>
                <w:sz w:val="11"/>
                <w:szCs w:val="11"/>
                <w:lang w:val="en-US" w:eastAsia="zh-CN"/>
              </w:rPr>
              <w:t>目标4：完成以新馆肺炎为主的病毒性传染病监测。</w:t>
            </w:r>
          </w:p>
        </w:tc>
        <w:tc>
          <w:tcPr>
            <w:tcW w:w="4242"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日标1：以乡镇（道）为单位适龄儿童国家免疫规划疫苗接种率大于等于90%</w:t>
            </w:r>
          </w:p>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目标2:开展重大慢性病早期筛查干预项目，落实慢性病及其相关危險因索监测</w:t>
            </w:r>
          </w:p>
          <w:p>
            <w:pPr>
              <w:pStyle w:val="9"/>
              <w:jc w:val="left"/>
              <w:rPr>
                <w:rFonts w:hint="eastAsia" w:ascii="Times New Roman"/>
                <w:color w:val="000000"/>
                <w:sz w:val="11"/>
                <w:szCs w:val="11"/>
                <w:lang w:val="en-US" w:eastAsia="zh-CN"/>
              </w:rPr>
            </w:pPr>
            <w:r>
              <w:rPr>
                <w:rFonts w:hint="eastAsia" w:ascii="Times New Roman"/>
                <w:color w:val="000000"/>
                <w:sz w:val="11"/>
                <w:szCs w:val="11"/>
                <w:lang w:val="en-US" w:eastAsia="zh-CN"/>
              </w:rPr>
              <w:t>目标3：减少艾滋病新发感染，降低艾滋病病死率，进一步减少结核感染、患病和死总亡，加强传染病疫情监测、流行病学调查和疫情分析研判，及时处置暴发疫情，逐步降低重点传染病的危害。</w:t>
            </w:r>
          </w:p>
          <w:p>
            <w:pPr>
              <w:pStyle w:val="9"/>
              <w:jc w:val="both"/>
              <w:rPr>
                <w:rFonts w:hint="default" w:ascii="Times New Roman" w:eastAsia="宋体"/>
                <w:color w:val="000000"/>
                <w:sz w:val="14"/>
                <w:szCs w:val="14"/>
                <w:lang w:val="en-US" w:eastAsia="zh-CN"/>
              </w:rPr>
            </w:pPr>
            <w:r>
              <w:rPr>
                <w:rFonts w:hint="eastAsia" w:ascii="Times New Roman"/>
                <w:color w:val="000000"/>
                <w:sz w:val="11"/>
                <w:szCs w:val="11"/>
                <w:lang w:val="en-US" w:eastAsia="zh-CN"/>
              </w:rPr>
              <w:t>目标4：完成以新馆肺炎为主的病毒性传染病监测。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95"/>
              <w:ind w:left="110"/>
              <w:jc w:val="center"/>
              <w:rPr>
                <w:color w:val="000000"/>
                <w:sz w:val="15"/>
                <w:szCs w:val="15"/>
              </w:rPr>
            </w:pPr>
            <w:r>
              <w:rPr>
                <w:rFonts w:hint="eastAsia"/>
                <w:color w:val="000000"/>
                <w:sz w:val="15"/>
                <w:szCs w:val="15"/>
              </w:rPr>
              <w:t>产出指标</w:t>
            </w: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数量指标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指标1：适龄儿童国家免疫规划疫苗接种率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指标2：发现并治疗管理肺结核患者数</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不低于患者治疗及随访管理任务数的85%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指标3：艾滋病免费抗病毒治疗</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艾滋病高危人群（暗场、男性同性性行为人群） 干预</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艾滋病哨点监测完成率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≥9</w:t>
            </w:r>
            <w:r>
              <w:rPr>
                <w:rFonts w:hint="eastAsia" w:ascii="Times New Roman"/>
                <w:color w:val="000000"/>
                <w:sz w:val="14"/>
                <w:szCs w:val="14"/>
                <w:lang w:val="en-US" w:eastAsia="zh-CN"/>
              </w:rPr>
              <w:t>5</w:t>
            </w:r>
            <w:r>
              <w:rPr>
                <w:rFonts w:hint="eastAsia" w:ascii="Times New Roman"/>
                <w:color w:val="000000"/>
                <w:sz w:val="14"/>
                <w:szCs w:val="14"/>
              </w:rPr>
              <w:t>%</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≥9</w:t>
            </w:r>
            <w:r>
              <w:rPr>
                <w:rFonts w:hint="eastAsia" w:ascii="Times New Roman"/>
                <w:color w:val="000000"/>
                <w:sz w:val="14"/>
                <w:szCs w:val="14"/>
                <w:lang w:val="en-US" w:eastAsia="zh-CN"/>
              </w:rPr>
              <w:t>5</w:t>
            </w:r>
            <w:r>
              <w:rPr>
                <w:rFonts w:hint="eastAsia" w:ascii="Times New Roman"/>
                <w:color w:val="000000"/>
                <w:sz w:val="14"/>
                <w:szCs w:val="14"/>
              </w:rPr>
              <w:t>%</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严重精神障碍患者健康管理率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w:t>
            </w:r>
            <w:r>
              <w:rPr>
                <w:rFonts w:hint="eastAsia" w:ascii="Times New Roman"/>
                <w:color w:val="000000"/>
                <w:sz w:val="14"/>
                <w:szCs w:val="14"/>
                <w:lang w:val="en-US" w:eastAsia="zh-CN"/>
              </w:rPr>
              <w:t>80</w:t>
            </w:r>
            <w:r>
              <w:rPr>
                <w:rFonts w:hint="eastAsia" w:ascii="Times New Roman"/>
                <w:color w:val="000000"/>
                <w:sz w:val="14"/>
                <w:szCs w:val="14"/>
              </w:rPr>
              <w:t>%</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rPr>
              <w:t>≥</w:t>
            </w:r>
            <w:r>
              <w:rPr>
                <w:rFonts w:hint="eastAsia" w:ascii="Times New Roman"/>
                <w:color w:val="000000"/>
                <w:sz w:val="14"/>
                <w:szCs w:val="14"/>
                <w:lang w:val="en-US" w:eastAsia="zh-CN"/>
              </w:rPr>
              <w:t>80</w:t>
            </w:r>
            <w:r>
              <w:rPr>
                <w:rFonts w:hint="eastAsia" w:ascii="Times New Roman"/>
                <w:color w:val="000000"/>
                <w:sz w:val="14"/>
                <w:szCs w:val="14"/>
              </w:rPr>
              <w:t>%</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时效指标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资金支付率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74.57</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18.8</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2</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减轻服务对象的治疗负担</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rPr>
            </w:pPr>
            <w:r>
              <w:rPr>
                <w:rFonts w:hint="eastAsia"/>
                <w:color w:val="000000"/>
                <w:sz w:val="15"/>
                <w:szCs w:val="15"/>
                <w:lang w:val="en-US" w:eastAsia="zh-CN"/>
              </w:rPr>
              <w:t>逐步减轻</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hAnsi="Calibri" w:eastAsia="宋体" w:cs="Times New Roman"/>
                <w:color w:val="000000"/>
                <w:kern w:val="2"/>
                <w:sz w:val="14"/>
                <w:szCs w:val="14"/>
                <w:lang w:val="en-US" w:eastAsia="zh-CN" w:bidi="ar-SA"/>
              </w:rPr>
            </w:pPr>
            <w:r>
              <w:rPr>
                <w:rFonts w:hint="eastAsia"/>
                <w:color w:val="000000"/>
                <w:sz w:val="15"/>
                <w:szCs w:val="15"/>
                <w:lang w:val="en-US" w:eastAsia="zh-CN"/>
              </w:rPr>
              <w:t>逐步减轻著</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提高社会认可度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center"/>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bookmarkStart w:id="0" w:name="_GoBack"/>
            <w:bookmarkEnd w:id="0"/>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92</w:t>
            </w:r>
          </w:p>
        </w:tc>
        <w:tc>
          <w:tcPr>
            <w:tcW w:w="1800"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2"/>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pStyle w:val="3"/>
        <w:spacing w:before="0" w:after="0" w:line="600" w:lineRule="exact"/>
        <w:jc w:val="center"/>
        <w:rPr>
          <w:rFonts w:hint="eastAsia" w:ascii="方正小标宋简体" w:eastAsia="方正小标宋简体"/>
          <w:b w:val="0"/>
          <w:color w:val="000000"/>
          <w:sz w:val="40"/>
          <w:szCs w:val="40"/>
          <w:lang w:val="en-US" w:eastAsia="zh-CN"/>
        </w:rPr>
      </w:pPr>
    </w:p>
    <w:p>
      <w:pPr>
        <w:pStyle w:val="3"/>
        <w:spacing w:before="0" w:after="0" w:line="600" w:lineRule="exact"/>
        <w:jc w:val="center"/>
        <w:rPr>
          <w:rFonts w:hint="eastAsia" w:ascii="方正小标宋简体" w:eastAsia="方正小标宋简体" w:cs="宋体"/>
          <w:b w:val="0"/>
          <w:color w:val="000000"/>
          <w:sz w:val="40"/>
          <w:szCs w:val="40"/>
        </w:rPr>
      </w:pPr>
      <w:r>
        <w:rPr>
          <w:rFonts w:hint="eastAsia" w:ascii="方正小标宋简体" w:eastAsia="方正小标宋简体"/>
          <w:b w:val="0"/>
          <w:color w:val="000000"/>
          <w:sz w:val="40"/>
          <w:szCs w:val="40"/>
          <w:lang w:val="en-US" w:eastAsia="zh-CN"/>
        </w:rPr>
        <w:t>基本公卫资金</w:t>
      </w:r>
      <w:r>
        <w:rPr>
          <w:rFonts w:hint="eastAsia" w:ascii="方正小标宋简体" w:eastAsia="方正小标宋简体"/>
          <w:b w:val="0"/>
          <w:color w:val="000000"/>
          <w:sz w:val="40"/>
          <w:szCs w:val="40"/>
        </w:rPr>
        <w:t>项目支出绩效自评表</w:t>
      </w:r>
    </w:p>
    <w:p>
      <w:pPr>
        <w:spacing w:line="600" w:lineRule="exact"/>
        <w:jc w:val="center"/>
        <w:rPr>
          <w:rFonts w:hint="eastAsia" w:ascii="宋体" w:hAnsi="宋体" w:cs="仿宋"/>
          <w:color w:val="000000"/>
          <w:sz w:val="23"/>
          <w:szCs w:val="23"/>
        </w:rPr>
      </w:pPr>
      <w:r>
        <w:rPr>
          <w:rFonts w:hint="eastAsia" w:ascii="宋体" w:hAnsi="宋体" w:cs="仿宋"/>
          <w:color w:val="000000"/>
          <w:sz w:val="23"/>
          <w:szCs w:val="23"/>
        </w:rPr>
        <w:t>（20</w:t>
      </w:r>
      <w:r>
        <w:rPr>
          <w:rFonts w:hint="eastAsia" w:ascii="宋体" w:hAnsi="宋体" w:cs="仿宋"/>
          <w:color w:val="000000"/>
          <w:sz w:val="23"/>
          <w:szCs w:val="23"/>
          <w:lang w:val="en-US" w:eastAsia="zh-CN"/>
        </w:rPr>
        <w:t>22</w:t>
      </w:r>
      <w:r>
        <w:rPr>
          <w:rFonts w:hint="eastAsia" w:ascii="宋体" w:hAnsi="宋体" w:cs="仿宋"/>
          <w:color w:val="000000"/>
          <w:sz w:val="23"/>
          <w:szCs w:val="23"/>
        </w:rPr>
        <w:t>年度）</w:t>
      </w:r>
    </w:p>
    <w:tbl>
      <w:tblPr>
        <w:tblStyle w:val="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9"/>
        <w:gridCol w:w="55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基本公卫项目经费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83.05</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83.05</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46.67</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56.19%</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color w:val="000000"/>
                <w:sz w:val="15"/>
                <w:szCs w:val="15"/>
              </w:rPr>
            </w:pPr>
            <w:r>
              <w:rPr>
                <w:rFonts w:hint="eastAsia" w:ascii="Times New Roman"/>
                <w:color w:val="000000"/>
                <w:sz w:val="14"/>
                <w:szCs w:val="1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83.05</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83.05</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46.67</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56.19%</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color w:val="000000"/>
                <w:sz w:val="15"/>
                <w:szCs w:val="15"/>
              </w:rPr>
            </w:pPr>
            <w:r>
              <w:rPr>
                <w:rFonts w:hint="eastAsia" w:ascii="Times New Roman"/>
                <w:color w:val="000000"/>
                <w:sz w:val="14"/>
                <w:szCs w:val="1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4"/>
                <w:szCs w:val="14"/>
                <w:lang w:val="en-US" w:eastAsia="zh-CN"/>
              </w:rPr>
            </w:pPr>
            <w:r>
              <w:rPr>
                <w:rFonts w:hint="eastAsia" w:ascii="Times New Roman"/>
                <w:color w:val="000000"/>
                <w:sz w:val="14"/>
                <w:szCs w:val="14"/>
                <w:lang w:val="en-US" w:eastAsia="zh-CN"/>
              </w:rPr>
              <w:t>1.通过市、县政府对国家基本公共卫生服务项目的投入，按照“倾斜基层、优化结构、突出重点、提高质量”的原则，重点巩固现有服务项目，进一步扩大服务覆盖面，加强项目宣传和培训，完善服务模式和项目管理方式，提高服务规范程度，提高居民感受度，推动基本公共卫生服务均等化。</w:t>
            </w:r>
          </w:p>
          <w:p>
            <w:pPr>
              <w:pStyle w:val="9"/>
              <w:jc w:val="left"/>
              <w:rPr>
                <w:rFonts w:hint="default" w:ascii="Times New Roman" w:eastAsia="宋体"/>
                <w:color w:val="000000"/>
                <w:sz w:val="14"/>
                <w:szCs w:val="14"/>
                <w:lang w:val="en-US" w:eastAsia="zh-CN"/>
              </w:rPr>
            </w:pP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4"/>
                <w:szCs w:val="14"/>
                <w:lang w:val="en-US" w:eastAsia="zh-CN"/>
              </w:rPr>
            </w:pPr>
            <w:r>
              <w:rPr>
                <w:rFonts w:hint="eastAsia" w:ascii="Times New Roman"/>
                <w:color w:val="000000"/>
                <w:sz w:val="14"/>
                <w:szCs w:val="14"/>
                <w:lang w:val="en-US" w:eastAsia="zh-CN"/>
              </w:rPr>
              <w:t>1.通过市、县政府对国家基本公共卫生服务项目的投入，按照“倾斜基层、优化结构、突出重点、提高质量”的原则，重点巩固现有服务项目，进一步扩大服务覆盖面，加强项目宣传和培训，完善服务模式和项目管理方式，提高服务规范程度，提高居民感受度，推动基本公共卫生服务均等化。</w:t>
            </w:r>
          </w:p>
          <w:p>
            <w:pPr>
              <w:pStyle w:val="9"/>
              <w:jc w:val="left"/>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95"/>
              <w:ind w:left="110"/>
              <w:jc w:val="center"/>
              <w:rPr>
                <w:color w:val="000000"/>
                <w:sz w:val="15"/>
                <w:szCs w:val="15"/>
              </w:rPr>
            </w:pPr>
            <w:r>
              <w:rPr>
                <w:rFonts w:hint="eastAsia"/>
                <w:color w:val="000000"/>
                <w:sz w:val="15"/>
                <w:szCs w:val="15"/>
              </w:rPr>
              <w:t>产出指标</w:t>
            </w: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数量指标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指标1：老年人健康管理率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≥70%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指标2：麻风按规定随访到位率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指标3：食品安全风险监测上报率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高血压患者规范管理率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2型糖尿病患者规范管理率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≥60%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≥60%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r>
              <w:rPr>
                <w:rFonts w:hint="eastAsia"/>
                <w:color w:val="000000"/>
                <w:sz w:val="15"/>
                <w:szCs w:val="15"/>
              </w:rPr>
              <w:t>严重精神障碍患者健康管理率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≥80%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≥80%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时效指标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资金支付率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83.15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46.67</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基本公共卫生服务水平</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rPr>
            </w:pPr>
            <w:r>
              <w:rPr>
                <w:rFonts w:hint="eastAsia"/>
                <w:color w:val="000000"/>
                <w:sz w:val="15"/>
                <w:szCs w:val="15"/>
                <w:lang w:val="en-US" w:eastAsia="zh-CN"/>
              </w:rPr>
              <w:t>不断提高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hAnsi="Calibri" w:eastAsia="宋体" w:cs="Times New Roman"/>
                <w:color w:val="000000"/>
                <w:kern w:val="2"/>
                <w:sz w:val="14"/>
                <w:szCs w:val="14"/>
                <w:lang w:val="en-US" w:eastAsia="zh-CN" w:bidi="ar-SA"/>
              </w:rPr>
            </w:pPr>
            <w:r>
              <w:rPr>
                <w:rFonts w:hint="eastAsia"/>
                <w:color w:val="000000"/>
                <w:sz w:val="15"/>
                <w:szCs w:val="15"/>
                <w:lang w:val="en-US" w:eastAsia="zh-CN"/>
              </w:rPr>
              <w:t>不断提高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提高社会认可度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生态效益指标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生态环境改善</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改善</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改善</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5</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center"/>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94</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pStyle w:val="3"/>
        <w:spacing w:before="0" w:after="0" w:line="600" w:lineRule="exact"/>
        <w:jc w:val="center"/>
        <w:rPr>
          <w:rFonts w:hint="eastAsia" w:ascii="方正小标宋简体" w:eastAsia="方正小标宋简体" w:cs="宋体"/>
          <w:b w:val="0"/>
          <w:color w:val="000000"/>
          <w:sz w:val="40"/>
          <w:szCs w:val="40"/>
        </w:rPr>
      </w:pPr>
      <w:r>
        <w:rPr>
          <w:rFonts w:hint="eastAsia" w:ascii="方正小标宋简体" w:eastAsia="方正小标宋简体"/>
          <w:b w:val="0"/>
          <w:color w:val="000000"/>
          <w:sz w:val="40"/>
          <w:szCs w:val="40"/>
          <w:lang w:val="en-US" w:eastAsia="zh-CN"/>
        </w:rPr>
        <w:t>突发公共卫生事件应急处理</w:t>
      </w:r>
      <w:r>
        <w:rPr>
          <w:rFonts w:hint="eastAsia" w:ascii="方正小标宋简体" w:eastAsia="方正小标宋简体"/>
          <w:b w:val="0"/>
          <w:color w:val="000000"/>
          <w:sz w:val="40"/>
          <w:szCs w:val="40"/>
        </w:rPr>
        <w:t>支出绩效自评表</w:t>
      </w:r>
    </w:p>
    <w:p>
      <w:pPr>
        <w:spacing w:line="600" w:lineRule="exact"/>
        <w:jc w:val="center"/>
        <w:rPr>
          <w:rFonts w:hint="eastAsia" w:ascii="宋体" w:hAnsi="宋体" w:cs="仿宋"/>
          <w:color w:val="000000"/>
          <w:sz w:val="23"/>
          <w:szCs w:val="23"/>
        </w:rPr>
      </w:pPr>
      <w:r>
        <w:rPr>
          <w:rFonts w:hint="eastAsia" w:ascii="宋体" w:hAnsi="宋体" w:cs="仿宋"/>
          <w:color w:val="000000"/>
          <w:sz w:val="23"/>
          <w:szCs w:val="23"/>
        </w:rPr>
        <w:t>（20</w:t>
      </w:r>
      <w:r>
        <w:rPr>
          <w:rFonts w:hint="eastAsia" w:ascii="宋体" w:hAnsi="宋体" w:cs="仿宋"/>
          <w:color w:val="000000"/>
          <w:sz w:val="23"/>
          <w:szCs w:val="23"/>
          <w:lang w:val="en-US" w:eastAsia="zh-CN"/>
        </w:rPr>
        <w:t>22</w:t>
      </w:r>
      <w:r>
        <w:rPr>
          <w:rFonts w:hint="eastAsia" w:ascii="宋体" w:hAnsi="宋体" w:cs="仿宋"/>
          <w:color w:val="000000"/>
          <w:sz w:val="23"/>
          <w:szCs w:val="23"/>
        </w:rPr>
        <w:t>年度）</w:t>
      </w:r>
    </w:p>
    <w:tbl>
      <w:tblPr>
        <w:tblStyle w:val="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9"/>
        <w:gridCol w:w="55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仿宋" w:hAnsi="仿宋" w:eastAsia="仿宋" w:cs="仿宋"/>
                <w:b w:val="0"/>
                <w:color w:val="000000"/>
                <w:sz w:val="18"/>
                <w:szCs w:val="18"/>
                <w:lang w:val="en-US" w:eastAsia="zh-CN"/>
              </w:rPr>
              <w:t>突发公共卫生事件应急处理项目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80</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80</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80</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80</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color w:val="000000"/>
                <w:sz w:val="21"/>
                <w:szCs w:val="21"/>
                <w:lang w:val="en-US" w:eastAsia="zh-CN"/>
              </w:rPr>
            </w:pPr>
            <w:r>
              <w:rPr>
                <w:rFonts w:hint="eastAsia" w:ascii="Times New Roman"/>
                <w:color w:val="000000"/>
                <w:sz w:val="21"/>
                <w:szCs w:val="21"/>
                <w:lang w:val="en-US" w:eastAsia="zh-CN"/>
              </w:rPr>
              <w:t>加强卫生应急队伍建设，提升卫生应急队伍形象，提高社会公众对突发应急工作的认知。</w:t>
            </w:r>
          </w:p>
          <w:p>
            <w:pPr>
              <w:pStyle w:val="9"/>
              <w:jc w:val="left"/>
              <w:rPr>
                <w:rFonts w:hint="default" w:ascii="Times New Roman" w:eastAsia="宋体"/>
                <w:color w:val="000000"/>
                <w:sz w:val="14"/>
                <w:szCs w:val="14"/>
                <w:lang w:val="en-US" w:eastAsia="zh-CN"/>
              </w:rPr>
            </w:pP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jc w:val="left"/>
              <w:rPr>
                <w:rFonts w:hint="eastAsia" w:ascii="Times New Roman"/>
                <w:color w:val="000000"/>
                <w:sz w:val="14"/>
                <w:szCs w:val="14"/>
                <w:lang w:val="en-US" w:eastAsia="zh-CN"/>
              </w:rPr>
            </w:pPr>
          </w:p>
          <w:p>
            <w:pPr>
              <w:pStyle w:val="9"/>
              <w:jc w:val="left"/>
              <w:rPr>
                <w:rFonts w:hint="default" w:ascii="Times New Roman"/>
                <w:color w:val="000000"/>
                <w:sz w:val="21"/>
                <w:szCs w:val="21"/>
                <w:lang w:val="en-US" w:eastAsia="zh-CN"/>
              </w:rPr>
            </w:pPr>
            <w:r>
              <w:rPr>
                <w:rFonts w:hint="eastAsia" w:ascii="Times New Roman"/>
                <w:color w:val="000000"/>
                <w:sz w:val="21"/>
                <w:szCs w:val="21"/>
                <w:lang w:val="en-US" w:eastAsia="zh-CN"/>
              </w:rPr>
              <w:t>加强卫生应急队伍建设，提升卫生应急队伍形象，提高社会公众对突发应急工作的认知。</w:t>
            </w:r>
          </w:p>
          <w:p>
            <w:pPr>
              <w:pStyle w:val="9"/>
              <w:jc w:val="left"/>
              <w:rPr>
                <w:rFonts w:hint="eastAsia" w:ascii="Times New Roman"/>
                <w:color w:val="000000"/>
                <w:sz w:val="14"/>
                <w:szCs w:val="14"/>
                <w:lang w:val="en-US" w:eastAsia="zh-CN"/>
              </w:rPr>
            </w:pPr>
          </w:p>
          <w:p>
            <w:pPr>
              <w:pStyle w:val="9"/>
              <w:jc w:val="left"/>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both"/>
              <w:rPr>
                <w:rFonts w:hint="eastAsia"/>
                <w:color w:val="000000"/>
                <w:sz w:val="14"/>
                <w:szCs w:val="14"/>
              </w:rPr>
            </w:pPr>
          </w:p>
          <w:p>
            <w:pPr>
              <w:pStyle w:val="9"/>
              <w:jc w:val="center"/>
              <w:rPr>
                <w:rFonts w:hint="eastAsia"/>
                <w:color w:val="000000"/>
                <w:sz w:val="14"/>
                <w:szCs w:val="14"/>
              </w:rPr>
            </w:pPr>
          </w:p>
          <w:p>
            <w:pPr>
              <w:pStyle w:val="9"/>
              <w:spacing w:before="95"/>
              <w:ind w:left="110"/>
              <w:jc w:val="center"/>
              <w:rPr>
                <w:color w:val="000000"/>
                <w:sz w:val="15"/>
                <w:szCs w:val="15"/>
              </w:rPr>
            </w:pPr>
            <w:r>
              <w:rPr>
                <w:rFonts w:hint="eastAsia"/>
                <w:color w:val="000000"/>
                <w:sz w:val="15"/>
                <w:szCs w:val="15"/>
              </w:rPr>
              <w:t>产出指标</w:t>
            </w: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数量指标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指标1：应急处理能力</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应急处置能力及时性</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时效指标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资金支付率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社会效益显著</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hAnsi="Calibri" w:eastAsia="宋体" w:cs="Times New Roman"/>
                <w:color w:val="000000"/>
                <w:kern w:val="2"/>
                <w:sz w:val="14"/>
                <w:szCs w:val="14"/>
                <w:lang w:val="en-US" w:eastAsia="zh-CN" w:bidi="ar-SA"/>
              </w:rPr>
            </w:pPr>
            <w:r>
              <w:rPr>
                <w:rFonts w:hint="eastAsia"/>
                <w:color w:val="000000"/>
                <w:sz w:val="15"/>
                <w:szCs w:val="15"/>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rFonts w:hint="eastAsia" w:ascii="Calibri" w:hAnsi="Calibri" w:eastAsia="宋体" w:cs="Times New Roman"/>
                <w:color w:val="000000"/>
                <w:kern w:val="2"/>
                <w:sz w:val="15"/>
                <w:szCs w:val="15"/>
                <w:lang w:val="en-US" w:eastAsia="zh-CN" w:bidi="ar-SA"/>
              </w:rPr>
            </w:pPr>
            <w:r>
              <w:rPr>
                <w:rFonts w:hint="eastAsia" w:ascii="Calibri" w:hAnsi="Calibri" w:eastAsia="宋体" w:cs="Times New Roman"/>
                <w:color w:val="000000"/>
                <w:kern w:val="2"/>
                <w:sz w:val="15"/>
                <w:szCs w:val="15"/>
                <w:lang w:val="en-US" w:eastAsia="zh-CN" w:bidi="ar-SA"/>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rPr>
                <w:rFonts w:hint="eastAsia" w:ascii="Calibri" w:hAnsi="Calibri" w:eastAsia="宋体" w:cs="Times New Roman"/>
                <w:color w:val="000000"/>
                <w:kern w:val="2"/>
                <w:sz w:val="15"/>
                <w:szCs w:val="15"/>
                <w:lang w:val="en-US" w:eastAsia="zh-CN" w:bidi="ar-SA"/>
              </w:rPr>
            </w:pPr>
            <w:r>
              <w:rPr>
                <w:rFonts w:hint="eastAsia" w:ascii="Calibri" w:hAnsi="Calibri" w:eastAsia="宋体" w:cs="Times New Roman"/>
                <w:color w:val="000000"/>
                <w:kern w:val="2"/>
                <w:sz w:val="15"/>
                <w:szCs w:val="15"/>
                <w:lang w:val="en-US" w:eastAsia="zh-CN" w:bidi="ar-SA"/>
              </w:rPr>
              <w:t>疫情防控期间对辖区居民广泛开展宣传和教育</w:t>
            </w:r>
          </w:p>
          <w:p>
            <w:pPr>
              <w:pStyle w:val="9"/>
              <w:spacing w:line="183" w:lineRule="exact"/>
              <w:ind w:left="29"/>
              <w:jc w:val="center"/>
              <w:rPr>
                <w:rFonts w:hint="default" w:ascii="Calibri" w:hAnsi="Calibri" w:eastAsia="宋体" w:cs="Times New Roman"/>
                <w:color w:val="000000"/>
                <w:kern w:val="2"/>
                <w:sz w:val="15"/>
                <w:szCs w:val="15"/>
                <w:lang w:val="en-US" w:eastAsia="zh-CN" w:bidi="ar-SA"/>
              </w:rPr>
            </w:pP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生态效益指标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rPr>
                <w:rFonts w:hint="eastAsia" w:ascii="Calibri" w:hAnsi="Calibri" w:eastAsia="宋体" w:cs="Times New Roman"/>
                <w:color w:val="000000"/>
                <w:kern w:val="2"/>
                <w:sz w:val="15"/>
                <w:szCs w:val="15"/>
                <w:lang w:val="en-US" w:eastAsia="zh-CN" w:bidi="ar-SA"/>
              </w:rPr>
            </w:pPr>
            <w:r>
              <w:rPr>
                <w:rFonts w:hint="eastAsia" w:ascii="Calibri" w:hAnsi="Calibri" w:eastAsia="宋体" w:cs="Times New Roman"/>
                <w:color w:val="000000"/>
                <w:kern w:val="2"/>
                <w:sz w:val="15"/>
                <w:szCs w:val="15"/>
                <w:lang w:val="en-US" w:eastAsia="zh-CN" w:bidi="ar-SA"/>
              </w:rPr>
              <w:t>对辖区定期进行全面消杀，有效保障居民日常生活和 工作环境安全有序</w:t>
            </w:r>
          </w:p>
          <w:p>
            <w:pPr>
              <w:pStyle w:val="9"/>
              <w:spacing w:line="183" w:lineRule="exact"/>
              <w:ind w:left="29"/>
              <w:jc w:val="center"/>
              <w:rPr>
                <w:rFonts w:hint="default" w:eastAsia="宋体"/>
                <w:color w:val="000000"/>
                <w:sz w:val="15"/>
                <w:szCs w:val="15"/>
                <w:lang w:val="en-US" w:eastAsia="zh-CN"/>
              </w:rPr>
            </w:pP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改善</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改善</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center"/>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不断提高</w:t>
            </w:r>
          </w:p>
        </w:tc>
        <w:tc>
          <w:tcPr>
            <w:tcW w:w="917" w:type="dxa"/>
            <w:tcBorders>
              <w:top w:val="single" w:color="000000" w:sz="4" w:space="0"/>
              <w:left w:val="nil"/>
              <w:bottom w:val="single" w:color="000000" w:sz="4" w:space="0"/>
              <w:right w:val="single" w:color="000000" w:sz="4" w:space="0"/>
            </w:tcBorders>
            <w:noWrap w:val="0"/>
            <w:vAlign w:val="center"/>
          </w:tcPr>
          <w:p>
            <w:pPr>
              <w:pStyle w:val="9"/>
              <w:tabs>
                <w:tab w:val="left" w:pos="308"/>
              </w:tabs>
              <w:jc w:val="center"/>
              <w:rPr>
                <w:rFonts w:hint="eastAsia" w:ascii="Times New Roman" w:eastAsia="宋体"/>
                <w:color w:val="000000"/>
                <w:sz w:val="14"/>
                <w:szCs w:val="14"/>
                <w:lang w:eastAsia="zh-CN"/>
              </w:rPr>
            </w:pPr>
            <w:r>
              <w:rPr>
                <w:rFonts w:hint="eastAsia" w:ascii="Times New Roman"/>
                <w:color w:val="000000"/>
                <w:sz w:val="14"/>
                <w:szCs w:val="14"/>
                <w:lang w:val="en-US" w:eastAsia="zh-CN"/>
              </w:rPr>
              <w:t>不断提高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
      <w:pPr>
        <w:pStyle w:val="2"/>
      </w:pPr>
    </w:p>
    <w:p>
      <w:pPr>
        <w:pStyle w:val="3"/>
        <w:spacing w:before="0" w:after="0" w:line="600" w:lineRule="exact"/>
        <w:jc w:val="center"/>
        <w:rPr>
          <w:rFonts w:hint="eastAsia" w:ascii="方正小标宋简体" w:eastAsia="方正小标宋简体"/>
          <w:b w:val="0"/>
          <w:color w:val="000000"/>
          <w:sz w:val="40"/>
          <w:szCs w:val="40"/>
        </w:rPr>
      </w:pPr>
      <w:r>
        <w:rPr>
          <w:rFonts w:hint="eastAsia" w:ascii="方正小标宋简体" w:eastAsia="方正小标宋简体"/>
          <w:b w:val="0"/>
          <w:color w:val="000000"/>
          <w:sz w:val="40"/>
          <w:szCs w:val="40"/>
          <w:lang w:val="en-US" w:eastAsia="zh-CN"/>
        </w:rPr>
        <w:t>实验楼建设项目</w:t>
      </w:r>
      <w:r>
        <w:rPr>
          <w:rFonts w:hint="eastAsia" w:ascii="方正小标宋简体" w:eastAsia="方正小标宋简体"/>
          <w:b w:val="0"/>
          <w:color w:val="000000"/>
          <w:sz w:val="40"/>
          <w:szCs w:val="40"/>
        </w:rPr>
        <w:t>绩效自评表</w:t>
      </w:r>
    </w:p>
    <w:p>
      <w:pPr>
        <w:rPr>
          <w:rFonts w:hint="eastAsia"/>
        </w:rPr>
      </w:pPr>
    </w:p>
    <w:tbl>
      <w:tblPr>
        <w:tblStyle w:val="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9"/>
        <w:gridCol w:w="55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方正小标宋简体" w:eastAsia="方正小标宋简体"/>
                <w:b w:val="0"/>
                <w:color w:val="000000"/>
                <w:sz w:val="18"/>
                <w:szCs w:val="18"/>
                <w:lang w:val="en-US" w:eastAsia="zh-CN"/>
              </w:rPr>
              <w:t>实验楼建设项目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1000</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1000</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442.62</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44%</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1000</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1000</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442.62</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44%</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eastAsia="宋体"/>
                <w:color w:val="000000"/>
                <w:sz w:val="14"/>
                <w:szCs w:val="14"/>
                <w:lang w:val="en-US" w:eastAsia="zh-CN"/>
              </w:rPr>
            </w:pPr>
            <w:r>
              <w:rPr>
                <w:rFonts w:hint="eastAsia" w:ascii="仿宋_GB2312" w:hAnsi="楷体_GB2312" w:eastAsia="仿宋_GB2312"/>
                <w:kern w:val="0"/>
                <w:sz w:val="15"/>
                <w:szCs w:val="15"/>
              </w:rPr>
              <w:t>结合县卫生健康事业发展的实际需要，为使全县卫生健康事业实现跨越式发展，</w:t>
            </w:r>
            <w:r>
              <w:rPr>
                <w:rFonts w:hint="eastAsia" w:ascii="仿宋_GB2312" w:eastAsia="仿宋_GB2312"/>
                <w:sz w:val="15"/>
                <w:szCs w:val="15"/>
              </w:rPr>
              <w:t>满足全县疾病预防控制工作需要，</w:t>
            </w:r>
            <w:r>
              <w:rPr>
                <w:rFonts w:hint="eastAsia" w:ascii="仿宋_GB2312" w:hAnsi="楷体_GB2312" w:eastAsia="仿宋_GB2312"/>
                <w:kern w:val="0"/>
                <w:sz w:val="15"/>
                <w:szCs w:val="15"/>
              </w:rPr>
              <w:t>按照县城卫生区域规划的总体发展目标和资源状况，县卫健局提出了建设的规划和设想，</w:t>
            </w:r>
            <w:r>
              <w:rPr>
                <w:rFonts w:hint="eastAsia" w:ascii="仿宋_GB2312" w:eastAsia="仿宋_GB2312"/>
                <w:sz w:val="15"/>
                <w:szCs w:val="15"/>
              </w:rPr>
              <w:t>经合水县十八届第43期常务会通过，县发展和改革局《关于合水县疾病预防控制中心实验楼建设项目可行性研究报告的批复》（合发改审【2021】72号）文件批复，</w:t>
            </w:r>
            <w:r>
              <w:rPr>
                <w:rFonts w:hint="eastAsia" w:ascii="仿宋_GB2312" w:hAnsi="楷体_GB2312" w:eastAsia="仿宋_GB2312"/>
                <w:kern w:val="0"/>
                <w:sz w:val="15"/>
                <w:szCs w:val="15"/>
              </w:rPr>
              <w:t>县疾控中心拟在合水县纬五西路养老示范基地新建</w:t>
            </w:r>
            <w:r>
              <w:rPr>
                <w:rFonts w:hint="eastAsia" w:ascii="仿宋_GB2312" w:eastAsia="仿宋_GB2312"/>
                <w:sz w:val="15"/>
                <w:szCs w:val="15"/>
              </w:rPr>
              <w:t>框架结构实验楼一幢，</w:t>
            </w:r>
            <w:r>
              <w:rPr>
                <w:rFonts w:hint="eastAsia" w:ascii="仿宋_GB2312" w:hAnsi="仿宋" w:eastAsia="仿宋_GB2312"/>
                <w:sz w:val="15"/>
                <w:szCs w:val="15"/>
              </w:rPr>
              <w:t>总投资</w:t>
            </w:r>
            <w:r>
              <w:rPr>
                <w:rFonts w:hint="eastAsia" w:ascii="楷体_GB2312" w:eastAsia="楷体_GB2312"/>
                <w:sz w:val="15"/>
                <w:szCs w:val="15"/>
              </w:rPr>
              <w:t>1380</w:t>
            </w:r>
            <w:r>
              <w:rPr>
                <w:rFonts w:hint="eastAsia" w:ascii="仿宋_GB2312" w:eastAsia="仿宋_GB2312"/>
                <w:sz w:val="15"/>
                <w:szCs w:val="15"/>
              </w:rPr>
              <w:t>万元</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eastAsia="宋体"/>
                <w:color w:val="000000"/>
                <w:sz w:val="14"/>
                <w:szCs w:val="14"/>
                <w:lang w:val="en-US" w:eastAsia="zh-CN"/>
              </w:rPr>
            </w:pPr>
            <w:r>
              <w:rPr>
                <w:rFonts w:hint="eastAsia" w:ascii="仿宋_GB2312" w:hAnsi="楷体_GB2312" w:eastAsia="仿宋_GB2312"/>
                <w:kern w:val="0"/>
                <w:sz w:val="15"/>
                <w:szCs w:val="15"/>
              </w:rPr>
              <w:t>结合县卫生健康事业发展的实际需要，为使全县卫生健康事业实现跨越式发展，</w:t>
            </w:r>
            <w:r>
              <w:rPr>
                <w:rFonts w:hint="eastAsia" w:ascii="仿宋_GB2312" w:eastAsia="仿宋_GB2312"/>
                <w:sz w:val="15"/>
                <w:szCs w:val="15"/>
              </w:rPr>
              <w:t>满足全县疾病预防控制工作需要，</w:t>
            </w:r>
            <w:r>
              <w:rPr>
                <w:rFonts w:hint="eastAsia" w:ascii="仿宋_GB2312" w:hAnsi="楷体_GB2312" w:eastAsia="仿宋_GB2312"/>
                <w:kern w:val="0"/>
                <w:sz w:val="15"/>
                <w:szCs w:val="15"/>
              </w:rPr>
              <w:t>按照县城卫生区域规划的总体发展目标和资源状况，县卫健局提出了建设的规划和设想，</w:t>
            </w:r>
            <w:r>
              <w:rPr>
                <w:rFonts w:hint="eastAsia" w:ascii="仿宋_GB2312" w:eastAsia="仿宋_GB2312"/>
                <w:sz w:val="15"/>
                <w:szCs w:val="15"/>
              </w:rPr>
              <w:t>经合水县十八届第43期常务会通过，县发展和改革局《关于合水县疾病预防控制中心实验楼建设项目可行性研究报告的批复》（合发改审【2021】72号）文件批复，</w:t>
            </w:r>
            <w:r>
              <w:rPr>
                <w:rFonts w:hint="eastAsia" w:ascii="仿宋_GB2312" w:hAnsi="楷体_GB2312" w:eastAsia="仿宋_GB2312"/>
                <w:kern w:val="0"/>
                <w:sz w:val="15"/>
                <w:szCs w:val="15"/>
              </w:rPr>
              <w:t>县疾控中心拟在合水县纬五西路养老示范基地新建</w:t>
            </w:r>
            <w:r>
              <w:rPr>
                <w:rFonts w:hint="eastAsia" w:ascii="仿宋_GB2312" w:eastAsia="仿宋_GB2312"/>
                <w:sz w:val="15"/>
                <w:szCs w:val="15"/>
              </w:rPr>
              <w:t>框架结构实验楼一幢，</w:t>
            </w:r>
            <w:r>
              <w:rPr>
                <w:rFonts w:hint="eastAsia" w:ascii="仿宋_GB2312" w:hAnsi="仿宋" w:eastAsia="仿宋_GB2312"/>
                <w:sz w:val="15"/>
                <w:szCs w:val="15"/>
              </w:rPr>
              <w:t>总投资</w:t>
            </w:r>
            <w:r>
              <w:rPr>
                <w:rFonts w:hint="eastAsia" w:ascii="楷体_GB2312" w:eastAsia="楷体_GB2312"/>
                <w:sz w:val="15"/>
                <w:szCs w:val="15"/>
              </w:rPr>
              <w:t>1380</w:t>
            </w:r>
            <w:r>
              <w:rPr>
                <w:rFonts w:hint="eastAsia" w:ascii="仿宋_GB2312" w:eastAsia="仿宋_GB2312"/>
                <w:sz w:val="15"/>
                <w:szCs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95"/>
              <w:ind w:left="110"/>
              <w:jc w:val="center"/>
              <w:rPr>
                <w:color w:val="000000"/>
                <w:sz w:val="15"/>
                <w:szCs w:val="15"/>
              </w:rPr>
            </w:pPr>
            <w:r>
              <w:rPr>
                <w:rFonts w:hint="eastAsia"/>
                <w:color w:val="000000"/>
                <w:sz w:val="15"/>
                <w:szCs w:val="15"/>
              </w:rPr>
              <w:t>产出指标</w:t>
            </w: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数量指标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指标1：全年完成投资</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600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color w:val="000000"/>
                <w:sz w:val="15"/>
                <w:szCs w:val="15"/>
                <w:lang w:val="en-US"/>
              </w:rPr>
            </w:pPr>
            <w:r>
              <w:rPr>
                <w:rFonts w:hint="eastAsia"/>
                <w:color w:val="000000"/>
                <w:sz w:val="15"/>
                <w:szCs w:val="15"/>
                <w:lang w:val="en-US" w:eastAsia="zh-CN"/>
              </w:rPr>
              <w:t>指标1：按时投入建设</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1</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1</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指标1：全年完成支付率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400</w:t>
            </w:r>
          </w:p>
        </w:tc>
        <w:tc>
          <w:tcPr>
            <w:tcW w:w="709"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color w:val="000000"/>
                <w:sz w:val="14"/>
                <w:szCs w:val="14"/>
                <w:lang w:val="en-US"/>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6</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color w:val="000000"/>
                <w:sz w:val="15"/>
                <w:szCs w:val="15"/>
              </w:rPr>
            </w:pP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ascii="Times New Roman"/>
                <w:color w:val="000000"/>
                <w:sz w:val="14"/>
                <w:szCs w:val="14"/>
              </w:rPr>
            </w:pP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jc w:val="center"/>
              <w:rPr>
                <w:color w:val="000000"/>
                <w:sz w:val="15"/>
                <w:szCs w:val="15"/>
              </w:rPr>
            </w:pPr>
            <w:r>
              <w:rPr>
                <w:rFonts w:hint="eastAsia"/>
                <w:color w:val="000000"/>
                <w:sz w:val="15"/>
                <w:szCs w:val="15"/>
              </w:rPr>
              <w:t>时效指标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完成建设及时率</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按工程计划完成</w:t>
            </w:r>
          </w:p>
        </w:tc>
        <w:tc>
          <w:tcPr>
            <w:tcW w:w="917" w:type="dxa"/>
            <w:tcBorders>
              <w:top w:val="single" w:color="000000" w:sz="4" w:space="0"/>
              <w:left w:val="nil"/>
              <w:bottom w:val="single" w:color="000000" w:sz="4" w:space="0"/>
              <w:right w:val="single" w:color="000000" w:sz="4" w:space="0"/>
            </w:tcBorders>
            <w:noWrap w:val="0"/>
            <w:vAlign w:val="center"/>
          </w:tcPr>
          <w:p>
            <w:pPr>
              <w:pStyle w:val="9"/>
              <w:jc w:val="both"/>
              <w:rPr>
                <w:rFonts w:hint="default" w:ascii="Times New Roman" w:eastAsia="宋体"/>
                <w:color w:val="000000"/>
                <w:sz w:val="14"/>
                <w:szCs w:val="14"/>
                <w:lang w:val="en-US" w:eastAsia="zh-CN"/>
              </w:rPr>
            </w:pPr>
            <w:r>
              <w:rPr>
                <w:rFonts w:hint="eastAsia" w:ascii="Times New Roman"/>
                <w:color w:val="000000"/>
                <w:sz w:val="14"/>
                <w:szCs w:val="14"/>
                <w:lang w:val="en-US" w:eastAsia="zh-CN"/>
              </w:rPr>
              <w:t>按工程计划完成</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提升实验室能力</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color w:val="000000"/>
                <w:sz w:val="14"/>
                <w:szCs w:val="14"/>
                <w:lang w:val="en-US"/>
              </w:rPr>
            </w:pPr>
            <w:r>
              <w:rPr>
                <w:rFonts w:hint="eastAsia"/>
                <w:color w:val="000000"/>
                <w:sz w:val="15"/>
                <w:szCs w:val="15"/>
                <w:lang w:val="en-US" w:eastAsia="zh-CN"/>
              </w:rPr>
              <w:t>逐步提升</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逐步提升</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提高社会认可度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提高</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提高</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生态效益指标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生态环境改善</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改善</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改善</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jc w:val="center"/>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center"/>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pStyle w:val="3"/>
        <w:spacing w:before="0" w:after="0" w:line="600" w:lineRule="exact"/>
        <w:ind w:firstLine="1600" w:firstLineChars="400"/>
        <w:jc w:val="both"/>
        <w:rPr>
          <w:rFonts w:hint="eastAsia" w:ascii="方正小标宋简体" w:eastAsia="方正小标宋简体" w:cs="宋体"/>
          <w:b w:val="0"/>
          <w:color w:val="000000"/>
          <w:sz w:val="40"/>
          <w:szCs w:val="40"/>
        </w:rPr>
      </w:pPr>
      <w:r>
        <w:rPr>
          <w:rFonts w:hint="eastAsia" w:ascii="方正小标宋简体" w:eastAsia="方正小标宋简体"/>
          <w:b w:val="0"/>
          <w:color w:val="000000"/>
          <w:sz w:val="40"/>
          <w:szCs w:val="40"/>
          <w:lang w:val="en-US" w:eastAsia="zh-CN"/>
        </w:rPr>
        <w:t>疫情防控</w:t>
      </w:r>
      <w:r>
        <w:rPr>
          <w:rFonts w:hint="eastAsia" w:ascii="方正小标宋简体" w:eastAsia="方正小标宋简体"/>
          <w:b w:val="0"/>
          <w:color w:val="000000"/>
          <w:sz w:val="40"/>
          <w:szCs w:val="40"/>
        </w:rPr>
        <w:t>项目支出绩效自评表</w:t>
      </w:r>
    </w:p>
    <w:tbl>
      <w:tblPr>
        <w:tblStyle w:val="6"/>
        <w:tblpPr w:leftFromText="180" w:rightFromText="180" w:vertAnchor="text" w:horzAnchor="page" w:tblpX="1296" w:tblpY="174"/>
        <w:tblOverlap w:val="never"/>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817"/>
        <w:gridCol w:w="1201"/>
        <w:gridCol w:w="277"/>
        <w:gridCol w:w="1123"/>
        <w:gridCol w:w="214"/>
        <w:gridCol w:w="991"/>
        <w:gridCol w:w="917"/>
        <w:gridCol w:w="627"/>
        <w:gridCol w:w="82"/>
        <w:gridCol w:w="816"/>
        <w:gridCol w:w="69"/>
        <w:gridCol w:w="55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项目名称</w:t>
            </w:r>
          </w:p>
        </w:tc>
        <w:tc>
          <w:tcPr>
            <w:tcW w:w="8048" w:type="dxa"/>
            <w:gridSpan w:val="1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疫情防控项目经费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349"/>
              <w:jc w:val="center"/>
              <w:rPr>
                <w:color w:val="000000"/>
                <w:sz w:val="15"/>
                <w:szCs w:val="15"/>
              </w:rPr>
            </w:pPr>
            <w:r>
              <w:rPr>
                <w:rFonts w:hint="eastAsia"/>
                <w:color w:val="000000"/>
                <w:sz w:val="15"/>
                <w:szCs w:val="15"/>
              </w:rPr>
              <w:t>主管部门</w:t>
            </w:r>
          </w:p>
        </w:tc>
        <w:tc>
          <w:tcPr>
            <w:tcW w:w="3806"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合水县卫生健康局</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475"/>
              <w:jc w:val="center"/>
              <w:rPr>
                <w:color w:val="000000"/>
                <w:sz w:val="15"/>
                <w:szCs w:val="15"/>
              </w:rPr>
            </w:pPr>
            <w:r>
              <w:rPr>
                <w:rFonts w:hint="eastAsia"/>
                <w:color w:val="000000"/>
                <w:sz w:val="15"/>
                <w:szCs w:val="15"/>
              </w:rPr>
              <w:t>实施单位</w:t>
            </w:r>
          </w:p>
        </w:tc>
        <w:tc>
          <w:tcPr>
            <w:tcW w:w="2698" w:type="dxa"/>
            <w:gridSpan w:val="5"/>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合水县疾控中心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96" w:type="dxa"/>
            <w:gridSpan w:val="2"/>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spacing w:before="6"/>
              <w:jc w:val="center"/>
              <w:rPr>
                <w:rFonts w:hint="eastAsia"/>
                <w:color w:val="000000"/>
                <w:sz w:val="19"/>
                <w:szCs w:val="19"/>
              </w:rPr>
            </w:pPr>
          </w:p>
          <w:p>
            <w:pPr>
              <w:pStyle w:val="9"/>
              <w:spacing w:before="1"/>
              <w:ind w:left="52"/>
              <w:jc w:val="center"/>
              <w:rPr>
                <w:color w:val="000000"/>
                <w:sz w:val="15"/>
                <w:szCs w:val="15"/>
              </w:rPr>
            </w:pPr>
            <w:r>
              <w:rPr>
                <w:rFonts w:hint="eastAsia"/>
                <w:color w:val="000000"/>
                <w:sz w:val="15"/>
                <w:szCs w:val="15"/>
              </w:rPr>
              <w:t>项目资金（万元）</w:t>
            </w: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c>
          <w:tcPr>
            <w:tcW w:w="1123" w:type="dxa"/>
            <w:tcBorders>
              <w:top w:val="single" w:color="000000" w:sz="4" w:space="0"/>
              <w:left w:val="nil"/>
              <w:bottom w:val="single" w:color="000000" w:sz="4" w:space="0"/>
              <w:right w:val="single" w:color="000000" w:sz="4" w:space="0"/>
            </w:tcBorders>
            <w:noWrap w:val="0"/>
            <w:vAlign w:val="center"/>
          </w:tcPr>
          <w:p>
            <w:pPr>
              <w:pStyle w:val="9"/>
              <w:spacing w:before="114"/>
              <w:ind w:left="186"/>
              <w:jc w:val="center"/>
              <w:rPr>
                <w:color w:val="000000"/>
                <w:sz w:val="15"/>
                <w:szCs w:val="15"/>
              </w:rPr>
            </w:pPr>
            <w:r>
              <w:rPr>
                <w:rFonts w:hint="eastAsia"/>
                <w:color w:val="000000"/>
                <w:sz w:val="15"/>
                <w:szCs w:val="15"/>
              </w:rPr>
              <w:t>年初预算数</w:t>
            </w: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227"/>
              <w:jc w:val="center"/>
              <w:rPr>
                <w:color w:val="000000"/>
                <w:sz w:val="15"/>
                <w:szCs w:val="15"/>
              </w:rPr>
            </w:pPr>
            <w:r>
              <w:rPr>
                <w:rFonts w:hint="eastAsia"/>
                <w:color w:val="000000"/>
                <w:sz w:val="15"/>
                <w:szCs w:val="15"/>
              </w:rPr>
              <w:t>全年预算数</w:t>
            </w: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before="114"/>
              <w:ind w:left="401"/>
              <w:jc w:val="center"/>
              <w:rPr>
                <w:color w:val="000000"/>
                <w:sz w:val="15"/>
                <w:szCs w:val="15"/>
              </w:rPr>
            </w:pPr>
            <w:r>
              <w:rPr>
                <w:rFonts w:hint="eastAsia"/>
                <w:color w:val="000000"/>
                <w:sz w:val="15"/>
                <w:szCs w:val="15"/>
              </w:rPr>
              <w:t>全年执行数</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114"/>
              <w:ind w:left="254"/>
              <w:jc w:val="center"/>
              <w:rPr>
                <w:color w:val="000000"/>
                <w:sz w:val="15"/>
                <w:szCs w:val="15"/>
              </w:rPr>
            </w:pPr>
            <w:r>
              <w:rPr>
                <w:rFonts w:hint="eastAsia"/>
                <w:color w:val="000000"/>
                <w:sz w:val="15"/>
                <w:szCs w:val="15"/>
              </w:rPr>
              <w:t>分值</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before="114"/>
              <w:ind w:left="139"/>
              <w:jc w:val="center"/>
              <w:rPr>
                <w:color w:val="000000"/>
                <w:sz w:val="15"/>
                <w:szCs w:val="15"/>
              </w:rPr>
            </w:pPr>
            <w:r>
              <w:rPr>
                <w:rFonts w:hint="eastAsia"/>
                <w:color w:val="000000"/>
                <w:sz w:val="15"/>
                <w:szCs w:val="15"/>
              </w:rPr>
              <w:t>执行率</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114"/>
              <w:ind w:right="423"/>
              <w:jc w:val="center"/>
              <w:rPr>
                <w:color w:val="000000"/>
                <w:sz w:val="15"/>
                <w:szCs w:val="15"/>
              </w:rPr>
            </w:pPr>
            <w:r>
              <w:rPr>
                <w:rFonts w:hint="eastAsia"/>
                <w:color w:val="000000"/>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8" w:leftChars="0"/>
              <w:jc w:val="center"/>
              <w:rPr>
                <w:color w:val="000000"/>
                <w:sz w:val="15"/>
                <w:szCs w:val="15"/>
              </w:rPr>
            </w:pPr>
            <w:r>
              <w:rPr>
                <w:rFonts w:hint="eastAsia"/>
                <w:color w:val="000000"/>
                <w:sz w:val="15"/>
                <w:szCs w:val="15"/>
              </w:rPr>
              <w:t>年度资金总额</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94.01</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94.01</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94.01</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220" w:leftChars="0"/>
              <w:jc w:val="center"/>
              <w:rPr>
                <w:color w:val="000000"/>
                <w:sz w:val="15"/>
                <w:szCs w:val="15"/>
              </w:rPr>
            </w:pPr>
            <w:r>
              <w:rPr>
                <w:rFonts w:hint="eastAsia"/>
                <w:color w:val="000000"/>
                <w:sz w:val="15"/>
                <w:szCs w:val="15"/>
              </w:rPr>
              <w:t>其中：中央资金</w:t>
            </w:r>
          </w:p>
        </w:tc>
        <w:tc>
          <w:tcPr>
            <w:tcW w:w="1123" w:type="dxa"/>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94.01</w:t>
            </w:r>
          </w:p>
        </w:tc>
        <w:tc>
          <w:tcPr>
            <w:tcW w:w="1205"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ascii="Times New Roman"/>
                <w:color w:val="000000"/>
                <w:sz w:val="14"/>
                <w:szCs w:val="14"/>
              </w:rPr>
            </w:pPr>
            <w:r>
              <w:rPr>
                <w:rFonts w:hint="eastAsia" w:ascii="Times New Roman"/>
                <w:color w:val="000000"/>
                <w:sz w:val="14"/>
                <w:szCs w:val="14"/>
                <w:lang w:val="en-US" w:eastAsia="zh-CN"/>
              </w:rPr>
              <w:t>94.01</w:t>
            </w:r>
          </w:p>
        </w:tc>
        <w:tc>
          <w:tcPr>
            <w:tcW w:w="1544" w:type="dxa"/>
            <w:gridSpan w:val="2"/>
            <w:tcBorders>
              <w:top w:val="single" w:color="000000" w:sz="4" w:space="0"/>
              <w:left w:val="nil"/>
              <w:bottom w:val="single" w:color="000000" w:sz="4" w:space="0"/>
              <w:right w:val="single" w:color="000000" w:sz="4" w:space="0"/>
            </w:tcBorders>
            <w:noWrap w:val="0"/>
            <w:vAlign w:val="center"/>
          </w:tcPr>
          <w:p>
            <w:pPr>
              <w:spacing w:line="160" w:lineRule="exact"/>
              <w:jc w:val="center"/>
              <w:rPr>
                <w:rFonts w:hint="default" w:ascii="Times New Roman"/>
                <w:color w:val="000000"/>
                <w:sz w:val="14"/>
                <w:szCs w:val="14"/>
                <w:lang w:val="en-US"/>
              </w:rPr>
            </w:pPr>
            <w:r>
              <w:rPr>
                <w:rFonts w:hint="eastAsia" w:ascii="Times New Roman"/>
                <w:color w:val="000000"/>
                <w:sz w:val="14"/>
                <w:szCs w:val="14"/>
                <w:lang w:val="en-US" w:eastAsia="zh-CN"/>
              </w:rPr>
              <w:t>94.01</w:t>
            </w: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343" w:leftChars="0" w:right="335" w:rightChars="0"/>
              <w:jc w:val="center"/>
              <w:rPr>
                <w:color w:val="000000"/>
                <w:sz w:val="15"/>
                <w:szCs w:val="15"/>
              </w:rPr>
            </w:pPr>
            <w:r>
              <w:rPr>
                <w:rFonts w:hint="eastAsia"/>
                <w:color w:val="000000"/>
                <w:sz w:val="15"/>
                <w:szCs w:val="15"/>
              </w:rPr>
              <w:t>10</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r>
              <w:rPr>
                <w:rFonts w:hint="eastAsia" w:ascii="Times New Roman"/>
                <w:color w:val="000000"/>
                <w:sz w:val="14"/>
                <w:szCs w:val="14"/>
                <w:lang w:val="en-US" w:eastAsia="zh-CN"/>
              </w:rPr>
              <w:t>100%</w:t>
            </w:r>
          </w:p>
        </w:tc>
        <w:tc>
          <w:tcPr>
            <w:tcW w:w="117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hint="default"/>
                <w:color w:val="000000"/>
                <w:sz w:val="15"/>
                <w:szCs w:val="15"/>
                <w:lang w:val="en-US"/>
              </w:rPr>
            </w:pPr>
            <w:r>
              <w:rPr>
                <w:rFonts w:hint="eastAsia" w:ascii="Times New Roman"/>
                <w:color w:val="000000"/>
                <w:sz w:val="14"/>
                <w:szCs w:val="1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省级资金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rFonts w:hint="eastAsia"/>
                <w:color w:val="000000"/>
                <w:sz w:val="15"/>
                <w:szCs w:val="15"/>
              </w:rPr>
            </w:pPr>
            <w:r>
              <w:rPr>
                <w:rFonts w:hint="eastAsia"/>
                <w:color w:val="000000"/>
                <w:sz w:val="15"/>
                <w:szCs w:val="15"/>
              </w:rPr>
              <w:t>市级资金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rFonts w:hint="eastAsia"/>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rFonts w:hint="eastAsia"/>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29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478" w:type="dxa"/>
            <w:gridSpan w:val="2"/>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673" w:leftChars="0"/>
              <w:jc w:val="center"/>
              <w:rPr>
                <w:color w:val="000000"/>
                <w:sz w:val="15"/>
                <w:szCs w:val="15"/>
              </w:rPr>
            </w:pPr>
            <w:r>
              <w:rPr>
                <w:rFonts w:hint="eastAsia"/>
                <w:color w:val="000000"/>
                <w:sz w:val="15"/>
                <w:szCs w:val="15"/>
              </w:rPr>
              <w:t>县级资金</w:t>
            </w:r>
          </w:p>
        </w:tc>
        <w:tc>
          <w:tcPr>
            <w:tcW w:w="1123"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205"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544" w:type="dxa"/>
            <w:gridSpan w:val="2"/>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967" w:type="dxa"/>
            <w:gridSpan w:val="3"/>
            <w:tcBorders>
              <w:top w:val="single" w:color="000000" w:sz="4" w:space="0"/>
              <w:left w:val="nil"/>
              <w:bottom w:val="single" w:color="000000" w:sz="4" w:space="0"/>
              <w:right w:val="single" w:color="000000" w:sz="4" w:space="0"/>
            </w:tcBorders>
            <w:noWrap w:val="0"/>
            <w:vAlign w:val="center"/>
          </w:tcPr>
          <w:p>
            <w:pPr>
              <w:pStyle w:val="9"/>
              <w:spacing w:before="25" w:line="160" w:lineRule="exact"/>
              <w:ind w:left="8" w:leftChars="0"/>
              <w:jc w:val="center"/>
              <w:rPr>
                <w:color w:val="000000"/>
                <w:sz w:val="15"/>
                <w:szCs w:val="15"/>
              </w:rPr>
            </w:pPr>
            <w:r>
              <w:rPr>
                <w:rFonts w:hint="eastAsia"/>
                <w:color w:val="000000"/>
                <w:sz w:val="15"/>
                <w:szCs w:val="15"/>
              </w:rPr>
              <w:t>—</w:t>
            </w:r>
          </w:p>
        </w:tc>
        <w:tc>
          <w:tcPr>
            <w:tcW w:w="558" w:type="dxa"/>
            <w:tcBorders>
              <w:top w:val="single" w:color="000000" w:sz="4" w:space="0"/>
              <w:left w:val="nil"/>
              <w:bottom w:val="single" w:color="000000" w:sz="4" w:space="0"/>
              <w:right w:val="single" w:color="000000" w:sz="4" w:space="0"/>
            </w:tcBorders>
            <w:noWrap w:val="0"/>
            <w:vAlign w:val="center"/>
          </w:tcPr>
          <w:p>
            <w:pPr>
              <w:pStyle w:val="9"/>
              <w:spacing w:line="160" w:lineRule="exact"/>
              <w:jc w:val="center"/>
              <w:rPr>
                <w:rFonts w:ascii="Times New Roman"/>
                <w:color w:val="000000"/>
                <w:sz w:val="14"/>
                <w:szCs w:val="14"/>
              </w:rPr>
            </w:pPr>
          </w:p>
        </w:tc>
        <w:tc>
          <w:tcPr>
            <w:tcW w:w="1173" w:type="dxa"/>
            <w:tcBorders>
              <w:top w:val="single" w:color="000000" w:sz="4" w:space="0"/>
              <w:left w:val="nil"/>
              <w:bottom w:val="single" w:color="000000" w:sz="4" w:space="0"/>
              <w:right w:val="single" w:color="000000" w:sz="4" w:space="0"/>
            </w:tcBorders>
            <w:noWrap w:val="0"/>
            <w:vAlign w:val="center"/>
          </w:tcPr>
          <w:p>
            <w:pPr>
              <w:pStyle w:val="9"/>
              <w:spacing w:before="33" w:line="160" w:lineRule="exact"/>
              <w:ind w:left="6" w:leftChars="0"/>
              <w:jc w:val="center"/>
              <w:rPr>
                <w:color w:val="000000"/>
                <w:sz w:val="15"/>
                <w:szCs w:val="15"/>
              </w:rPr>
            </w:pPr>
            <w:r>
              <w:rPr>
                <w:rFonts w:hint="eastAsia"/>
                <w:color w:val="00000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spacing w:before="10"/>
              <w:jc w:val="center"/>
              <w:rPr>
                <w:rFonts w:ascii="宋体" w:hAnsi="宋体"/>
                <w:color w:val="000000"/>
                <w:sz w:val="10"/>
                <w:szCs w:val="10"/>
              </w:rPr>
            </w:pPr>
          </w:p>
          <w:p>
            <w:pPr>
              <w:pStyle w:val="9"/>
              <w:spacing w:before="1" w:line="244" w:lineRule="auto"/>
              <w:ind w:left="85" w:right="83"/>
              <w:jc w:val="center"/>
              <w:rPr>
                <w:color w:val="000000"/>
                <w:sz w:val="15"/>
                <w:szCs w:val="15"/>
              </w:rPr>
            </w:pPr>
            <w:r>
              <w:rPr>
                <w:rFonts w:hint="eastAsia"/>
                <w:color w:val="000000"/>
                <w:sz w:val="15"/>
                <w:szCs w:val="15"/>
              </w:rPr>
              <w:t>年度总体目标</w:t>
            </w: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spacing w:line="183" w:lineRule="exact"/>
              <w:ind w:left="1983" w:right="1981"/>
              <w:jc w:val="center"/>
              <w:rPr>
                <w:color w:val="000000"/>
                <w:sz w:val="15"/>
                <w:szCs w:val="15"/>
              </w:rPr>
            </w:pPr>
            <w:r>
              <w:rPr>
                <w:rFonts w:hint="eastAsia"/>
                <w:color w:val="000000"/>
                <w:sz w:val="15"/>
                <w:szCs w:val="15"/>
              </w:rPr>
              <w:t>预期目标</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spacing w:line="183" w:lineRule="exact"/>
              <w:ind w:left="1646" w:right="1637"/>
              <w:jc w:val="center"/>
              <w:rPr>
                <w:color w:val="000000"/>
                <w:sz w:val="15"/>
                <w:szCs w:val="15"/>
              </w:rPr>
            </w:pPr>
            <w:r>
              <w:rPr>
                <w:rFonts w:hint="eastAsia"/>
                <w:color w:val="000000"/>
                <w:sz w:val="15"/>
                <w:szCs w:val="15"/>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4623" w:type="dxa"/>
            <w:gridSpan w:val="6"/>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eastAsia="宋体"/>
                <w:color w:val="000000"/>
                <w:sz w:val="14"/>
                <w:szCs w:val="14"/>
                <w:lang w:val="en-US" w:eastAsia="zh-CN"/>
              </w:rPr>
            </w:pPr>
            <w:r>
              <w:rPr>
                <w:rFonts w:hint="eastAsia" w:ascii="Times New Roman"/>
                <w:color w:val="000000"/>
                <w:sz w:val="14"/>
                <w:szCs w:val="14"/>
                <w:lang w:val="en-US" w:eastAsia="zh-CN"/>
              </w:rPr>
              <w:t>加强新冠疫情防控力度，保障疫情各项物资充足</w:t>
            </w:r>
          </w:p>
        </w:tc>
        <w:tc>
          <w:tcPr>
            <w:tcW w:w="4242" w:type="dxa"/>
            <w:gridSpan w:val="7"/>
            <w:tcBorders>
              <w:top w:val="single" w:color="000000" w:sz="4" w:space="0"/>
              <w:left w:val="nil"/>
              <w:bottom w:val="single" w:color="000000" w:sz="4" w:space="0"/>
              <w:right w:val="single" w:color="000000" w:sz="4" w:space="0"/>
            </w:tcBorders>
            <w:noWrap w:val="0"/>
            <w:vAlign w:val="center"/>
          </w:tcPr>
          <w:p>
            <w:pPr>
              <w:pStyle w:val="9"/>
              <w:jc w:val="left"/>
              <w:rPr>
                <w:rFonts w:hint="default" w:ascii="Times New Roman" w:eastAsia="仿宋_GB2312"/>
                <w:color w:val="000000"/>
                <w:sz w:val="14"/>
                <w:szCs w:val="14"/>
                <w:lang w:val="en-US" w:eastAsia="zh-CN"/>
              </w:rPr>
            </w:pPr>
            <w:r>
              <w:rPr>
                <w:rFonts w:hint="eastAsia" w:ascii="Times New Roman"/>
                <w:color w:val="000000"/>
                <w:sz w:val="14"/>
                <w:szCs w:val="14"/>
                <w:lang w:val="en-US" w:eastAsia="zh-CN"/>
              </w:rPr>
              <w:t>加强新冠疫情防控力度，保障疫情各项物资充足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479" w:type="dxa"/>
            <w:vMerge w:val="restart"/>
            <w:tcBorders>
              <w:top w:val="nil"/>
              <w:left w:val="single" w:color="000000" w:sz="4" w:space="0"/>
              <w:bottom w:val="single" w:color="000000" w:sz="4" w:space="0"/>
              <w:right w:val="single" w:color="000000" w:sz="4" w:space="0"/>
            </w:tcBorders>
            <w:noWrap w:val="0"/>
            <w:vAlign w:val="center"/>
          </w:tcPr>
          <w:p>
            <w:pPr>
              <w:pStyle w:val="9"/>
              <w:jc w:val="center"/>
              <w:rPr>
                <w:rFonts w:ascii="宋体" w:hAnsi="宋体"/>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jc w:val="center"/>
              <w:rPr>
                <w:rFonts w:hint="eastAsia"/>
                <w:color w:val="000000"/>
                <w:sz w:val="14"/>
                <w:szCs w:val="14"/>
              </w:rPr>
            </w:pPr>
          </w:p>
          <w:p>
            <w:pPr>
              <w:pStyle w:val="9"/>
              <w:spacing w:before="4"/>
              <w:jc w:val="center"/>
              <w:rPr>
                <w:rFonts w:hint="eastAsia"/>
                <w:color w:val="000000"/>
                <w:sz w:val="15"/>
                <w:szCs w:val="15"/>
              </w:rPr>
            </w:pPr>
          </w:p>
          <w:p>
            <w:pPr>
              <w:pStyle w:val="9"/>
              <w:spacing w:line="244" w:lineRule="auto"/>
              <w:ind w:left="159" w:right="157"/>
              <w:jc w:val="center"/>
              <w:rPr>
                <w:color w:val="000000"/>
                <w:sz w:val="15"/>
                <w:szCs w:val="15"/>
              </w:rPr>
            </w:pPr>
            <w:r>
              <w:rPr>
                <w:rFonts w:hint="eastAsia"/>
                <w:color w:val="000000"/>
                <w:sz w:val="15"/>
                <w:szCs w:val="15"/>
              </w:rPr>
              <w:t>绩效指标</w:t>
            </w:r>
          </w:p>
        </w:tc>
        <w:tc>
          <w:tcPr>
            <w:tcW w:w="817" w:type="dxa"/>
            <w:tcBorders>
              <w:top w:val="single" w:color="000000" w:sz="4" w:space="0"/>
              <w:left w:val="nil"/>
              <w:bottom w:val="single" w:color="000000" w:sz="4" w:space="0"/>
              <w:right w:val="single" w:color="000000" w:sz="4" w:space="0"/>
            </w:tcBorders>
            <w:noWrap w:val="0"/>
            <w:vAlign w:val="center"/>
          </w:tcPr>
          <w:p>
            <w:pPr>
              <w:pStyle w:val="9"/>
              <w:spacing w:before="32"/>
              <w:ind w:left="110"/>
              <w:jc w:val="center"/>
              <w:rPr>
                <w:color w:val="000000"/>
                <w:sz w:val="15"/>
                <w:szCs w:val="15"/>
              </w:rPr>
            </w:pPr>
            <w:r>
              <w:rPr>
                <w:rFonts w:hint="eastAsia"/>
                <w:color w:val="000000"/>
                <w:sz w:val="15"/>
                <w:szCs w:val="15"/>
              </w:rPr>
              <w:t>一级指标</w:t>
            </w:r>
          </w:p>
        </w:tc>
        <w:tc>
          <w:tcPr>
            <w:tcW w:w="1201" w:type="dxa"/>
            <w:tcBorders>
              <w:top w:val="single" w:color="000000" w:sz="4" w:space="0"/>
              <w:left w:val="nil"/>
              <w:bottom w:val="single" w:color="000000" w:sz="4" w:space="0"/>
              <w:right w:val="single" w:color="000000" w:sz="4" w:space="0"/>
            </w:tcBorders>
            <w:noWrap w:val="0"/>
            <w:vAlign w:val="center"/>
          </w:tcPr>
          <w:p>
            <w:pPr>
              <w:pStyle w:val="9"/>
              <w:spacing w:before="32"/>
              <w:ind w:left="28"/>
              <w:jc w:val="center"/>
              <w:rPr>
                <w:color w:val="000000"/>
                <w:sz w:val="15"/>
                <w:szCs w:val="15"/>
              </w:rPr>
            </w:pPr>
            <w:r>
              <w:rPr>
                <w:rFonts w:hint="eastAsia"/>
                <w:color w:val="000000"/>
                <w:sz w:val="15"/>
                <w:szCs w:val="15"/>
              </w:rPr>
              <w:t>二级指标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756" w:right="745"/>
              <w:jc w:val="center"/>
              <w:rPr>
                <w:color w:val="000000"/>
                <w:sz w:val="15"/>
                <w:szCs w:val="15"/>
              </w:rPr>
            </w:pPr>
            <w:r>
              <w:rPr>
                <w:rFonts w:hint="eastAsia"/>
                <w:color w:val="000000"/>
                <w:sz w:val="15"/>
                <w:szCs w:val="15"/>
              </w:rPr>
              <w:t>三级指标</w:t>
            </w:r>
          </w:p>
        </w:tc>
        <w:tc>
          <w:tcPr>
            <w:tcW w:w="991" w:type="dxa"/>
            <w:tcBorders>
              <w:top w:val="single" w:color="000000" w:sz="4" w:space="0"/>
              <w:left w:val="nil"/>
              <w:bottom w:val="single" w:color="000000" w:sz="4" w:space="0"/>
              <w:right w:val="single" w:color="000000" w:sz="4" w:space="0"/>
            </w:tcBorders>
            <w:noWrap w:val="0"/>
            <w:vAlign w:val="center"/>
          </w:tcPr>
          <w:p>
            <w:pPr>
              <w:pStyle w:val="9"/>
              <w:spacing w:before="32"/>
              <w:ind w:left="120"/>
              <w:jc w:val="center"/>
              <w:rPr>
                <w:color w:val="000000"/>
                <w:sz w:val="15"/>
                <w:szCs w:val="15"/>
              </w:rPr>
            </w:pPr>
            <w:r>
              <w:rPr>
                <w:rFonts w:hint="eastAsia"/>
                <w:color w:val="000000"/>
                <w:sz w:val="15"/>
                <w:szCs w:val="15"/>
              </w:rPr>
              <w:t>年度指标值</w:t>
            </w:r>
          </w:p>
        </w:tc>
        <w:tc>
          <w:tcPr>
            <w:tcW w:w="917" w:type="dxa"/>
            <w:tcBorders>
              <w:top w:val="single" w:color="000000" w:sz="4" w:space="0"/>
              <w:left w:val="nil"/>
              <w:bottom w:val="single" w:color="000000" w:sz="4" w:space="0"/>
              <w:right w:val="single" w:color="000000" w:sz="4" w:space="0"/>
            </w:tcBorders>
            <w:noWrap w:val="0"/>
            <w:vAlign w:val="center"/>
          </w:tcPr>
          <w:p>
            <w:pPr>
              <w:pStyle w:val="9"/>
              <w:spacing w:before="32"/>
              <w:ind w:left="88"/>
              <w:jc w:val="center"/>
              <w:rPr>
                <w:color w:val="000000"/>
                <w:sz w:val="15"/>
                <w:szCs w:val="15"/>
              </w:rPr>
            </w:pPr>
            <w:r>
              <w:rPr>
                <w:rFonts w:hint="eastAsia"/>
                <w:color w:val="000000"/>
                <w:sz w:val="15"/>
                <w:szCs w:val="15"/>
              </w:rPr>
              <w:t>实际完成值</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before="23"/>
              <w:ind w:left="204"/>
              <w:jc w:val="center"/>
              <w:rPr>
                <w:color w:val="000000"/>
                <w:sz w:val="15"/>
                <w:szCs w:val="15"/>
              </w:rPr>
            </w:pPr>
            <w:r>
              <w:rPr>
                <w:rFonts w:hint="eastAsia"/>
                <w:color w:val="000000"/>
                <w:sz w:val="15"/>
                <w:szCs w:val="15"/>
              </w:rPr>
              <w:t>分值</w:t>
            </w:r>
          </w:p>
        </w:tc>
        <w:tc>
          <w:tcPr>
            <w:tcW w:w="816" w:type="dxa"/>
            <w:tcBorders>
              <w:top w:val="single" w:color="000000" w:sz="4" w:space="0"/>
              <w:left w:val="nil"/>
              <w:bottom w:val="single" w:color="000000" w:sz="4" w:space="0"/>
              <w:right w:val="single" w:color="000000" w:sz="4" w:space="0"/>
            </w:tcBorders>
            <w:noWrap w:val="0"/>
            <w:vAlign w:val="center"/>
          </w:tcPr>
          <w:p>
            <w:pPr>
              <w:pStyle w:val="9"/>
              <w:spacing w:before="23"/>
              <w:ind w:left="262"/>
              <w:jc w:val="center"/>
              <w:rPr>
                <w:color w:val="000000"/>
                <w:sz w:val="15"/>
                <w:szCs w:val="15"/>
              </w:rPr>
            </w:pPr>
            <w:r>
              <w:rPr>
                <w:rFonts w:hint="eastAsia"/>
                <w:color w:val="000000"/>
                <w:sz w:val="15"/>
                <w:szCs w:val="15"/>
              </w:rPr>
              <w:t>得分</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spacing w:before="23"/>
              <w:ind w:left="82"/>
              <w:jc w:val="center"/>
              <w:rPr>
                <w:color w:val="000000"/>
                <w:sz w:val="15"/>
                <w:szCs w:val="15"/>
              </w:rPr>
            </w:pPr>
            <w:r>
              <w:rPr>
                <w:rFonts w:hint="eastAsia"/>
                <w:color w:val="000000"/>
                <w:sz w:val="15"/>
                <w:szCs w:val="15"/>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jc w:val="both"/>
              <w:rPr>
                <w:rFonts w:hint="eastAsia"/>
                <w:color w:val="000000"/>
                <w:sz w:val="14"/>
                <w:szCs w:val="14"/>
              </w:rPr>
            </w:pPr>
          </w:p>
          <w:p>
            <w:pPr>
              <w:pStyle w:val="9"/>
              <w:jc w:val="both"/>
              <w:rPr>
                <w:rFonts w:hint="eastAsia"/>
                <w:color w:val="000000"/>
                <w:sz w:val="14"/>
                <w:szCs w:val="14"/>
              </w:rPr>
            </w:pPr>
          </w:p>
          <w:p>
            <w:pPr>
              <w:pStyle w:val="9"/>
              <w:spacing w:before="95"/>
              <w:jc w:val="both"/>
              <w:rPr>
                <w:color w:val="000000"/>
                <w:sz w:val="15"/>
                <w:szCs w:val="15"/>
              </w:rPr>
            </w:pPr>
            <w:r>
              <w:rPr>
                <w:rFonts w:hint="eastAsia"/>
                <w:color w:val="000000"/>
                <w:sz w:val="15"/>
                <w:szCs w:val="15"/>
              </w:rPr>
              <w:t>产出指标</w:t>
            </w:r>
          </w:p>
        </w:tc>
        <w:tc>
          <w:tcPr>
            <w:tcW w:w="1201" w:type="dxa"/>
            <w:vMerge w:val="restart"/>
            <w:tcBorders>
              <w:top w:val="nil"/>
              <w:left w:val="nil"/>
              <w:right w:val="single" w:color="000000" w:sz="4" w:space="0"/>
            </w:tcBorders>
            <w:noWrap w:val="0"/>
            <w:vAlign w:val="center"/>
          </w:tcPr>
          <w:p>
            <w:pPr>
              <w:pStyle w:val="9"/>
              <w:jc w:val="center"/>
              <w:rPr>
                <w:rFonts w:hint="eastAsia"/>
                <w:color w:val="000000"/>
                <w:sz w:val="15"/>
                <w:szCs w:val="15"/>
              </w:rPr>
            </w:pPr>
            <w:r>
              <w:rPr>
                <w:rFonts w:hint="eastAsia"/>
                <w:color w:val="000000"/>
                <w:sz w:val="15"/>
                <w:szCs w:val="15"/>
              </w:rPr>
              <w:t>数量指标</w:t>
            </w:r>
          </w:p>
          <w:p>
            <w:pPr>
              <w:pStyle w:val="9"/>
              <w:jc w:val="center"/>
              <w:rPr>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完成采购物资数</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5000</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5000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continue"/>
            <w:tcBorders>
              <w:left w:val="nil"/>
              <w:bottom w:val="single" w:color="000000" w:sz="4" w:space="0"/>
              <w:right w:val="single" w:color="000000" w:sz="4" w:space="0"/>
            </w:tcBorders>
            <w:noWrap w:val="0"/>
            <w:vAlign w:val="center"/>
          </w:tcPr>
          <w:p>
            <w:pPr>
              <w:pStyle w:val="9"/>
              <w:jc w:val="center"/>
              <w:rPr>
                <w:color w:val="000000"/>
                <w:sz w:val="15"/>
                <w:szCs w:val="15"/>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完成采购试剂耗材数</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30000</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30000</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vMerge w:val="restart"/>
            <w:tcBorders>
              <w:top w:val="nil"/>
              <w:left w:val="nil"/>
              <w:right w:val="single" w:color="000000" w:sz="4" w:space="0"/>
            </w:tcBorders>
            <w:noWrap w:val="0"/>
            <w:vAlign w:val="center"/>
          </w:tcPr>
          <w:p>
            <w:pPr>
              <w:pStyle w:val="9"/>
              <w:jc w:val="center"/>
              <w:rPr>
                <w:color w:val="000000"/>
                <w:sz w:val="15"/>
                <w:szCs w:val="15"/>
              </w:rPr>
            </w:pPr>
            <w:r>
              <w:rPr>
                <w:rFonts w:hint="eastAsia"/>
                <w:color w:val="000000"/>
                <w:sz w:val="15"/>
                <w:szCs w:val="15"/>
              </w:rPr>
              <w:t>质量指标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leftChars="0"/>
              <w:jc w:val="center"/>
              <w:rPr>
                <w:rFonts w:hint="default" w:eastAsia="宋体"/>
                <w:color w:val="000000"/>
                <w:sz w:val="15"/>
                <w:szCs w:val="15"/>
                <w:lang w:val="en-US" w:eastAsia="zh-CN"/>
              </w:rPr>
            </w:pPr>
            <w:r>
              <w:rPr>
                <w:rFonts w:hint="eastAsia" w:cs="Times New Roman"/>
                <w:color w:val="000000"/>
                <w:sz w:val="15"/>
                <w:szCs w:val="15"/>
                <w:lang w:val="en-US" w:eastAsia="zh-CN"/>
              </w:rPr>
              <w:t>核酸检测率预期目标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95"/>
              <w:ind w:firstLine="150" w:firstLineChars="100"/>
              <w:jc w:val="both"/>
              <w:rPr>
                <w:rFonts w:hint="eastAsia"/>
                <w:color w:val="000000"/>
                <w:sz w:val="15"/>
                <w:szCs w:val="15"/>
              </w:rPr>
            </w:pPr>
          </w:p>
        </w:tc>
        <w:tc>
          <w:tcPr>
            <w:tcW w:w="1201" w:type="dxa"/>
            <w:vMerge w:val="continue"/>
            <w:tcBorders>
              <w:left w:val="nil"/>
              <w:bottom w:val="single" w:color="000000" w:sz="4" w:space="0"/>
              <w:right w:val="single" w:color="000000" w:sz="4" w:space="0"/>
            </w:tcBorders>
            <w:noWrap w:val="0"/>
            <w:vAlign w:val="center"/>
          </w:tcPr>
          <w:p>
            <w:pPr>
              <w:pStyle w:val="9"/>
              <w:jc w:val="center"/>
              <w:rPr>
                <w:rFonts w:hint="eastAsia" w:ascii="Calibri" w:hAnsi="Calibri" w:eastAsia="宋体" w:cs="Times New Roman"/>
                <w:color w:val="000000"/>
                <w:kern w:val="2"/>
                <w:sz w:val="15"/>
                <w:szCs w:val="15"/>
                <w:lang w:val="en-US" w:eastAsia="zh-CN" w:bidi="ar-SA"/>
              </w:rPr>
            </w:pPr>
          </w:p>
        </w:tc>
        <w:tc>
          <w:tcPr>
            <w:tcW w:w="1614" w:type="dxa"/>
            <w:gridSpan w:val="3"/>
            <w:tcBorders>
              <w:top w:val="single" w:color="000000" w:sz="4" w:space="0"/>
              <w:left w:val="nil"/>
              <w:bottom w:val="single" w:color="000000" w:sz="4" w:space="0"/>
              <w:right w:val="single" w:color="000000" w:sz="4" w:space="0"/>
            </w:tcBorders>
            <w:noWrap w:val="0"/>
            <w:vAlign w:val="center"/>
          </w:tcPr>
          <w:p>
            <w:pPr>
              <w:spacing w:line="183" w:lineRule="exact"/>
              <w:ind w:left="29" w:leftChars="0"/>
              <w:jc w:val="center"/>
              <w:rPr>
                <w:rFonts w:hint="eastAsia" w:ascii="Calibri" w:hAnsi="Calibri" w:eastAsia="宋体" w:cs="Times New Roman"/>
                <w:color w:val="000000"/>
                <w:kern w:val="2"/>
                <w:sz w:val="15"/>
                <w:szCs w:val="15"/>
                <w:lang w:val="en-US" w:eastAsia="zh-CN" w:bidi="ar-SA"/>
              </w:rPr>
            </w:pPr>
            <w:r>
              <w:rPr>
                <w:rFonts w:hint="eastAsia" w:ascii="Calibri" w:hAnsi="Calibri" w:eastAsia="宋体" w:cs="Times New Roman"/>
                <w:color w:val="000000"/>
                <w:kern w:val="2"/>
                <w:sz w:val="15"/>
                <w:szCs w:val="15"/>
                <w:lang w:val="en-US" w:eastAsia="zh-CN" w:bidi="ar-SA"/>
              </w:rPr>
              <w:t>核酸检测质量控制率</w:t>
            </w:r>
          </w:p>
        </w:tc>
        <w:tc>
          <w:tcPr>
            <w:tcW w:w="991"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hAnsi="Calibri" w:eastAsia="宋体" w:cs="Times New Roman"/>
                <w:color w:val="000000"/>
                <w:kern w:val="2"/>
                <w:sz w:val="14"/>
                <w:szCs w:val="14"/>
                <w:lang w:val="en-US" w:eastAsia="zh-CN" w:bidi="ar-SA"/>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restart"/>
            <w:tcBorders>
              <w:top w:val="nil"/>
              <w:left w:val="nil"/>
              <w:bottom w:val="single" w:color="000000" w:sz="4" w:space="0"/>
              <w:right w:val="single" w:color="000000" w:sz="4" w:space="0"/>
            </w:tcBorders>
            <w:noWrap w:val="0"/>
            <w:vAlign w:val="center"/>
          </w:tcPr>
          <w:p>
            <w:pPr>
              <w:pStyle w:val="9"/>
              <w:spacing w:before="95"/>
              <w:ind w:firstLine="150" w:firstLineChars="100"/>
              <w:jc w:val="both"/>
              <w:rPr>
                <w:color w:val="000000"/>
                <w:sz w:val="15"/>
                <w:szCs w:val="15"/>
              </w:rPr>
            </w:pPr>
            <w:r>
              <w:rPr>
                <w:rFonts w:hint="eastAsia"/>
                <w:color w:val="000000"/>
                <w:sz w:val="15"/>
                <w:szCs w:val="15"/>
              </w:rPr>
              <w:t>效益指标</w:t>
            </w: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经济效益指标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default" w:eastAsia="宋体"/>
                <w:color w:val="000000"/>
                <w:sz w:val="15"/>
                <w:szCs w:val="15"/>
                <w:lang w:val="en-US" w:eastAsia="zh-CN"/>
              </w:rPr>
            </w:pPr>
            <w:r>
              <w:rPr>
                <w:rFonts w:hint="eastAsia"/>
                <w:color w:val="000000"/>
                <w:sz w:val="15"/>
                <w:szCs w:val="15"/>
                <w:lang w:val="en-US" w:eastAsia="zh-CN"/>
              </w:rPr>
              <w:t>社会效益显著</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社会效益显著</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社会效益显著</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社会效益指标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leftChars="0"/>
              <w:jc w:val="center"/>
              <w:rPr>
                <w:rFonts w:hint="default" w:eastAsia="宋体"/>
                <w:color w:val="000000"/>
                <w:sz w:val="15"/>
                <w:szCs w:val="15"/>
                <w:lang w:val="en-US" w:eastAsia="zh-CN"/>
              </w:rPr>
            </w:pPr>
            <w:r>
              <w:rPr>
                <w:rFonts w:hint="eastAsia"/>
                <w:color w:val="000000"/>
                <w:sz w:val="15"/>
                <w:szCs w:val="15"/>
                <w:lang w:val="en-US" w:eastAsia="zh-CN"/>
              </w:rPr>
              <w:t>新冠肺炎等重点传染病危害</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color w:val="000000"/>
                <w:sz w:val="15"/>
                <w:szCs w:val="15"/>
                <w:lang w:val="en-US" w:eastAsia="zh-CN"/>
              </w:rPr>
              <w:t>逐步下降</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color w:val="000000"/>
                <w:sz w:val="15"/>
                <w:szCs w:val="15"/>
                <w:lang w:val="en-US" w:eastAsia="zh-CN"/>
              </w:rPr>
              <w:t>逐步下降</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1201" w:type="dxa"/>
            <w:tcBorders>
              <w:top w:val="nil"/>
              <w:left w:val="nil"/>
              <w:bottom w:val="single" w:color="000000" w:sz="4" w:space="0"/>
              <w:right w:val="single" w:color="000000" w:sz="4" w:space="0"/>
            </w:tcBorders>
            <w:noWrap w:val="0"/>
            <w:vAlign w:val="center"/>
          </w:tcPr>
          <w:p>
            <w:pPr>
              <w:pStyle w:val="9"/>
              <w:spacing w:before="1" w:line="244" w:lineRule="auto"/>
              <w:ind w:right="11"/>
              <w:jc w:val="both"/>
              <w:rPr>
                <w:color w:val="000000"/>
                <w:sz w:val="15"/>
                <w:szCs w:val="15"/>
              </w:rPr>
            </w:pPr>
            <w:r>
              <w:rPr>
                <w:rFonts w:hint="eastAsia"/>
                <w:color w:val="000000"/>
                <w:sz w:val="15"/>
                <w:szCs w:val="15"/>
              </w:rPr>
              <w:t>生态效益指标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leftChars="0"/>
              <w:jc w:val="center"/>
              <w:rPr>
                <w:rFonts w:hint="default" w:eastAsia="宋体"/>
                <w:color w:val="000000"/>
                <w:sz w:val="15"/>
                <w:szCs w:val="15"/>
                <w:lang w:val="en-US" w:eastAsia="zh-CN"/>
              </w:rPr>
            </w:pPr>
            <w:r>
              <w:rPr>
                <w:rFonts w:hint="eastAsia"/>
                <w:color w:val="000000"/>
                <w:sz w:val="15"/>
                <w:szCs w:val="15"/>
                <w:lang w:val="en-US" w:eastAsia="zh-CN"/>
              </w:rPr>
              <w:t>保障人民的身体健康预防疾病知识</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eastAsia" w:ascii="Times New Roman" w:eastAsia="宋体"/>
                <w:color w:val="000000"/>
                <w:sz w:val="14"/>
                <w:szCs w:val="14"/>
                <w:lang w:val="en-US" w:eastAsia="zh-CN"/>
              </w:rPr>
            </w:pPr>
            <w:r>
              <w:rPr>
                <w:rFonts w:hint="eastAsia" w:ascii="Times New Roman"/>
                <w:color w:val="000000"/>
                <w:sz w:val="14"/>
                <w:szCs w:val="14"/>
                <w:lang w:val="en-US" w:eastAsia="zh-CN"/>
              </w:rPr>
              <w:t>有所提升</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有所提升</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79"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15"/>
                <w:szCs w:val="15"/>
              </w:rPr>
            </w:pPr>
          </w:p>
        </w:tc>
        <w:tc>
          <w:tcPr>
            <w:tcW w:w="817" w:type="dxa"/>
            <w:tcBorders>
              <w:top w:val="nil"/>
              <w:left w:val="nil"/>
              <w:bottom w:val="single" w:color="000000" w:sz="4" w:space="0"/>
              <w:right w:val="single" w:color="000000" w:sz="4" w:space="0"/>
            </w:tcBorders>
            <w:noWrap w:val="0"/>
            <w:vAlign w:val="center"/>
          </w:tcPr>
          <w:p>
            <w:pPr>
              <w:pStyle w:val="9"/>
              <w:spacing w:before="7"/>
              <w:jc w:val="both"/>
              <w:rPr>
                <w:rFonts w:ascii="宋体" w:hAnsi="宋体"/>
                <w:color w:val="000000"/>
                <w:sz w:val="18"/>
                <w:szCs w:val="18"/>
              </w:rPr>
            </w:pPr>
          </w:p>
          <w:p>
            <w:pPr>
              <w:pStyle w:val="9"/>
              <w:ind w:left="36"/>
              <w:jc w:val="center"/>
              <w:rPr>
                <w:color w:val="000000"/>
                <w:sz w:val="15"/>
                <w:szCs w:val="15"/>
              </w:rPr>
            </w:pPr>
            <w:r>
              <w:rPr>
                <w:rFonts w:hint="eastAsia"/>
                <w:color w:val="000000"/>
                <w:sz w:val="15"/>
                <w:szCs w:val="15"/>
              </w:rPr>
              <w:t>满意度指标</w:t>
            </w:r>
          </w:p>
        </w:tc>
        <w:tc>
          <w:tcPr>
            <w:tcW w:w="1201" w:type="dxa"/>
            <w:tcBorders>
              <w:top w:val="nil"/>
              <w:left w:val="nil"/>
              <w:bottom w:val="single" w:color="000000" w:sz="4" w:space="0"/>
              <w:right w:val="single" w:color="000000" w:sz="4" w:space="0"/>
            </w:tcBorders>
            <w:noWrap w:val="0"/>
            <w:vAlign w:val="center"/>
          </w:tcPr>
          <w:p>
            <w:pPr>
              <w:pStyle w:val="9"/>
              <w:spacing w:before="40" w:line="244" w:lineRule="auto"/>
              <w:ind w:left="15" w:right="11"/>
              <w:jc w:val="center"/>
              <w:rPr>
                <w:color w:val="000000"/>
                <w:sz w:val="15"/>
                <w:szCs w:val="15"/>
              </w:rPr>
            </w:pPr>
            <w:r>
              <w:rPr>
                <w:rFonts w:hint="eastAsia"/>
                <w:color w:val="000000"/>
                <w:sz w:val="15"/>
                <w:szCs w:val="15"/>
              </w:rPr>
              <w:t>服务对象满意度指标</w:t>
            </w:r>
          </w:p>
        </w:tc>
        <w:tc>
          <w:tcPr>
            <w:tcW w:w="1614" w:type="dxa"/>
            <w:gridSpan w:val="3"/>
            <w:tcBorders>
              <w:top w:val="single" w:color="000000" w:sz="4" w:space="0"/>
              <w:left w:val="nil"/>
              <w:bottom w:val="single" w:color="000000" w:sz="4" w:space="0"/>
              <w:right w:val="single" w:color="000000" w:sz="4" w:space="0"/>
            </w:tcBorders>
            <w:noWrap w:val="0"/>
            <w:vAlign w:val="center"/>
          </w:tcPr>
          <w:p>
            <w:pPr>
              <w:pStyle w:val="9"/>
              <w:spacing w:line="183" w:lineRule="exact"/>
              <w:ind w:left="29"/>
              <w:jc w:val="center"/>
              <w:rPr>
                <w:rFonts w:hint="eastAsia" w:eastAsia="宋体"/>
                <w:color w:val="000000"/>
                <w:sz w:val="15"/>
                <w:szCs w:val="15"/>
                <w:lang w:eastAsia="zh-CN"/>
              </w:rPr>
            </w:pPr>
            <w:r>
              <w:rPr>
                <w:rFonts w:hint="eastAsia"/>
                <w:color w:val="000000"/>
                <w:sz w:val="15"/>
                <w:szCs w:val="15"/>
                <w:lang w:val="en-US" w:eastAsia="zh-CN"/>
              </w:rPr>
              <w:t>服务满意度</w:t>
            </w:r>
          </w:p>
        </w:tc>
        <w:tc>
          <w:tcPr>
            <w:tcW w:w="991"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95%</w:t>
            </w:r>
          </w:p>
        </w:tc>
        <w:tc>
          <w:tcPr>
            <w:tcW w:w="917" w:type="dxa"/>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r>
              <w:rPr>
                <w:rFonts w:hint="eastAsia" w:ascii="Times New Roman"/>
                <w:color w:val="000000"/>
                <w:sz w:val="14"/>
                <w:szCs w:val="14"/>
                <w:lang w:val="en-US" w:eastAsia="zh-CN"/>
              </w:rPr>
              <w:t>95%</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10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01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834" w:right="2823"/>
              <w:jc w:val="center"/>
              <w:rPr>
                <w:color w:val="000000"/>
                <w:sz w:val="15"/>
                <w:szCs w:val="15"/>
              </w:rPr>
            </w:pPr>
            <w:r>
              <w:rPr>
                <w:rFonts w:hint="eastAsia"/>
                <w:color w:val="000000"/>
                <w:sz w:val="15"/>
                <w:szCs w:val="15"/>
              </w:rPr>
              <w:t>总分</w:t>
            </w:r>
          </w:p>
        </w:tc>
        <w:tc>
          <w:tcPr>
            <w:tcW w:w="709" w:type="dxa"/>
            <w:gridSpan w:val="2"/>
            <w:tcBorders>
              <w:top w:val="single" w:color="000000" w:sz="4" w:space="0"/>
              <w:left w:val="nil"/>
              <w:bottom w:val="single" w:color="000000" w:sz="4" w:space="0"/>
              <w:right w:val="single" w:color="000000" w:sz="4" w:space="0"/>
            </w:tcBorders>
            <w:noWrap w:val="0"/>
            <w:vAlign w:val="center"/>
          </w:tcPr>
          <w:p>
            <w:pPr>
              <w:pStyle w:val="9"/>
              <w:spacing w:line="183" w:lineRule="exact"/>
              <w:ind w:left="245"/>
              <w:jc w:val="center"/>
              <w:rPr>
                <w:color w:val="000000"/>
                <w:sz w:val="15"/>
                <w:szCs w:val="15"/>
              </w:rPr>
            </w:pPr>
          </w:p>
        </w:tc>
        <w:tc>
          <w:tcPr>
            <w:tcW w:w="816" w:type="dxa"/>
            <w:tcBorders>
              <w:top w:val="single" w:color="000000" w:sz="4" w:space="0"/>
              <w:left w:val="nil"/>
              <w:bottom w:val="single" w:color="000000" w:sz="4" w:space="0"/>
              <w:right w:val="single" w:color="000000" w:sz="4" w:space="0"/>
            </w:tcBorders>
            <w:noWrap w:val="0"/>
            <w:vAlign w:val="center"/>
          </w:tcPr>
          <w:p>
            <w:pPr>
              <w:pStyle w:val="9"/>
              <w:jc w:val="center"/>
              <w:rPr>
                <w:rFonts w:hint="default" w:ascii="Times New Roman" w:eastAsia="宋体"/>
                <w:color w:val="000000"/>
                <w:sz w:val="14"/>
                <w:szCs w:val="14"/>
                <w:lang w:val="en-US" w:eastAsia="zh-CN"/>
              </w:rPr>
            </w:pPr>
            <w:r>
              <w:rPr>
                <w:rFonts w:hint="eastAsia" w:ascii="Times New Roman"/>
                <w:color w:val="000000"/>
                <w:sz w:val="14"/>
                <w:szCs w:val="14"/>
                <w:lang w:val="en-US" w:eastAsia="zh-CN"/>
              </w:rPr>
              <w:t>80</w:t>
            </w:r>
          </w:p>
        </w:tc>
        <w:tc>
          <w:tcPr>
            <w:tcW w:w="1800" w:type="dxa"/>
            <w:gridSpan w:val="3"/>
            <w:tcBorders>
              <w:top w:val="single" w:color="000000" w:sz="4" w:space="0"/>
              <w:left w:val="nil"/>
              <w:bottom w:val="single" w:color="000000" w:sz="4" w:space="0"/>
              <w:right w:val="single" w:color="000000" w:sz="4" w:space="0"/>
            </w:tcBorders>
            <w:noWrap w:val="0"/>
            <w:vAlign w:val="center"/>
          </w:tcPr>
          <w:p>
            <w:pPr>
              <w:pStyle w:val="9"/>
              <w:jc w:val="center"/>
              <w:rPr>
                <w:rFonts w:ascii="Times New Roman"/>
                <w:color w:val="000000"/>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47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183" w:lineRule="exact"/>
              <w:ind w:left="27"/>
              <w:jc w:val="center"/>
              <w:rPr>
                <w:color w:val="000000"/>
                <w:sz w:val="15"/>
                <w:szCs w:val="15"/>
              </w:rPr>
            </w:pPr>
            <w:r>
              <w:rPr>
                <w:rFonts w:hint="eastAsia"/>
                <w:color w:val="000000"/>
                <w:sz w:val="15"/>
                <w:szCs w:val="15"/>
              </w:rPr>
              <w:t>说明</w:t>
            </w:r>
          </w:p>
        </w:tc>
        <w:tc>
          <w:tcPr>
            <w:tcW w:w="8865" w:type="dxa"/>
            <w:gridSpan w:val="13"/>
            <w:tcBorders>
              <w:top w:val="single" w:color="000000" w:sz="4" w:space="0"/>
              <w:left w:val="nil"/>
              <w:bottom w:val="single" w:color="000000" w:sz="4" w:space="0"/>
              <w:right w:val="single" w:color="000000" w:sz="4" w:space="0"/>
            </w:tcBorders>
            <w:noWrap w:val="0"/>
            <w:vAlign w:val="center"/>
          </w:tcPr>
          <w:p>
            <w:pPr>
              <w:pStyle w:val="9"/>
              <w:spacing w:line="175" w:lineRule="exact"/>
              <w:ind w:left="28"/>
              <w:rPr>
                <w:color w:val="000000"/>
                <w:sz w:val="15"/>
                <w:szCs w:val="15"/>
              </w:rPr>
            </w:pPr>
            <w:r>
              <w:rPr>
                <w:rFonts w:hint="eastAsia"/>
                <w:color w:val="000000"/>
                <w:sz w:val="15"/>
                <w:szCs w:val="15"/>
              </w:rPr>
              <w:t>请在此处简要说明中央、省委巡视和县委巡察、各级审计和财政监督中发现的问题及其所涉及的金额，如没有填无。</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mYwNWIzZDQxYzMxMzlhYzgzNjY4YWQ5N2UxYTUifQ=="/>
  </w:docVars>
  <w:rsids>
    <w:rsidRoot w:val="00000000"/>
    <w:rsid w:val="02D70D41"/>
    <w:rsid w:val="04696AB3"/>
    <w:rsid w:val="051C2CDE"/>
    <w:rsid w:val="0A507989"/>
    <w:rsid w:val="10967DE9"/>
    <w:rsid w:val="16564DD5"/>
    <w:rsid w:val="170D6125"/>
    <w:rsid w:val="17871A24"/>
    <w:rsid w:val="1B8725F0"/>
    <w:rsid w:val="1DD23875"/>
    <w:rsid w:val="24BF6415"/>
    <w:rsid w:val="25A201A0"/>
    <w:rsid w:val="261E020C"/>
    <w:rsid w:val="2B8C0B65"/>
    <w:rsid w:val="2DC825C8"/>
    <w:rsid w:val="354244F1"/>
    <w:rsid w:val="395341B4"/>
    <w:rsid w:val="3B261D4A"/>
    <w:rsid w:val="3B2A71FC"/>
    <w:rsid w:val="3BB62829"/>
    <w:rsid w:val="3C460065"/>
    <w:rsid w:val="3D915310"/>
    <w:rsid w:val="41662610"/>
    <w:rsid w:val="490E3809"/>
    <w:rsid w:val="4D4C588D"/>
    <w:rsid w:val="4D9A02B6"/>
    <w:rsid w:val="5201085F"/>
    <w:rsid w:val="53422EDD"/>
    <w:rsid w:val="56FD7EC5"/>
    <w:rsid w:val="5FFB68ED"/>
    <w:rsid w:val="6057789C"/>
    <w:rsid w:val="620A45CD"/>
    <w:rsid w:val="68E00D76"/>
    <w:rsid w:val="6A7C062B"/>
    <w:rsid w:val="6CBE4483"/>
    <w:rsid w:val="6DE309C1"/>
    <w:rsid w:val="6F3218FD"/>
    <w:rsid w:val="766455EE"/>
    <w:rsid w:val="7C63604D"/>
    <w:rsid w:val="7D07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Body Text"/>
    <w:basedOn w:val="1"/>
    <w:qFormat/>
    <w:uiPriority w:val="99"/>
    <w:rPr>
      <w:rFonts w:ascii="宋体" w:hAnsi="宋体" w:cs="宋体"/>
      <w:sz w:val="16"/>
      <w:szCs w:val="16"/>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Table Paragraph"/>
    <w:basedOn w:val="1"/>
    <w:qFormat/>
    <w:uiPriority w:val="0"/>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3316</Words>
  <Characters>3711</Characters>
  <Lines>0</Lines>
  <Paragraphs>0</Paragraphs>
  <TotalTime>13</TotalTime>
  <ScaleCrop>false</ScaleCrop>
  <LinksUpToDate>false</LinksUpToDate>
  <CharactersWithSpaces>3713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2023-06-09T05:52:00Z</dcterms:created>
  <dc:creator>cz0021</dc:creator>
  <cp:lastModifiedBy>1382270933</cp:lastModifiedBy>
  <dcterms:modified xsi:type="dcterms:W3CDTF">2023-06-25T07:07:35Z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714148F457EF4AF5A23ED4A16C81AE04_12</vt:lpwstr>
  </property>
</Properties>
</file>