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宋体-PUA" w:hAnsi="宋体-PUA" w:eastAsia="宋体-PUA" w:cs="宋体-PUA"/>
          <w:b/>
          <w:bCs/>
          <w:kern w:val="2"/>
          <w:sz w:val="44"/>
          <w:szCs w:val="44"/>
          <w:lang w:eastAsia="zh-CN"/>
        </w:rPr>
      </w:pPr>
      <w:r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eastAsia="zh-CN"/>
        </w:rPr>
        <w:t>合水县疾控中心关于2020年部门整体项目支出绩效自评报告</w:t>
      </w:r>
    </w:p>
    <w:p>
      <w:pPr>
        <w:pStyle w:val="2"/>
        <w:spacing w:line="560" w:lineRule="exact"/>
        <w:ind w:left="440"/>
        <w:rPr>
          <w:lang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为科学的管理和使用预算资金，我中心组织开展了2020年度部门整体项目预算支出情况绩效自评工作，现报告如下:</w:t>
      </w:r>
    </w:p>
    <w:p>
      <w:pPr>
        <w:widowControl w:val="0"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一、项目基本情况</w:t>
      </w:r>
    </w:p>
    <w:p>
      <w:pPr>
        <w:spacing w:line="560" w:lineRule="exact"/>
        <w:ind w:firstLine="643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</w:t>
      </w:r>
    </w:p>
    <w:p>
      <w:pPr>
        <w:pStyle w:val="31"/>
        <w:widowControl w:val="0"/>
        <w:spacing w:beforeAutospacing="0" w:after="0" w:afterAutospacing="0" w:line="560" w:lineRule="exact"/>
        <w:ind w:firstLine="63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年初县级预算336.29万元，其中工资福利252.93万元，公用经费14万元，对家庭和个人补助46.36万元，项目经费23万元。实际支出1065.5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万元，其中工资福利支出275.22万元，商品和服务支出228.88万元，对家庭和个人补助7.3万元，资本性支出554.1万元。</w:t>
      </w:r>
    </w:p>
    <w:p>
      <w:pPr>
        <w:pStyle w:val="31"/>
        <w:widowControl w:val="0"/>
        <w:spacing w:beforeAutospacing="0" w:after="0" w:afterAutospacing="0" w:line="560" w:lineRule="exact"/>
        <w:ind w:firstLine="63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各类项目年度计划由县级部门编制，主要内容包含实施项目、投资额度、建设内容、工期进度、完成时限要求等，经县级人民政府常务会议审定后，报市级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卫健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部门审批。</w:t>
      </w:r>
    </w:p>
    <w:p>
      <w:pPr>
        <w:pStyle w:val="31"/>
        <w:widowControl w:val="0"/>
        <w:spacing w:beforeAutospacing="0" w:after="0" w:afterAutospacing="0" w:line="560" w:lineRule="exact"/>
        <w:ind w:firstLine="63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全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widowControl w:val="0"/>
        <w:spacing w:line="560" w:lineRule="exact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、评价基本情况</w:t>
      </w:r>
    </w:p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widowControl w:val="0"/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spacing w:after="80" w:line="560" w:lineRule="exact"/>
        <w:jc w:val="both"/>
        <w:rPr>
          <w:rFonts w:ascii="仿宋" w:hAnsi="仿宋" w:eastAsia="仿宋"/>
          <w:sz w:val="32"/>
          <w:szCs w:val="32"/>
          <w:lang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评价对象主体为</w:t>
      </w:r>
      <w:r>
        <w:rPr>
          <w:rFonts w:hint="eastAsia" w:ascii="仿宋" w:hAnsi="仿宋" w:eastAsia="仿宋"/>
          <w:sz w:val="32"/>
          <w:szCs w:val="32"/>
          <w:lang w:eastAsia="zh-CN"/>
        </w:rPr>
        <w:t>2020年所有实施项目。</w:t>
      </w:r>
    </w:p>
    <w:bookmarkEnd w:id="2"/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>
      <w:pPr>
        <w:widowControl w:val="0"/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widowControl w:val="0"/>
        <w:spacing w:line="560" w:lineRule="exact"/>
        <w:ind w:firstLine="643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widowControl w:val="0"/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widowControl w:val="0"/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党组书记、</w:t>
      </w:r>
      <w:r>
        <w:rPr>
          <w:rFonts w:hint="eastAsia" w:ascii="仿宋" w:hAnsi="仿宋" w:eastAsia="仿宋"/>
          <w:sz w:val="32"/>
          <w:szCs w:val="32"/>
          <w:lang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>
      <w:pPr>
        <w:widowControl w:val="0"/>
        <w:spacing w:line="560" w:lineRule="exact"/>
        <w:ind w:firstLine="643" w:firstLineChars="200"/>
        <w:contextualSpacing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widowControl w:val="0"/>
        <w:spacing w:line="560" w:lineRule="exact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widowControl w:val="0"/>
        <w:spacing w:line="560" w:lineRule="exact"/>
        <w:ind w:firstLine="643" w:firstLineChars="200"/>
        <w:contextualSpacing/>
        <w:rPr>
          <w:rFonts w:ascii="仿宋" w:hAnsi="仿宋" w:eastAsia="仿宋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eastAsia="zh-CN"/>
        </w:rPr>
        <w:t>三、绩效评价工作开展情况</w:t>
      </w:r>
    </w:p>
    <w:p>
      <w:pPr>
        <w:pStyle w:val="2"/>
        <w:spacing w:line="560" w:lineRule="exact"/>
        <w:ind w:left="44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(一)资金投入情况分析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1、项目资金到位情况分析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涉及项目资金本年度均按时下达。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2、资金执行情况分析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执行资金共计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1065.5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万元，已全部支付到位。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3、项目资金管理情况分析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以上项目严格按照我中心财务管理制度和基本公卫项目、重大传染病防控实施方案，对涉及招标、采购的项目认真执行相关规定，按程序进行公开招投标，严格执行“专人负责、专人管理、专款专用”的制度。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（二）绩效目标完成情况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1、产出指标完成情况分析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(1)数量指标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科学决策、规范处置，夯实新冠肺炎疫情防控基础，构筑人群免疫屏障，加强物资储备，做好后勤保障。加强健康教育,提升群众防病意识，坚持健康教育为先，落实预防为主工作方针，提升广大群众健康素养为目标，加大宣传力度。</w:t>
      </w:r>
    </w:p>
    <w:p>
      <w:pPr>
        <w:spacing w:after="80" w:line="560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（2）质量指标</w:t>
      </w:r>
    </w:p>
    <w:p>
      <w:pPr>
        <w:spacing w:after="8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项目实施有利于提高疾病预防控制和应对突发公共卫生事件能力，保障公众健康和生命安全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(3)时效指标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以上项目均按时实施，资金支付率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bookmarkStart w:id="7" w:name="_GoBack"/>
      <w:bookmarkEnd w:id="7"/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(4)成本指标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以上项目均控制在预算范围之内，未超预算执行。</w:t>
      </w:r>
    </w:p>
    <w:p>
      <w:pPr>
        <w:pStyle w:val="2"/>
        <w:widowControl w:val="0"/>
        <w:spacing w:after="0" w:line="560" w:lineRule="exact"/>
        <w:ind w:left="0" w:leftChars="0"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四、项目绩效目标下一步改进措施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一是严格部门预算管理，加强项目过程环节管理，对项目支出开展进度跟踪;更科学合理的编制资金使用计划，进一步细化收支项目，按项目内容、计划时间、开展进度支出，提高资金的使用效益。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二是提高预算绩效指标设置的科学性、合理性。加强对预算编制的管理，严格执行预算绩效管理办法，科学合理地设置预算绩效指标，使绩效指标与工作实际更贴近、更切合。</w:t>
      </w:r>
    </w:p>
    <w:p>
      <w:pPr>
        <w:pStyle w:val="2"/>
        <w:widowControl w:val="0"/>
        <w:spacing w:after="0" w:line="560" w:lineRule="exact"/>
        <w:ind w:left="0" w:leftChars="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全面反映单位职能履行情况，提高预算绩效指标的可执行性</w:t>
      </w:r>
    </w:p>
    <w:p>
      <w:pPr>
        <w:pStyle w:val="2"/>
        <w:widowControl w:val="0"/>
        <w:spacing w:after="0"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三是加强相关专项资金的使用效率，按相关项目的要求及时实施并支付，提高资金使用的时效性</w:t>
      </w:r>
    </w:p>
    <w:p>
      <w:pPr>
        <w:pStyle w:val="2"/>
        <w:widowControl w:val="0"/>
        <w:spacing w:after="0" w:line="560" w:lineRule="exact"/>
        <w:ind w:left="0" w:leftChars="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四是积极推动绩效自评结果应用，将其作为预算编制和改进管理的重要依据，使有限的预算资金产生更大的效益。</w:t>
      </w:r>
    </w:p>
    <w:p>
      <w:pPr>
        <w:pStyle w:val="2"/>
        <w:widowControl w:val="0"/>
        <w:spacing w:after="0" w:line="560" w:lineRule="exact"/>
        <w:ind w:left="0" w:leftChars="0"/>
        <w:jc w:val="center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2"/>
        <w:widowControl w:val="0"/>
        <w:spacing w:after="0" w:line="560" w:lineRule="exact"/>
        <w:ind w:left="0" w:leftChars="0"/>
        <w:jc w:val="right"/>
        <w:rPr>
          <w:rFonts w:ascii="仿宋" w:hAnsi="仿宋" w:eastAsia="仿宋" w:cs="仿宋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JlYmYwNWIzZDQxYzMxMzlhYzgzNjY4YWQ5N2UxYTUifQ=="/>
  </w:docVars>
  <w:rsids>
    <w:rsidRoot w:val="00B47730"/>
    <w:rsid w:val="0000172D"/>
    <w:rsid w:val="00034616"/>
    <w:rsid w:val="0006063C"/>
    <w:rsid w:val="0015074B"/>
    <w:rsid w:val="00242F93"/>
    <w:rsid w:val="0029639D"/>
    <w:rsid w:val="00326F90"/>
    <w:rsid w:val="00407E2E"/>
    <w:rsid w:val="00A75F04"/>
    <w:rsid w:val="00AA1D8D"/>
    <w:rsid w:val="00B47730"/>
    <w:rsid w:val="00CB0664"/>
    <w:rsid w:val="00FC693F"/>
    <w:rsid w:val="082C700B"/>
    <w:rsid w:val="0AFA6D68"/>
    <w:rsid w:val="155D6835"/>
    <w:rsid w:val="1A6D38C8"/>
    <w:rsid w:val="20A501F8"/>
    <w:rsid w:val="2A321E24"/>
    <w:rsid w:val="344C063B"/>
    <w:rsid w:val="471C0637"/>
    <w:rsid w:val="5002294B"/>
    <w:rsid w:val="555B2034"/>
    <w:rsid w:val="671007B9"/>
    <w:rsid w:val="68A42443"/>
    <w:rsid w:val="69CF4947"/>
    <w:rsid w:val="69D41C6E"/>
    <w:rsid w:val="6C3B0BF8"/>
    <w:rsid w:val="7B1A5126"/>
    <w:rsid w:val="7CED2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5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9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10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1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2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4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macro"/>
    <w:link w:val="1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6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qFormat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qFormat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qFormat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qFormat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1"/>
    <w:basedOn w:val="34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2"/>
    <w:basedOn w:val="34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3"/>
    <w:basedOn w:val="34"/>
    <w:qFormat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5"/>
    <w:basedOn w:val="34"/>
    <w:qFormat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Shading Accent 6"/>
    <w:basedOn w:val="34"/>
    <w:qFormat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List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customStyle="1" w:styleId="137">
    <w:name w:val="页眉 Char"/>
    <w:basedOn w:val="134"/>
    <w:link w:val="26"/>
    <w:qFormat/>
    <w:uiPriority w:val="99"/>
  </w:style>
  <w:style w:type="character" w:customStyle="1" w:styleId="138">
    <w:name w:val="页脚 Char"/>
    <w:basedOn w:val="134"/>
    <w:link w:val="25"/>
    <w:qFormat/>
    <w:uiPriority w:val="99"/>
  </w:style>
  <w:style w:type="paragraph" w:styleId="1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标题 1 Char"/>
    <w:basedOn w:val="134"/>
    <w:link w:val="4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1">
    <w:name w:val="标题 2 Char"/>
    <w:basedOn w:val="13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2">
    <w:name w:val="标题 3 Char"/>
    <w:basedOn w:val="134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3">
    <w:name w:val="标题 Char"/>
    <w:basedOn w:val="134"/>
    <w:link w:val="3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4">
    <w:name w:val="副标题 Char"/>
    <w:basedOn w:val="134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正文文本 Char"/>
    <w:basedOn w:val="134"/>
    <w:link w:val="20"/>
    <w:qFormat/>
    <w:uiPriority w:val="99"/>
  </w:style>
  <w:style w:type="character" w:customStyle="1" w:styleId="147">
    <w:name w:val="正文文本 2 Char"/>
    <w:basedOn w:val="134"/>
    <w:link w:val="29"/>
    <w:qFormat/>
    <w:uiPriority w:val="99"/>
  </w:style>
  <w:style w:type="character" w:customStyle="1" w:styleId="148">
    <w:name w:val="正文文本 3 Char"/>
    <w:basedOn w:val="134"/>
    <w:link w:val="18"/>
    <w:qFormat/>
    <w:uiPriority w:val="99"/>
    <w:rPr>
      <w:sz w:val="16"/>
      <w:szCs w:val="16"/>
    </w:rPr>
  </w:style>
  <w:style w:type="character" w:customStyle="1" w:styleId="149">
    <w:name w:val="宏文本 Char"/>
    <w:basedOn w:val="134"/>
    <w:link w:val="3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</w:rPr>
  </w:style>
  <w:style w:type="character" w:customStyle="1" w:styleId="151">
    <w:name w:val="引用 Char"/>
    <w:basedOn w:val="134"/>
    <w:link w:val="150"/>
    <w:qFormat/>
    <w:uiPriority w:val="29"/>
    <w:rPr>
      <w:i/>
      <w:iCs/>
      <w:color w:val="000000" w:themeColor="text1"/>
    </w:rPr>
  </w:style>
  <w:style w:type="character" w:customStyle="1" w:styleId="152">
    <w:name w:val="标题 4 Char"/>
    <w:basedOn w:val="13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3">
    <w:name w:val="标题 5 Char"/>
    <w:basedOn w:val="134"/>
    <w:link w:val="8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54">
    <w:name w:val="标题 6 Char"/>
    <w:basedOn w:val="134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55">
    <w:name w:val="标题 7 Char"/>
    <w:basedOn w:val="13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6">
    <w:name w:val="标题 8 Char"/>
    <w:basedOn w:val="134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7">
    <w:name w:val="标题 9 Char"/>
    <w:basedOn w:val="134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9">
    <w:name w:val="明显引用 Char"/>
    <w:basedOn w:val="134"/>
    <w:link w:val="158"/>
    <w:qFormat/>
    <w:uiPriority w:val="30"/>
    <w:rPr>
      <w:b/>
      <w:bCs/>
      <w:i/>
      <w:iCs/>
      <w:color w:val="4F81BD" w:themeColor="accent1"/>
    </w:rPr>
  </w:style>
  <w:style w:type="character" w:customStyle="1" w:styleId="160">
    <w:name w:val="不明显强调1"/>
    <w:basedOn w:val="134"/>
    <w:qFormat/>
    <w:uiPriority w:val="19"/>
    <w:rPr>
      <w:i/>
      <w:iCs/>
      <w:color w:val="7E7E7E" w:themeColor="text1" w:themeTint="80"/>
    </w:rPr>
  </w:style>
  <w:style w:type="character" w:customStyle="1" w:styleId="161">
    <w:name w:val="明显强调1"/>
    <w:basedOn w:val="134"/>
    <w:qFormat/>
    <w:uiPriority w:val="21"/>
    <w:rPr>
      <w:b/>
      <w:bCs/>
      <w:i/>
      <w:iCs/>
      <w:color w:val="4F81BD" w:themeColor="accent1"/>
    </w:rPr>
  </w:style>
  <w:style w:type="character" w:customStyle="1" w:styleId="162">
    <w:name w:val="不明显参考1"/>
    <w:basedOn w:val="134"/>
    <w:qFormat/>
    <w:uiPriority w:val="31"/>
    <w:rPr>
      <w:smallCaps/>
      <w:color w:val="C0504D" w:themeColor="accent2"/>
      <w:u w:val="single"/>
    </w:rPr>
  </w:style>
  <w:style w:type="character" w:customStyle="1" w:styleId="163">
    <w:name w:val="明显参考1"/>
    <w:basedOn w:val="134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4">
    <w:name w:val="书籍标题1"/>
    <w:basedOn w:val="134"/>
    <w:qFormat/>
    <w:uiPriority w:val="33"/>
    <w:rPr>
      <w:b/>
      <w:bCs/>
      <w:smallCaps/>
      <w:spacing w:val="5"/>
    </w:rPr>
  </w:style>
  <w:style w:type="paragraph" w:customStyle="1" w:styleId="165">
    <w:name w:val="TOC 标题1"/>
    <w:basedOn w:val="4"/>
    <w:next w:val="1"/>
    <w:semiHidden/>
    <w:unhideWhenUsed/>
    <w:qFormat/>
    <w:uiPriority w:val="39"/>
    <w:pPr>
      <w:outlineLvl w:val="9"/>
    </w:pPr>
  </w:style>
  <w:style w:type="character" w:customStyle="1" w:styleId="166">
    <w:name w:val="15"/>
    <w:basedOn w:val="13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1981</Words>
  <Characters>2042</Characters>
  <Lines>14</Lines>
  <Paragraphs>4</Paragraphs>
  <TotalTime>1</TotalTime>
  <ScaleCrop>false</ScaleCrop>
  <LinksUpToDate>false</LinksUpToDate>
  <CharactersWithSpaces>2045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1382270933</cp:lastModifiedBy>
  <cp:lastPrinted>2023-06-23T03:05:00Z</cp:lastPrinted>
  <dcterms:modified xsi:type="dcterms:W3CDTF">2023-06-25T03:44:17Z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50D8068CECDF4D8ABAACFBBB442D8286</vt:lpwstr>
  </property>
</Properties>
</file>