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年支出绩效评价报告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合水县人民医院医疗服务与保障能力诊治能力提升建设项目</w:t>
      </w: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绩效评价报告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</w:p>
    <w:p>
      <w:pPr>
        <w:pStyle w:val="3"/>
        <w:spacing w:line="59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合水县人民医院医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医疗服务与保障能力提升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提升建设项目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合水县卫健局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按时足额拨付资金，确保合水县人民医院医疗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医疗服务与保障能力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提升建设项目开工建设。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194万元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其中：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医疗服务与保障能力提升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补助资金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万元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项目概况:对应急发热门诊建设安装及隔离病房进行改造施工。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工程内容：拆除、给排水、照明、通风空调、弱电、医用气体管道、污水处理等施工（工程总报价汇总表附后）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一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隔离病房改造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246490.88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1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拆除工程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4596.00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建筑与装饰工程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93098.74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安装一拆除工程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6432.00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给排水工程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27636.56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照明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114727.58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二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应急发热门诊建设安装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1693509.12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建筑与装饰工程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873104.43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7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给排水工程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73237.90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8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采暖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45494.13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9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通风与空调工程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1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246842.90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照明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228436.04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弱电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114370.83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12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医用气体管道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1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23917.74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13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污水处理设备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项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88105.15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14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总计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小写金额:1940000.00元</w:t>
      </w:r>
    </w:p>
    <w:p>
      <w:pPr>
        <w:spacing w:line="590" w:lineRule="exact"/>
        <w:ind w:firstLine="960" w:firstLineChars="3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  <w:t>大写金额:壹佰玖拾肆万元整</w:t>
      </w:r>
    </w:p>
    <w:p>
      <w:pPr>
        <w:spacing w:line="590" w:lineRule="exact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二、绩效评估的基本情况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你单位《关于申请购置发热门诊及隔离病房建设等设施</w:t>
      </w:r>
    </w:p>
    <w:p>
      <w:pPr>
        <w:spacing w:line="590" w:lineRule="exact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及安装的报告》收悉，经2020年9月25日县政府十八届第</w:t>
      </w:r>
    </w:p>
    <w:p>
      <w:pPr>
        <w:spacing w:line="590" w:lineRule="exact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36 次常务会议研究，同意你单位建设发热门诊、隔离病房等设施及安装。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三、评估内容</w:t>
      </w: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立项必要性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该项目建成后，医疗服务与保障能力提升项目是提升医疗卫生机构服务能力、满足人民群众就医需求的重要工作措施。要充分认识到实施该项目的重要现实意义，以项目建设为契机，努力提高整体医疗服务能力和医疗技术水平，为患者提供优质高效、公平可及的医疗服务。将更好地为广大人民群众提供方便、优良的诊疗服务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评估的相关建议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建议争取上级财政资金支持。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评估人员签名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赵琼、田天、景洁、</w:t>
      </w: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合水县人民医院抗疫特别国债资金</w:t>
      </w:r>
    </w:p>
    <w:p>
      <w:pPr>
        <w:widowControl/>
        <w:spacing w:line="70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绩效评价报告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</w:p>
    <w:p>
      <w:pPr>
        <w:pStyle w:val="3"/>
        <w:spacing w:line="59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spacing w:line="590" w:lineRule="exact"/>
        <w:ind w:left="638" w:leftChars="304" w:firstLine="0" w:firstLineChars="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合水县人民医院抗疫特别国债资金 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合水县卫健局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按时足额拨付资金，确保合水县人民医院医疗诊治能力提升建设项目开工建设。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1268.3694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万元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支付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概况：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其中支付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PCR实验室设备款159.5万元，付PCR实验室净化设备款78.9504万元，付住院楼手术室净化设备款570万元，付发热门诊DR设备款74.6万元，付负压救护车及车载设备款54.9190万元，诊治能力提升项目工程款330.4万元。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二、绩效评估的基本情况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根据关于卫健系统申请抗疫特别国债项目资金使用意见的报告经省、市批复同意实施合水县人民医院PCR实验室、诊疗能力提升及手术室净化建设项目。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三、评估内容</w:t>
      </w: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  <w:t>立项必要性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该项目建成后，将立即投入使用。使用后医院的整体功能布局、县级医疗卫生服务体系、医疗卫生条件将得到极大改善，可有效使用有限的卫生资源，提高效率，使医院的人力、物力、财力达到合理消耗，可获得最大的医疗、服务效益，创造最大的社会效益。同时，群众住院难、医疗业务用房紧张问题都会迎刃而解，将更好地为广大人民群众提供方便、优良的诊疗服务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评估的相关建议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建议争取上级财政资金支持。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评估人员签名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刘建平、赵琼、黄海宁、景洁、田天、段宏昊</w:t>
      </w:r>
    </w:p>
    <w:p/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2018年社会事业类等项目省级基建投资预算支出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2018年社会事业类等项目省级基建投资预算实际支出资金数为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2018年社会事业类等项目省级基建投资预算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11.78万元。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2018年社会事业类等项目省级基建投资预算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11.78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</w:t>
      </w:r>
      <w:r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人民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工会会费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根据2020年5月22日合水县十八届人民代表大会第四次会议通过的《合水县2020年政府财政收支预算》，批复我单位县级预算工会会费</w:t>
      </w: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11.8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2020年合水县人民医院工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会会费支出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会会费支出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年初预算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会会费支出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项实际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金额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11.8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元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抗疫特别国债</w:t>
      </w:r>
      <w:r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资金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抗疫特别国债资金实际支出资金数为1268.3694万元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抗疫特别国债资金1268.3694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1268.3694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抗疫特别国债资金1268.3694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1268.3694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克山病防治经费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</w:t>
      </w: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克山病防治经费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实际支出资金数为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克山病防治经费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万元，实际支付5万元，支付率100%。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克山病防治经费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实际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金额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元</w:t>
      </w:r>
      <w:r>
        <w:rPr>
          <w:rFonts w:hint="eastAsia" w:ascii="Times New Roman" w:hAnsi="Times New Roman" w:eastAsia="FangSong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新建发热门诊补助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新建发热门诊补助实际支出资金数为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新建发热门诊补助资金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新建发热门诊补助资金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140万元，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hint="default" w:ascii="Times New Roman" w:hAnsi="Times New Roman" w:cs="Times New Roman"/>
          <w:highlight w:val="green"/>
        </w:rPr>
      </w:pPr>
    </w:p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药品零差率补助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年合水县人民医院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实际支出药品零差率补助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金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金78.91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金78.91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78.91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</w:pPr>
    </w:p>
    <w:p>
      <w:pPr>
        <w:spacing w:line="680" w:lineRule="exact"/>
        <w:ind w:right="4"/>
        <w:jc w:val="both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bookmarkStart w:id="0" w:name="_GoBack"/>
      <w:bookmarkEnd w:id="0"/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医</w:t>
      </w:r>
      <w:r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疗服务能力建设补助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</w:t>
      </w: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医疗服务能力建设补助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支出资金为115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医疗服务能力建设补助资金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实际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拨付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金额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元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支付依据合规合法。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hint="default"/>
          <w:lang w:val="en-US" w:eastAsia="zh-CN"/>
        </w:rPr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医师对口支援县级补助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医师对口支援县级补助资金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医师对口支援县级补助资金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医师对口支援县级补助资金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16.8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hint="default" w:ascii="Times New Roman" w:hAnsi="Times New Roman" w:cs="Times New Roman"/>
          <w:highlight w:val="green"/>
        </w:rPr>
      </w:pPr>
    </w:p>
    <w:p>
      <w:pPr>
        <w:bidi w:val="0"/>
        <w:ind w:firstLine="448" w:firstLineChars="0"/>
        <w:jc w:val="left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疫情防控补助资金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疫情防控补助资金实际支出资金数为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疫情防控补助资金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疫情防控补助资金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诊治能力提升项目前期费用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pStyle w:val="3"/>
        <w:numPr>
          <w:ilvl w:val="0"/>
          <w:numId w:val="0"/>
        </w:numPr>
        <w:spacing w:line="240" w:lineRule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诊治能力提升项目前期费用实际支出资金数为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诊治能力提升项目前期费用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诊治能力提升项目前期费用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6.95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hint="default" w:ascii="Times New Roman" w:hAnsi="Times New Roman" w:cs="Times New Roman"/>
          <w:highlight w:val="green"/>
        </w:rPr>
      </w:pPr>
    </w:p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合水县人民医院</w:t>
      </w: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中医师承教育补助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/>
          <w:bCs w:val="0"/>
          <w:color w:val="000000"/>
          <w:sz w:val="52"/>
          <w:szCs w:val="52"/>
          <w:lang w:val="en-US" w:eastAsia="zh-CN"/>
        </w:rPr>
        <w:t>项目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绩效评价报告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  <w:highlight w:val="none"/>
        </w:rPr>
      </w:pPr>
      <w:r>
        <w:rPr>
          <w:rFonts w:ascii="Times New Roman" w:hAnsi="Times New Roman" w:cs="Times New Roman"/>
          <w:color w:val="000000"/>
          <w:sz w:val="56"/>
          <w:szCs w:val="56"/>
          <w:highlight w:val="none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合水县卫生健康局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val="en-US" w:eastAsia="zh-CN"/>
        </w:rPr>
        <w:t xml:space="preserve">   合水县人民医院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 xml:space="preserve">    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</w:t>
      </w: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根据2020年5月22日合水县十八届人民代表大会第四次会议通过的《合水县2020年政府财政收支预算》。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二、项目绩效目标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合水县人民医院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中医师承教育补助资金实际支出资金数为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.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三、评价基本情况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产出指标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分，效益指标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分，服务群众满意度指标1分）。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四、评价结论及分析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中医师承教育补助资金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万元，支付率100%。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项目完成绩效自评，满分为10分，自评实际得分为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eastAsia="zh-CN"/>
        </w:rPr>
        <w:t>评价结果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</w:rPr>
        <w:t>企业，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未发现虚报项目套取财政资金和不符合申报条件情况，未发现截留、挤占、挪用专项资金的情况。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五、绩效评价指标分析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项目严格执行财务管理制度、财务处理及时、会计核算规范。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2312" w:cs="Times New Roman"/>
          <w:b/>
          <w:bCs/>
          <w:color w:val="000000"/>
          <w:sz w:val="32"/>
          <w:szCs w:val="32"/>
          <w:lang w:val="en-US" w:eastAsia="zh-CN"/>
        </w:rPr>
        <w:t>项目目标完成情况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中医师承教育补助资金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0.3333</w:t>
      </w:r>
      <w:r>
        <w:rPr>
          <w:rFonts w:hint="default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六、项目效益情况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县级专项资金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eastAsia="zh-CN"/>
        </w:rPr>
        <w:t>有效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提升我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  <w:lang w:val="en-US" w:eastAsia="zh-CN"/>
        </w:rPr>
        <w:t>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hint="default" w:ascii="Times New Roman" w:hAnsi="Times New Roman" w:cs="Times New Roman"/>
          <w:highlight w:val="green"/>
        </w:rPr>
      </w:pPr>
    </w:p>
    <w:p>
      <w:pPr>
        <w:pStyle w:val="2"/>
      </w:pPr>
    </w:p>
    <w:p>
      <w:pPr>
        <w:pStyle w:val="3"/>
      </w:pPr>
    </w:p>
    <w:p>
      <w:pPr>
        <w:pStyle w:val="4"/>
      </w:pPr>
    </w:p>
    <w:p/>
    <w:p>
      <w:pPr>
        <w:pStyle w:val="2"/>
      </w:pP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70BF7"/>
    <w:multiLevelType w:val="singleLevel"/>
    <w:tmpl w:val="7DB70BF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mM3YTQ0NzJiY2ExZTU4ZjJmNmJmZDVlOThjMTYifQ=="/>
  </w:docVars>
  <w:rsids>
    <w:rsidRoot w:val="00000000"/>
    <w:rsid w:val="057F320C"/>
    <w:rsid w:val="060657F3"/>
    <w:rsid w:val="12041E4C"/>
    <w:rsid w:val="1B116C19"/>
    <w:rsid w:val="26E03714"/>
    <w:rsid w:val="2A71094F"/>
    <w:rsid w:val="2DA549D2"/>
    <w:rsid w:val="3EA4217A"/>
    <w:rsid w:val="47157A42"/>
    <w:rsid w:val="49C57326"/>
    <w:rsid w:val="60EE4DB5"/>
    <w:rsid w:val="61AD63B9"/>
    <w:rsid w:val="61E32A1C"/>
    <w:rsid w:val="7FE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00" w:lineRule="exact"/>
      <w:ind w:firstLine="480"/>
    </w:pPr>
    <w:rPr>
      <w:sz w:val="24"/>
      <w:szCs w:val="24"/>
    </w:rPr>
  </w:style>
  <w:style w:type="paragraph" w:styleId="3">
    <w:name w:val="Body Text"/>
    <w:basedOn w:val="1"/>
    <w:next w:val="4"/>
    <w:qFormat/>
    <w:uiPriority w:val="99"/>
    <w:rPr>
      <w:rFonts w:ascii="宋体" w:hAnsi="宋体" w:cs="宋体"/>
      <w:sz w:val="16"/>
      <w:szCs w:val="16"/>
    </w:rPr>
  </w:style>
  <w:style w:type="paragraph" w:styleId="4">
    <w:name w:val="toc 2"/>
    <w:basedOn w:val="1"/>
    <w:next w:val="1"/>
    <w:unhideWhenUsed/>
    <w:qFormat/>
    <w:uiPriority w:val="39"/>
    <w:pPr>
      <w:tabs>
        <w:tab w:val="right" w:leader="dot" w:pos="10117"/>
      </w:tabs>
      <w:ind w:left="533" w:left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9049</Words>
  <Characters>9688</Characters>
  <Lines>0</Lines>
  <Paragraphs>0</Paragraphs>
  <TotalTime>2</TotalTime>
  <ScaleCrop>false</ScaleCrop>
  <LinksUpToDate>false</LinksUpToDate>
  <CharactersWithSpaces>12824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2023-06-21T11:22:00Z</dcterms:created>
  <dc:creator>Administrator</dc:creator>
  <cp:lastModifiedBy>Administrator</cp:lastModifiedBy>
  <dcterms:modified xsi:type="dcterms:W3CDTF">2023-06-24T05:43:08Z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A578CB26B8724415B0B1D872E4BC48AE_12</vt:lpwstr>
  </property>
</Properties>
</file>