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afterLines="0" w:line="1600" w:lineRule="exact"/>
        <w:jc w:val="distribute"/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kern w:val="20"/>
          <w:sz w:val="144"/>
        </w:rPr>
      </w:pPr>
    </w:p>
    <w:p>
      <w:pPr>
        <w:snapToGrid w:val="0"/>
        <w:spacing w:beforeLines="0" w:afterLines="0" w:line="1600" w:lineRule="exact"/>
        <w:jc w:val="distribute"/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kern w:val="20"/>
          <w:sz w:val="144"/>
        </w:rPr>
      </w:pPr>
    </w:p>
    <w:p>
      <w:pPr>
        <w:snapToGrid w:val="0"/>
        <w:spacing w:beforeLines="0" w:afterLines="0" w:line="1600" w:lineRule="exact"/>
        <w:jc w:val="distribute"/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kern w:val="20"/>
          <w:sz w:val="144"/>
        </w:rPr>
      </w:pPr>
    </w:p>
    <w:p>
      <w:pPr>
        <w:snapToGrid w:val="0"/>
        <w:spacing w:beforeLines="0" w:afterLines="0" w:line="1600" w:lineRule="exact"/>
        <w:jc w:val="distribute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kern w:val="20"/>
          <w:sz w:val="144"/>
        </w:rPr>
        <w:t>合水县太莪乡人民政府文件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color w:val="FFFFFF" w:themeColor="background1"/>
          <w:sz w:val="34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合太政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呈</w:t>
      </w:r>
      <w:r>
        <w:rPr>
          <w:rFonts w:hint="eastAsia" w:ascii="Times New Roman" w:hAnsi="Times New Roman" w:eastAsia="仿宋_GB2312"/>
          <w:sz w:val="36"/>
          <w:szCs w:val="36"/>
        </w:rPr>
        <w:t>〔</w:t>
      </w:r>
      <w:r>
        <w:rPr>
          <w:rFonts w:ascii="Times New Roman" w:hAnsi="Times New Roman" w:eastAsia="仿宋_GB2312"/>
          <w:sz w:val="36"/>
          <w:szCs w:val="36"/>
        </w:rPr>
        <w:t>20</w:t>
      </w:r>
      <w:r>
        <w:rPr>
          <w:rFonts w:hint="eastAsia" w:ascii="Times New Roman" w:hAnsi="Times New Roman" w:eastAsia="仿宋_GB2312"/>
          <w:sz w:val="36"/>
          <w:szCs w:val="36"/>
        </w:rPr>
        <w:t>2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仿宋_GB2312"/>
          <w:sz w:val="36"/>
          <w:szCs w:val="36"/>
        </w:rPr>
        <w:t>〕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6"/>
          <w:szCs w:val="36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color w:val="FF0000"/>
          <w:sz w:val="21"/>
          <w:u w:val="thick"/>
        </w:rPr>
      </w:pPr>
      <w:r>
        <w:rPr>
          <w:rFonts w:hint="eastAsia"/>
          <w:color w:val="FF0000"/>
          <w:sz w:val="21"/>
          <w:u w:val="thick"/>
        </w:rPr>
        <w:t xml:space="preserve">                                               </w:t>
      </w:r>
      <w:r>
        <w:rPr>
          <w:rFonts w:hint="eastAsia"/>
          <w:color w:val="FF0000"/>
          <w:sz w:val="21"/>
          <w:u w:val="thick"/>
          <w:lang w:val="en-US" w:eastAsia="zh-CN"/>
        </w:rPr>
        <w:t xml:space="preserve">         </w:t>
      </w:r>
      <w:r>
        <w:rPr>
          <w:rFonts w:hint="eastAsia"/>
          <w:color w:val="FF0000"/>
          <w:sz w:val="21"/>
          <w:u w:val="thick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color w:val="FF0000"/>
          <w:sz w:val="21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合水县太莪乡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美术馆、公共图书馆、文化馆（站）免费开放补助资金项目支出绩效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县财政局：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根据《合水县预算绩效管理办法》合财发〔2021〕30号文件要求，我单位及时成立自评工作小组，对202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太莪乡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项目支出绩效开展自评自查工作，具体情况如下：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一、绩效目标分解下达情况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</w:rPr>
        <w:t>年下达我单位支出预算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sz w:val="34"/>
          <w:szCs w:val="34"/>
        </w:rPr>
        <w:t>万元。用于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太莪乡文化事业发展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项目实施后，将保障全乡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文化繁荣</w:t>
      </w:r>
      <w:r>
        <w:rPr>
          <w:rFonts w:hint="eastAsia" w:ascii="仿宋_GB2312" w:hAnsi="仿宋_GB2312" w:eastAsia="仿宋_GB2312" w:cs="仿宋_GB2312"/>
          <w:sz w:val="34"/>
          <w:szCs w:val="34"/>
        </w:rPr>
        <w:t>，履行部门职能，贯彻执行国家重大方针政策，促进区域经济社会稳定发展，提高群众和职工满意度。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二、绩效情况分析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(一)资金投入情况分析。投入资金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sz w:val="34"/>
          <w:szCs w:val="34"/>
        </w:rPr>
        <w:t>万元，用于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三馆一站建设</w:t>
      </w:r>
      <w:r>
        <w:rPr>
          <w:rFonts w:hint="eastAsia" w:ascii="仿宋_GB2312" w:hAnsi="仿宋_GB2312" w:eastAsia="仿宋_GB2312" w:cs="仿宋_GB2312"/>
          <w:sz w:val="34"/>
          <w:szCs w:val="34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sz w:val="34"/>
          <w:szCs w:val="34"/>
        </w:rPr>
        <w:t>万元，执行率100%，投入运行，效益良好。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(二)资金管理情况分析。在资金管理上，严格按照财务管理相关规定及制度要求，做到账目记录清晰完整、审批手续完善齐全、支出凭证完整合法，确保经费专款专用，没有发生截留、压减、挪用专项资金的现象。资金下达及时、拨付及时、使用准确、执行到位、预算绩效管理到位，达到了预期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（三）总体绩效目标完成情况分析。对照绩效目标，完成资金投资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sz w:val="34"/>
          <w:szCs w:val="34"/>
        </w:rPr>
        <w:t>万元，执行项目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</w:rPr>
        <w:t>个，有效保障全乡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文化工作</w:t>
      </w:r>
      <w:r>
        <w:rPr>
          <w:rFonts w:hint="eastAsia" w:ascii="仿宋_GB2312" w:hAnsi="仿宋_GB2312" w:eastAsia="仿宋_GB2312" w:cs="仿宋_GB2312"/>
          <w:sz w:val="34"/>
          <w:szCs w:val="34"/>
        </w:rPr>
        <w:t>，完成全面目标任务，促进区域经济社会稳定发展，群众和职工的幸福感和满意度进一步增强。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（四）绩效指标完成情况分析。已全部完成项目建设，数量指标、质量指标、效益指标、满意度指标已全部达标，设定的绩效目标已全部执行到位。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1、产出指标完成情况分析。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（1）项目完成数量：执行资金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sz w:val="34"/>
          <w:szCs w:val="34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（2）项目完成质量：资金保障率100%。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（3）项目成本节约情况：牢固树立过紧日子的思想，大力压减一般支出，降低运行成本。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2、效益指标完成情况分析。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（1）项目实施的社会效益分析。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各职能部门履行职能作用，公共服务水平提升，全乡经济社会稳定发展。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（2）项目实施的可持续影响分析。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单位管理水平得到进一步提升，工作人员积极性不断提高，公共服务能力增强。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3、满意度指标完成情况分析。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（1）工作人员满意度达98%以上。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（2）服务对象满意度达到98%以上。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我乡严格按照绩效目标落实各项工作措施，全面完成了绩效目标，今后工作中，将按照绩效管理办法要求，做好项目绩效评价工作，提高资金执行率。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四、绩效自评结果拟应用和公开情况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严格落实信息公开制度，将自评结果予以公开。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五、其他需要说明的问题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无其他需要说明的情况。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60" w:firstLineChars="14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太莪乡人民政府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60" w:firstLineChars="14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2024年3月15日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ZGQyNmI3OTg5NWVmYjcyZjAwYTgzYjBjMDQyYzAifQ=="/>
  </w:docVars>
  <w:rsids>
    <w:rsidRoot w:val="00000000"/>
    <w:rsid w:val="04F25C61"/>
    <w:rsid w:val="057743B8"/>
    <w:rsid w:val="11E903EC"/>
    <w:rsid w:val="12A52565"/>
    <w:rsid w:val="148E0D34"/>
    <w:rsid w:val="184743FC"/>
    <w:rsid w:val="30854C1B"/>
    <w:rsid w:val="38FB6EE9"/>
    <w:rsid w:val="3A231E3E"/>
    <w:rsid w:val="3F3251F0"/>
    <w:rsid w:val="43221555"/>
    <w:rsid w:val="5271538E"/>
    <w:rsid w:val="53A51E9E"/>
    <w:rsid w:val="5BAF40A3"/>
    <w:rsid w:val="651346D9"/>
    <w:rsid w:val="6C7D011F"/>
    <w:rsid w:val="7218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925</Words>
  <Characters>958</Characters>
  <Lines>0</Lines>
  <Paragraphs>0</Paragraphs>
  <TotalTime>0</TotalTime>
  <ScaleCrop>false</ScaleCrop>
  <LinksUpToDate>false</LinksUpToDate>
  <CharactersWithSpaces>959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2023-06-12T04:10:00Z</dcterms:created>
  <dc:creator>Administrator</dc:creator>
  <cp:lastModifiedBy>lihuahua</cp:lastModifiedBy>
  <cp:lastPrinted>2023-06-24T05:08:00Z</cp:lastPrinted>
  <dcterms:modified xsi:type="dcterms:W3CDTF">2024-05-14T08:59:33Z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93DD59C14E424683A4569764B2CADDC0_12</vt:lpwstr>
  </property>
</Properties>
</file>