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附1-1：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5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太莪乡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2022年公用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9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合水县太莪乡人民政府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太莪乡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9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40" w:lineRule="auto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中期目标（20××年—20××+n年）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29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 w:right="3856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2： </w:t>
            </w: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3：</w:t>
            </w:r>
          </w:p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保障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val="en-US" w:eastAsia="zh-CN"/>
              </w:rPr>
              <w:t>机关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正常运行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1" w:hRule="atLeast"/>
          <w:jc w:val="center"/>
        </w:trPr>
        <w:tc>
          <w:tcPr>
            <w:tcW w:w="4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2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2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下达资金数量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50.2万元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2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下达资金数量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50.2万元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保障机关运转质量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保障机关运转质量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73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6"/>
                <w:szCs w:val="16"/>
              </w:rPr>
              <w:t>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及时拨付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6"/>
                <w:szCs w:val="16"/>
              </w:rPr>
              <w:t>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及时拨付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2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机关运行效率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机关运行效率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16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29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2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4" w:line="160" w:lineRule="exact"/>
              <w:ind w:left="10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8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FjNGQwZTllYjA5NjdlOTUzZTk1MzEwYzg1ZDcifQ=="/>
  </w:docVars>
  <w:rsids>
    <w:rsidRoot w:val="00ED1C50"/>
    <w:rsid w:val="009C31FC"/>
    <w:rsid w:val="00C13942"/>
    <w:rsid w:val="00C54ECF"/>
    <w:rsid w:val="00ED1C50"/>
    <w:rsid w:val="02192FF9"/>
    <w:rsid w:val="053274B1"/>
    <w:rsid w:val="27B51DB4"/>
    <w:rsid w:val="2937612A"/>
    <w:rsid w:val="36DD26E4"/>
    <w:rsid w:val="377D0B0B"/>
    <w:rsid w:val="53A1594D"/>
    <w:rsid w:val="5837624F"/>
    <w:rsid w:val="59AE3A1A"/>
    <w:rsid w:val="6C96125E"/>
    <w:rsid w:val="768F6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617</Characters>
  <Lines>6</Lines>
  <Paragraphs>1</Paragraphs>
  <TotalTime>0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2023-05-29T01:16:00Z</dcterms:created>
  <dc:creator>Administrator</dc:creator>
  <cp:lastModifiedBy>xue4</cp:lastModifiedBy>
  <dcterms:modified xsi:type="dcterms:W3CDTF">2023-06-09T00:54:27Z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CF5221BE0817489A9F28479118C4023A_13</vt:lpwstr>
  </property>
</Properties>
</file>