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8520D">
      <w:pPr>
        <w:spacing w:before="85" w:line="492" w:lineRule="exact"/>
        <w:jc w:val="center"/>
        <w:outlineLvl w:val="0"/>
        <w:rPr>
          <w:rFonts w:hint="eastAsia" w:asciiTheme="minorEastAsia" w:hAnsiTheme="minorEastAsia" w:eastAsiaTheme="minorEastAsia" w:cstheme="minorEastAsia"/>
          <w:b/>
          <w:bCs/>
          <w:spacing w:val="0"/>
          <w:position w:val="2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position w:val="2"/>
          <w:sz w:val="36"/>
          <w:szCs w:val="36"/>
          <w:lang w:eastAsia="zh-CN"/>
        </w:rPr>
        <w:t>合水县司法局</w:t>
      </w:r>
      <w:r>
        <w:rPr>
          <w:rFonts w:hint="eastAsia" w:asciiTheme="minorEastAsia" w:hAnsiTheme="minorEastAsia" w:eastAsiaTheme="minorEastAsia" w:cstheme="minorEastAsia"/>
          <w:b/>
          <w:bCs/>
          <w:spacing w:val="0"/>
          <w:position w:val="2"/>
          <w:sz w:val="36"/>
          <w:szCs w:val="36"/>
        </w:rPr>
        <w:t>部门整体支出</w:t>
      </w:r>
    </w:p>
    <w:p w14:paraId="688B9A51">
      <w:pPr>
        <w:spacing w:before="85" w:line="492" w:lineRule="exact"/>
        <w:jc w:val="center"/>
        <w:outlineLvl w:val="0"/>
        <w:rPr>
          <w:rFonts w:hint="eastAsia" w:asciiTheme="minorEastAsia" w:hAnsiTheme="minorEastAsia" w:eastAsiaTheme="minorEastAsia" w:cstheme="minorEastAsia"/>
          <w:spacing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position w:val="2"/>
          <w:sz w:val="36"/>
          <w:szCs w:val="36"/>
        </w:rPr>
        <w:t>绩效评价报告</w:t>
      </w:r>
    </w:p>
    <w:p w14:paraId="2877EE77">
      <w:pPr>
        <w:spacing w:line="55" w:lineRule="exact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1807"/>
        <w:gridCol w:w="1983"/>
        <w:gridCol w:w="1786"/>
        <w:gridCol w:w="114"/>
        <w:gridCol w:w="2137"/>
      </w:tblGrid>
      <w:tr w14:paraId="23D57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52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6E4CB9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一、项目基本情况</w:t>
            </w:r>
          </w:p>
        </w:tc>
      </w:tr>
      <w:tr w14:paraId="5CD06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02" w:type="dxa"/>
            <w:vMerge w:val="restart"/>
            <w:tcBorders>
              <w:left w:val="nil"/>
              <w:bottom w:val="nil"/>
            </w:tcBorders>
            <w:textDirection w:val="tbRlV"/>
            <w:vAlign w:val="top"/>
          </w:tcPr>
          <w:p w14:paraId="75D206E8">
            <w:pPr>
              <w:pStyle w:val="11"/>
              <w:spacing w:before="229" w:line="209" w:lineRule="auto"/>
              <w:ind w:left="552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基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况</w:t>
            </w:r>
          </w:p>
        </w:tc>
        <w:tc>
          <w:tcPr>
            <w:tcW w:w="1807" w:type="dxa"/>
            <w:vAlign w:val="top"/>
          </w:tcPr>
          <w:p w14:paraId="72555EE4">
            <w:pPr>
              <w:pStyle w:val="11"/>
              <w:spacing w:before="201" w:line="221" w:lineRule="auto"/>
              <w:ind w:left="431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6020" w:type="dxa"/>
            <w:gridSpan w:val="4"/>
            <w:tcBorders>
              <w:right w:val="nil"/>
            </w:tcBorders>
            <w:vAlign w:val="top"/>
          </w:tcPr>
          <w:p w14:paraId="74F7AC73">
            <w:pPr>
              <w:pStyle w:val="11"/>
              <w:spacing w:before="201" w:line="219" w:lineRule="auto"/>
              <w:ind w:left="85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合水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司法局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部门整体支出绩效评价</w:t>
            </w:r>
          </w:p>
        </w:tc>
      </w:tr>
      <w:tr w14:paraId="649E7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 w14:paraId="6F7B67CA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 w14:paraId="2EA19E04">
            <w:pPr>
              <w:pStyle w:val="11"/>
              <w:spacing w:before="198" w:line="219" w:lineRule="auto"/>
              <w:ind w:left="42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评价年度</w:t>
            </w:r>
          </w:p>
        </w:tc>
        <w:tc>
          <w:tcPr>
            <w:tcW w:w="1983" w:type="dxa"/>
            <w:vAlign w:val="top"/>
          </w:tcPr>
          <w:p w14:paraId="0329762F">
            <w:pPr>
              <w:pStyle w:val="11"/>
              <w:spacing w:before="199" w:line="220" w:lineRule="auto"/>
              <w:ind w:left="475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年度</w:t>
            </w:r>
          </w:p>
        </w:tc>
        <w:tc>
          <w:tcPr>
            <w:tcW w:w="1786" w:type="dxa"/>
            <w:vAlign w:val="top"/>
          </w:tcPr>
          <w:p w14:paraId="4C578508">
            <w:pPr>
              <w:pStyle w:val="11"/>
              <w:spacing w:before="198" w:line="219" w:lineRule="auto"/>
              <w:ind w:left="401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评价类型</w:t>
            </w:r>
          </w:p>
        </w:tc>
        <w:tc>
          <w:tcPr>
            <w:tcW w:w="2251" w:type="dxa"/>
            <w:gridSpan w:val="2"/>
            <w:tcBorders>
              <w:right w:val="nil"/>
            </w:tcBorders>
            <w:vAlign w:val="top"/>
          </w:tcPr>
          <w:p w14:paraId="224F3882">
            <w:pPr>
              <w:pStyle w:val="11"/>
              <w:spacing w:before="198" w:line="219" w:lineRule="auto"/>
              <w:ind w:left="645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评价</w:t>
            </w:r>
          </w:p>
        </w:tc>
      </w:tr>
      <w:tr w14:paraId="3C413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textDirection w:val="tbRlV"/>
            <w:vAlign w:val="top"/>
          </w:tcPr>
          <w:p w14:paraId="39E1F17B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 w14:paraId="64C60D4E">
            <w:pPr>
              <w:pStyle w:val="11"/>
              <w:spacing w:before="285" w:line="219" w:lineRule="auto"/>
              <w:ind w:left="18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委托评价单位</w:t>
            </w:r>
          </w:p>
        </w:tc>
        <w:tc>
          <w:tcPr>
            <w:tcW w:w="1983" w:type="dxa"/>
            <w:vAlign w:val="top"/>
          </w:tcPr>
          <w:p w14:paraId="5290E408">
            <w:pPr>
              <w:pStyle w:val="11"/>
              <w:spacing w:before="286" w:line="219" w:lineRule="auto"/>
              <w:ind w:left="27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合水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县财政局</w:t>
            </w:r>
          </w:p>
        </w:tc>
        <w:tc>
          <w:tcPr>
            <w:tcW w:w="1786" w:type="dxa"/>
            <w:vAlign w:val="top"/>
          </w:tcPr>
          <w:p w14:paraId="6F2F0719">
            <w:pPr>
              <w:pStyle w:val="11"/>
              <w:spacing w:before="285" w:line="219" w:lineRule="auto"/>
              <w:ind w:left="161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评价机构名称</w:t>
            </w:r>
          </w:p>
        </w:tc>
        <w:tc>
          <w:tcPr>
            <w:tcW w:w="2251" w:type="dxa"/>
            <w:gridSpan w:val="2"/>
            <w:tcBorders>
              <w:right w:val="nil"/>
            </w:tcBorders>
            <w:vAlign w:val="top"/>
          </w:tcPr>
          <w:p w14:paraId="686254E5">
            <w:pPr>
              <w:pStyle w:val="11"/>
              <w:spacing w:before="96" w:line="229" w:lineRule="auto"/>
              <w:ind w:right="292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6499B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2" w:type="dxa"/>
            <w:vMerge w:val="continue"/>
            <w:tcBorders>
              <w:top w:val="nil"/>
              <w:left w:val="nil"/>
            </w:tcBorders>
            <w:textDirection w:val="tbRlV"/>
            <w:vAlign w:val="top"/>
          </w:tcPr>
          <w:p w14:paraId="287D7E1E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1807" w:type="dxa"/>
            <w:vAlign w:val="top"/>
          </w:tcPr>
          <w:p w14:paraId="12295708">
            <w:pPr>
              <w:pStyle w:val="11"/>
              <w:spacing w:before="197" w:line="219" w:lineRule="auto"/>
              <w:ind w:left="18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评价对象名称</w:t>
            </w:r>
          </w:p>
        </w:tc>
        <w:tc>
          <w:tcPr>
            <w:tcW w:w="6020" w:type="dxa"/>
            <w:gridSpan w:val="4"/>
            <w:tcBorders>
              <w:right w:val="nil"/>
            </w:tcBorders>
            <w:vAlign w:val="top"/>
          </w:tcPr>
          <w:p w14:paraId="01CA1CD3">
            <w:pPr>
              <w:pStyle w:val="11"/>
              <w:spacing w:before="198" w:line="219" w:lineRule="auto"/>
              <w:ind w:left="205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合水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司法局</w:t>
            </w:r>
          </w:p>
        </w:tc>
      </w:tr>
      <w:tr w14:paraId="4DBF5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702" w:type="dxa"/>
            <w:tcBorders>
              <w:left w:val="nil"/>
            </w:tcBorders>
            <w:textDirection w:val="tbRlV"/>
            <w:vAlign w:val="top"/>
          </w:tcPr>
          <w:p w14:paraId="3218D0BA">
            <w:pPr>
              <w:pStyle w:val="11"/>
              <w:spacing w:before="229" w:line="202" w:lineRule="auto"/>
              <w:ind w:left="204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实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施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position w:val="1"/>
                <w:sz w:val="24"/>
                <w:szCs w:val="24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的</w:t>
            </w:r>
          </w:p>
        </w:tc>
        <w:tc>
          <w:tcPr>
            <w:tcW w:w="7827" w:type="dxa"/>
            <w:gridSpan w:val="5"/>
            <w:tcBorders>
              <w:right w:val="nil"/>
            </w:tcBorders>
            <w:vAlign w:val="top"/>
          </w:tcPr>
          <w:p w14:paraId="087C2AEE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确保履职成效：评估司法局在维护法治秩序、提供法律服务、开展法治宣传教育等核心职能方面的履行效果，确保其各项工作符合法律法规要求和社会公众期望，保障司法行政工作的公正、高效开展。</w:t>
            </w:r>
          </w:p>
          <w:p w14:paraId="51E6A6E1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提高资金效益：通过评价部门整体绩效，了解财政资金在司法局各项工作中的使用情况，包括资金的分配、使用效率和效果等，确保资金合理配置，提高财政资金的使用效益，避免浪费和滥用。</w:t>
            </w:r>
          </w:p>
          <w:p w14:paraId="7A24BA01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促进管理优化：发现司法局在内部管理、工作流程、资源配置等方面存在的问题和不足，为改进管理提供依据，推动其不断优化管理模式和工作机制，提高部门的管理水平和运行效率。</w:t>
            </w:r>
          </w:p>
          <w:p w14:paraId="50FDDBC6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提供决策支持：为政府部门制定司法行政相关政策、规划以及预算安排等提供科学依据，使决策更加精准、合理，符合司法行政工作的实际需求和发展方向，促进司法行政事业的可持续发展。</w:t>
            </w:r>
            <w:bookmarkStart w:id="0" w:name="_GoBack"/>
            <w:bookmarkEnd w:id="0"/>
          </w:p>
        </w:tc>
      </w:tr>
      <w:tr w14:paraId="0883A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02" w:type="dxa"/>
            <w:vMerge w:val="restart"/>
            <w:tcBorders>
              <w:left w:val="nil"/>
              <w:bottom w:val="nil"/>
            </w:tcBorders>
            <w:textDirection w:val="tbLrV"/>
            <w:vAlign w:val="top"/>
          </w:tcPr>
          <w:p w14:paraId="1ABA98AF">
            <w:pPr>
              <w:pStyle w:val="11"/>
              <w:spacing w:before="229" w:line="202" w:lineRule="auto"/>
              <w:ind w:left="204" w:leftChars="0" w:right="113" w:firstLine="241" w:firstLineChars="10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  <w:lang w:val="en-US" w:eastAsia="zh-CN"/>
              </w:rPr>
              <w:t>资 金 情 况（万元）</w:t>
            </w:r>
          </w:p>
        </w:tc>
        <w:tc>
          <w:tcPr>
            <w:tcW w:w="1807" w:type="dxa"/>
            <w:vAlign w:val="top"/>
          </w:tcPr>
          <w:p w14:paraId="41F20640">
            <w:pPr>
              <w:pStyle w:val="11"/>
              <w:spacing w:before="200" w:line="220" w:lineRule="auto"/>
              <w:ind w:left="18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预算安排资金</w:t>
            </w:r>
          </w:p>
        </w:tc>
        <w:tc>
          <w:tcPr>
            <w:tcW w:w="1983" w:type="dxa"/>
            <w:vAlign w:val="top"/>
          </w:tcPr>
          <w:p w14:paraId="2EE08C3F">
            <w:pPr>
              <w:pStyle w:val="11"/>
              <w:spacing w:before="238" w:line="183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1306</w:t>
            </w:r>
          </w:p>
        </w:tc>
        <w:tc>
          <w:tcPr>
            <w:tcW w:w="1900" w:type="dxa"/>
            <w:gridSpan w:val="2"/>
            <w:vAlign w:val="top"/>
          </w:tcPr>
          <w:p w14:paraId="41C16993">
            <w:pPr>
              <w:pStyle w:val="11"/>
              <w:spacing w:before="200" w:line="221" w:lineRule="auto"/>
              <w:ind w:left="247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实际到位资金</w:t>
            </w:r>
          </w:p>
        </w:tc>
        <w:tc>
          <w:tcPr>
            <w:tcW w:w="2137" w:type="dxa"/>
            <w:tcBorders>
              <w:right w:val="nil"/>
            </w:tcBorders>
            <w:vAlign w:val="top"/>
          </w:tcPr>
          <w:p w14:paraId="05DBC0B0">
            <w:pPr>
              <w:pStyle w:val="11"/>
              <w:spacing w:before="237" w:line="184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1306</w:t>
            </w:r>
          </w:p>
        </w:tc>
      </w:tr>
      <w:tr w14:paraId="47414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E280996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vAlign w:val="top"/>
          </w:tcPr>
          <w:p w14:paraId="4D05CF04">
            <w:pPr>
              <w:pStyle w:val="11"/>
              <w:spacing w:before="200" w:line="221" w:lineRule="auto"/>
              <w:ind w:left="116"/>
              <w:jc w:val="righ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级财政</w:t>
            </w:r>
          </w:p>
        </w:tc>
        <w:tc>
          <w:tcPr>
            <w:tcW w:w="1983" w:type="dxa"/>
            <w:vAlign w:val="top"/>
          </w:tcPr>
          <w:p w14:paraId="290B9AA6">
            <w:pPr>
              <w:pStyle w:val="11"/>
              <w:spacing w:before="240" w:line="183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97</w:t>
            </w:r>
          </w:p>
        </w:tc>
        <w:tc>
          <w:tcPr>
            <w:tcW w:w="1900" w:type="dxa"/>
            <w:gridSpan w:val="2"/>
            <w:vAlign w:val="top"/>
          </w:tcPr>
          <w:p w14:paraId="66105287">
            <w:pPr>
              <w:pStyle w:val="11"/>
              <w:spacing w:before="200" w:line="221" w:lineRule="auto"/>
              <w:ind w:left="127"/>
              <w:jc w:val="righ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其中：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级财政</w:t>
            </w:r>
          </w:p>
        </w:tc>
        <w:tc>
          <w:tcPr>
            <w:tcW w:w="2137" w:type="dxa"/>
            <w:tcBorders>
              <w:right w:val="nil"/>
            </w:tcBorders>
            <w:vAlign w:val="top"/>
          </w:tcPr>
          <w:p w14:paraId="1C1E23BB">
            <w:pPr>
              <w:pStyle w:val="11"/>
              <w:spacing w:before="240" w:beforeLines="0" w:afterLines="0" w:line="183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97</w:t>
            </w:r>
          </w:p>
        </w:tc>
      </w:tr>
      <w:tr w14:paraId="0E60C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486ED73E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vAlign w:val="top"/>
          </w:tcPr>
          <w:p w14:paraId="3B7E900E">
            <w:pPr>
              <w:pStyle w:val="11"/>
              <w:spacing w:before="202" w:line="220" w:lineRule="auto"/>
              <w:jc w:val="righ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县级财政</w:t>
            </w:r>
          </w:p>
        </w:tc>
        <w:tc>
          <w:tcPr>
            <w:tcW w:w="1983" w:type="dxa"/>
            <w:vAlign w:val="top"/>
          </w:tcPr>
          <w:p w14:paraId="190C312A">
            <w:pPr>
              <w:pStyle w:val="11"/>
              <w:spacing w:before="240" w:line="183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1209</w:t>
            </w:r>
          </w:p>
        </w:tc>
        <w:tc>
          <w:tcPr>
            <w:tcW w:w="1900" w:type="dxa"/>
            <w:gridSpan w:val="2"/>
            <w:vAlign w:val="top"/>
          </w:tcPr>
          <w:p w14:paraId="2DF377AF">
            <w:pPr>
              <w:pStyle w:val="11"/>
              <w:spacing w:before="202" w:line="220" w:lineRule="auto"/>
              <w:jc w:val="righ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  <w:t>县级财政</w:t>
            </w:r>
          </w:p>
        </w:tc>
        <w:tc>
          <w:tcPr>
            <w:tcW w:w="2137" w:type="dxa"/>
            <w:tcBorders>
              <w:right w:val="nil"/>
            </w:tcBorders>
            <w:vAlign w:val="top"/>
          </w:tcPr>
          <w:p w14:paraId="3710645A">
            <w:pPr>
              <w:pStyle w:val="11"/>
              <w:spacing w:before="240" w:beforeLines="0" w:afterLines="0" w:line="183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1209</w:t>
            </w:r>
          </w:p>
        </w:tc>
      </w:tr>
      <w:tr w14:paraId="4516D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02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 w14:paraId="5239453F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vAlign w:val="top"/>
          </w:tcPr>
          <w:p w14:paraId="6A7167D4">
            <w:pPr>
              <w:pStyle w:val="11"/>
              <w:spacing w:before="200" w:line="221" w:lineRule="auto"/>
              <w:ind w:left="193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实际支出资金</w:t>
            </w:r>
          </w:p>
        </w:tc>
        <w:tc>
          <w:tcPr>
            <w:tcW w:w="1983" w:type="dxa"/>
            <w:vAlign w:val="top"/>
          </w:tcPr>
          <w:p w14:paraId="64F54DE7">
            <w:pPr>
              <w:pStyle w:val="11"/>
              <w:spacing w:before="239" w:line="183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1306</w:t>
            </w:r>
          </w:p>
        </w:tc>
        <w:tc>
          <w:tcPr>
            <w:tcW w:w="1900" w:type="dxa"/>
            <w:gridSpan w:val="2"/>
            <w:vAlign w:val="top"/>
          </w:tcPr>
          <w:p w14:paraId="5F8D6931">
            <w:pPr>
              <w:pStyle w:val="11"/>
              <w:spacing w:before="200" w:line="221" w:lineRule="auto"/>
              <w:ind w:left="247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结转结余资金</w:t>
            </w:r>
          </w:p>
        </w:tc>
        <w:tc>
          <w:tcPr>
            <w:tcW w:w="2137" w:type="dxa"/>
            <w:tcBorders>
              <w:right w:val="nil"/>
            </w:tcBorders>
            <w:vAlign w:val="top"/>
          </w:tcPr>
          <w:p w14:paraId="5D763974">
            <w:pPr>
              <w:pStyle w:val="11"/>
              <w:spacing w:before="237" w:line="184" w:lineRule="auto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F90A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2" w:type="dxa"/>
            <w:vMerge w:val="continue"/>
            <w:tcBorders>
              <w:top w:val="nil"/>
              <w:left w:val="nil"/>
            </w:tcBorders>
            <w:vAlign w:val="top"/>
          </w:tcPr>
          <w:p w14:paraId="3AEA6B58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807" w:type="dxa"/>
            <w:vAlign w:val="top"/>
          </w:tcPr>
          <w:p w14:paraId="0818A1CE">
            <w:pPr>
              <w:pStyle w:val="11"/>
              <w:spacing w:before="202" w:line="220" w:lineRule="auto"/>
              <w:ind w:left="309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  <w:highlight w:val="none"/>
              </w:rPr>
              <w:t>预算执行率</w:t>
            </w:r>
          </w:p>
        </w:tc>
        <w:tc>
          <w:tcPr>
            <w:tcW w:w="6020" w:type="dxa"/>
            <w:gridSpan w:val="4"/>
            <w:tcBorders>
              <w:right w:val="nil"/>
            </w:tcBorders>
            <w:vAlign w:val="center"/>
          </w:tcPr>
          <w:p w14:paraId="315F5367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highlight w:val="none"/>
                <w:lang w:val="en-US" w:eastAsia="zh-CN"/>
              </w:rPr>
              <w:t>100%</w:t>
            </w:r>
          </w:p>
        </w:tc>
      </w:tr>
    </w:tbl>
    <w:p w14:paraId="3298B6A8">
      <w:pPr>
        <w:spacing w:before="197" w:line="220" w:lineRule="auto"/>
        <w:ind w:left="3314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</w:rPr>
        <w:t>二、部门绩效目标</w:t>
      </w:r>
    </w:p>
    <w:p w14:paraId="3728A160">
      <w:pPr>
        <w:spacing w:line="83" w:lineRule="exact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7136"/>
      </w:tblGrid>
      <w:tr w14:paraId="00622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1393" w:type="dxa"/>
            <w:tcBorders>
              <w:left w:val="nil"/>
            </w:tcBorders>
            <w:vAlign w:val="center"/>
          </w:tcPr>
          <w:p w14:paraId="325593E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年度绩效</w:t>
            </w:r>
          </w:p>
          <w:p w14:paraId="6261B58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目标</w:t>
            </w:r>
          </w:p>
        </w:tc>
        <w:tc>
          <w:tcPr>
            <w:tcW w:w="7136" w:type="dxa"/>
            <w:tcBorders>
              <w:right w:val="nil"/>
            </w:tcBorders>
            <w:vAlign w:val="top"/>
          </w:tcPr>
          <w:p w14:paraId="01A6E1A6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1、受理行政复议案件20起以上，办案率达到80%以上；</w:t>
            </w:r>
          </w:p>
          <w:p w14:paraId="5508964A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2、印制各类普法宣传产品1万册以上；</w:t>
            </w:r>
          </w:p>
          <w:p w14:paraId="35553D68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3、开展普法宣传活动50场次以上，受教育群众2.8万人以上；</w:t>
            </w:r>
          </w:p>
          <w:p w14:paraId="27098B95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4、受理法律援助案件120起以上；</w:t>
            </w:r>
          </w:p>
          <w:p w14:paraId="1C611574">
            <w:pPr>
              <w:pStyle w:val="3"/>
              <w:spacing w:line="5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5、排查化解各类矛盾纠纷1000起以上；</w:t>
            </w:r>
          </w:p>
          <w:p w14:paraId="0CAAFF10">
            <w:pPr>
              <w:pStyle w:val="3"/>
              <w:widowControl w:val="0"/>
              <w:numPr>
                <w:ilvl w:val="0"/>
                <w:numId w:val="0"/>
              </w:numPr>
              <w:spacing w:line="560" w:lineRule="exact"/>
              <w:ind w:right="125" w:rightChars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6、新建法治文化广场一处。</w:t>
            </w:r>
          </w:p>
          <w:p w14:paraId="76ED1F5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305" w:lineRule="auto"/>
              <w:ind w:left="113" w:right="108" w:firstLine="482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40726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529" w:type="dxa"/>
            <w:gridSpan w:val="2"/>
            <w:tcBorders>
              <w:left w:val="nil"/>
              <w:right w:val="nil"/>
            </w:tcBorders>
            <w:vAlign w:val="top"/>
          </w:tcPr>
          <w:p w14:paraId="54E43F7D">
            <w:pPr>
              <w:pStyle w:val="11"/>
              <w:spacing w:before="222" w:line="219" w:lineRule="auto"/>
              <w:ind w:left="3310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三、评价基本情况</w:t>
            </w:r>
          </w:p>
        </w:tc>
      </w:tr>
      <w:tr w14:paraId="03FFF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93" w:type="dxa"/>
            <w:tcBorders>
              <w:left w:val="nil"/>
            </w:tcBorders>
            <w:vAlign w:val="center"/>
          </w:tcPr>
          <w:p w14:paraId="4635A4B6">
            <w:pPr>
              <w:pStyle w:val="11"/>
              <w:spacing w:before="7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评价范围</w:t>
            </w:r>
          </w:p>
        </w:tc>
        <w:tc>
          <w:tcPr>
            <w:tcW w:w="7136" w:type="dxa"/>
            <w:tcBorders>
              <w:right w:val="nil"/>
            </w:tcBorders>
            <w:vAlign w:val="center"/>
          </w:tcPr>
          <w:p w14:paraId="7162926E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司法局作为一个整体，包括局机关以及下属的法律援助中心、公证处、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律师事务所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基层司法所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。涵盖了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司法行政系统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所有的人员、资金、资产以及各项业务活动和管理工作。</w:t>
            </w:r>
          </w:p>
          <w:p w14:paraId="52505F0B">
            <w:pPr>
              <w:pStyle w:val="11"/>
              <w:spacing w:before="38" w:line="303" w:lineRule="auto"/>
              <w:ind w:left="116" w:right="151" w:firstLine="478"/>
              <w:jc w:val="lef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375F4842">
            <w:pPr>
              <w:pStyle w:val="11"/>
              <w:spacing w:before="38" w:line="303" w:lineRule="auto"/>
              <w:ind w:left="116" w:right="151" w:firstLine="478"/>
              <w:jc w:val="left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</w:tbl>
    <w:p w14:paraId="6D80B9A0">
      <w:pPr>
        <w:spacing w:line="91" w:lineRule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7106"/>
      </w:tblGrid>
      <w:tr w14:paraId="30B54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6A1272BF">
            <w:pPr>
              <w:pStyle w:val="11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评价依据</w:t>
            </w:r>
          </w:p>
        </w:tc>
        <w:tc>
          <w:tcPr>
            <w:tcW w:w="7106" w:type="dxa"/>
            <w:tcBorders>
              <w:right w:val="nil"/>
            </w:tcBorders>
            <w:vAlign w:val="top"/>
          </w:tcPr>
          <w:p w14:paraId="208AA382">
            <w:pPr>
              <w:pStyle w:val="11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8" w:lineRule="auto"/>
              <w:ind w:right="108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05F3E3B8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律法规和政策文件为财政资金的管理和使用提供基本规范。明确了司法局财务管理等方面的要求。部门职能和工作计划评价是否履行法定职责的重要依据。同时，年初制定的工作计划和目标，明确了具体工作任务和预期成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财政部门制定的预算管理制度、资金使用管理办法等，用于评价司法局财政资金使用的合规性和效益性。</w:t>
            </w:r>
          </w:p>
          <w:p w14:paraId="78410A8C">
            <w:pPr>
              <w:pStyle w:val="11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8" w:lineRule="auto"/>
              <w:ind w:right="108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506171E1">
            <w:pPr>
              <w:pStyle w:val="11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98" w:lineRule="auto"/>
              <w:ind w:left="116" w:right="108"/>
              <w:textAlignment w:val="baseline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46B19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6D0697B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</w:rPr>
              <w:t>绩效评价指标体系</w:t>
            </w:r>
          </w:p>
        </w:tc>
        <w:tc>
          <w:tcPr>
            <w:tcW w:w="7106" w:type="dxa"/>
            <w:tcBorders>
              <w:right w:val="nil"/>
            </w:tcBorders>
            <w:vAlign w:val="center"/>
          </w:tcPr>
          <w:p w14:paraId="093F7454">
            <w:pPr>
              <w:pStyle w:val="3"/>
              <w:spacing w:line="560" w:lineRule="exact"/>
              <w:ind w:right="125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本次绩效评价指标体系围绕 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年部门整体支出申报、绩效目标管理、资金投入组织实施及资金管理等重要内容，结合绩效评价方法，从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决策、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管理、履职、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效益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四个方面对项目实施情况进行综合评价。具体评价指标内容如下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</w:p>
          <w:p w14:paraId="30013E53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决策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：占权重分值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分，从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项目申报、目标设定、两个方面进行评价分析。</w:t>
            </w:r>
          </w:p>
          <w:p w14:paraId="259F816D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：占权重分值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分，从资金投入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、财务管理、采购管理、人员管理、重点工作管理、资产管理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六个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方面进行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分析。</w:t>
            </w:r>
          </w:p>
          <w:p w14:paraId="3937B36F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履职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：占权重分值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分，从部门履职目标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、部门效果目标、社会影响、服务对象满意度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四个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方面进行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分析。</w:t>
            </w:r>
          </w:p>
          <w:p w14:paraId="02007C06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效益：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占权重分值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从社会效益、可持续影响两个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方面进行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6A619EA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98" w:lineRule="auto"/>
              <w:ind w:right="119"/>
              <w:jc w:val="left"/>
              <w:textAlignment w:val="baseline"/>
              <w:rPr>
                <w:spacing w:val="0"/>
              </w:rPr>
            </w:pPr>
          </w:p>
        </w:tc>
      </w:tr>
      <w:tr w14:paraId="2CC81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590B79C0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评价方法</w:t>
            </w:r>
          </w:p>
        </w:tc>
        <w:tc>
          <w:tcPr>
            <w:tcW w:w="7106" w:type="dxa"/>
            <w:tcBorders>
              <w:right w:val="nil"/>
            </w:tcBorders>
            <w:vAlign w:val="center"/>
          </w:tcPr>
          <w:p w14:paraId="532BE00F">
            <w:pPr>
              <w:pStyle w:val="3"/>
              <w:spacing w:line="560" w:lineRule="exact"/>
              <w:ind w:right="125" w:firstLine="480" w:firstLineChars="200"/>
              <w:rPr>
                <w:spacing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成本效益分析法：将司法局的各项投入成本与所取得的效益进行对比分析，评估资源的利用效率和效益情况。比较法：包括与历史数据比较，了解司法局绩效的变化趋势；与同类地区司法局比较，找出自身的优势和差距。因素分析法：确定影响绩效目标实现、指标完成的各种因素，分析各因素对绩效目标的影响程度。</w:t>
            </w:r>
          </w:p>
        </w:tc>
      </w:tr>
      <w:tr w14:paraId="5B64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43DFCB9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0"/>
              </w:rPr>
              <w:t>数据采集及处理办法</w:t>
            </w:r>
          </w:p>
        </w:tc>
        <w:tc>
          <w:tcPr>
            <w:tcW w:w="7106" w:type="dxa"/>
            <w:tcBorders>
              <w:right w:val="nil"/>
            </w:tcBorders>
            <w:vAlign w:val="center"/>
          </w:tcPr>
          <w:p w14:paraId="54F2B619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 资料收集范围：重点调取资料财务类：年度预算批复、决算报表、会计凭证、银行对账单、“三公”经费支出明细等；业务类：案件办理台账（审结数、未结数、审理周期等）、普法宣传记录、法律援助案件清单、司法改革专项工作进展报告等；绩效类：绩效目标申报表、年度绩效自评报告、内部绩效考核办法及结果；制度类：预算管理制度、资金审批流程、办案规范、信息化建设相关文件等进行系统性梳理：</w:t>
            </w:r>
          </w:p>
          <w:p w14:paraId="79DD3194">
            <w:pPr>
              <w:pStyle w:val="3"/>
              <w:spacing w:line="560" w:lineRule="exact"/>
              <w:ind w:right="125" w:firstLine="480" w:firstLineChars="20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 核心分析方法数据比对：横向：与同级别司法部门的关键指标对比（如人均办案成本、行政运行费占比）；纵向：与本部门往年数据对比（如案件审结率、预算执行率的年度变化趋势）；逻辑校验：验证“投入-产出”关联性（如司法救助资金支出与受助群众数量是否匹配、信息化投入与办案效率提升是否正相关）。合规性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审核：检查资金支付流程是否完整（如审批签字、发票合规性）、是否存在超预算支出、大额资金使用是否经过集体决策等。目标匹配度分析：对照年初设定的绩效目标，核查业务台账数据是否达标，支撑材料是否充分。</w:t>
            </w:r>
          </w:p>
          <w:p w14:paraId="42CBA5EC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482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</w:pPr>
          </w:p>
        </w:tc>
      </w:tr>
      <w:tr w14:paraId="128AE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423" w:type="dxa"/>
            <w:tcBorders>
              <w:left w:val="nil"/>
            </w:tcBorders>
            <w:vAlign w:val="center"/>
          </w:tcPr>
          <w:p w14:paraId="7A26A088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b/>
                <w:bCs/>
                <w:spacing w:val="0"/>
              </w:rPr>
            </w:pPr>
            <w:r>
              <w:rPr>
                <w:b/>
                <w:bCs/>
                <w:spacing w:val="0"/>
              </w:rPr>
              <w:t>绩效评价工作过程</w:t>
            </w:r>
          </w:p>
        </w:tc>
        <w:tc>
          <w:tcPr>
            <w:tcW w:w="7106" w:type="dxa"/>
            <w:tcBorders>
              <w:right w:val="nil"/>
            </w:tcBorders>
            <w:vAlign w:val="center"/>
          </w:tcPr>
          <w:p w14:paraId="332A6E16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B390196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 前期准备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立评价小组：抽调财务人员、业务骨干及外部专家组成绩效评价小组，明确各成员职责分工。制定评价方案：依据相关政策法规，结合司法局职能与年度工作目标，确定评价对象、范围、指标体系、评价标准、方法和时间安排。收集基础资料：收集司法局预算文件、财务报表、工作计划、工作总结、项目实施方案、绩效目标申报表等资料，全面了解部门工作和资金使用情况。</w:t>
            </w:r>
          </w:p>
          <w:p w14:paraId="1EE66810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 现场调研与资料核实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实地考察：评价小组深入司法局各科室、下属单位以及服务对象群体中，实地查看工作开展情况、项目实施进度和效果。资料核实：对收集的资料进行真实性、完整性和准确性核实，检查财务凭证、项目合同、验收报告等，确保数据可靠。人员访谈：与司法局工作人员、服务对象、相关部门负责人等进行访谈，了解工作成效、存在问题和改进建议。</w:t>
            </w:r>
          </w:p>
          <w:p w14:paraId="6B1866FE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 指标评分与分析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据整理：对核实后的资料和调研数据进行分类整理，按照绩效评价指标体系计算各项指标得分。综合评分：运用设定的评价方法对各项指标得分进行加权汇总，得出司法局部门整体支出绩效综合得分。分析诊断：根据评分结果，分析绩效目标实现程度、资金使用效率、工作成效和存在问题，找出影响绩效的关键因素。</w:t>
            </w:r>
          </w:p>
          <w:p w14:paraId="3EE1BEFC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 撰写评价报告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报告框架：按照规定格式撰写绩效评价报告，报告内容详细阐述评价过程和结果，提出针对性和可操作性的改进建议。审核定稿：评价报告完成后，经评价小组内部审核、征求司法局意见、修改完善后定稿。</w:t>
            </w:r>
          </w:p>
          <w:p w14:paraId="59C8B17F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5. 结果反馈与应用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反馈结果：将绩效评价结果反馈给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，包括综合得分、存在问题和改进建议，要求其对评价结果进行确认和反馈意见。结果应用：绩效评价结果可作为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各部门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改进管理、调整预算安排、优化资源配置的重要依据；同时，按照规定公开绩效评价结果，接受社会监督，提升部门公信力 。</w:t>
            </w:r>
          </w:p>
          <w:p w14:paraId="5C6762BC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E9FA3A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firstLine="480" w:firstLineChars="200"/>
              <w:jc w:val="left"/>
              <w:textAlignment w:val="baseline"/>
              <w:rPr>
                <w:spacing w:val="0"/>
              </w:rPr>
            </w:pPr>
          </w:p>
        </w:tc>
      </w:tr>
    </w:tbl>
    <w:p w14:paraId="12ABA30F">
      <w:pPr>
        <w:pStyle w:val="3"/>
        <w:spacing w:before="238" w:line="219" w:lineRule="auto"/>
        <w:ind w:left="2971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</w:rPr>
        <w:t>四、评价结论和绩效分析</w:t>
      </w:r>
    </w:p>
    <w:p w14:paraId="5945FE5F">
      <w:pPr>
        <w:spacing w:line="124" w:lineRule="exact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857"/>
        <w:gridCol w:w="854"/>
        <w:gridCol w:w="750"/>
        <w:gridCol w:w="720"/>
        <w:gridCol w:w="780"/>
        <w:gridCol w:w="750"/>
        <w:gridCol w:w="1050"/>
        <w:gridCol w:w="1020"/>
        <w:gridCol w:w="1046"/>
      </w:tblGrid>
      <w:tr w14:paraId="40B15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2" w:type="dxa"/>
            <w:tcBorders>
              <w:left w:val="nil"/>
            </w:tcBorders>
            <w:vAlign w:val="top"/>
          </w:tcPr>
          <w:p w14:paraId="08AA7ECA">
            <w:pPr>
              <w:pStyle w:val="11"/>
              <w:spacing w:before="117" w:line="220" w:lineRule="auto"/>
              <w:ind w:left="14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b/>
                <w:bCs/>
                <w:spacing w:val="-6"/>
              </w:rPr>
              <w:t>综合评价结论</w:t>
            </w:r>
          </w:p>
        </w:tc>
        <w:tc>
          <w:tcPr>
            <w:tcW w:w="1711" w:type="dxa"/>
            <w:gridSpan w:val="2"/>
            <w:vAlign w:val="center"/>
          </w:tcPr>
          <w:p w14:paraId="45670BCB">
            <w:pPr>
              <w:pStyle w:val="11"/>
              <w:spacing w:before="7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评价得分</w:t>
            </w:r>
          </w:p>
        </w:tc>
        <w:tc>
          <w:tcPr>
            <w:tcW w:w="2250" w:type="dxa"/>
            <w:gridSpan w:val="3"/>
            <w:vAlign w:val="center"/>
          </w:tcPr>
          <w:p w14:paraId="2D1E3793">
            <w:pPr>
              <w:pStyle w:val="11"/>
              <w:spacing w:before="78" w:line="183" w:lineRule="auto"/>
              <w:ind w:left="714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</w:p>
          <w:p w14:paraId="0D5E9CB2">
            <w:pPr>
              <w:pStyle w:val="11"/>
              <w:spacing w:before="78" w:line="183" w:lineRule="auto"/>
              <w:ind w:left="714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91.5</w:t>
            </w:r>
          </w:p>
          <w:p w14:paraId="0D8C4482">
            <w:pPr>
              <w:pStyle w:val="11"/>
              <w:spacing w:before="78" w:line="183" w:lineRule="auto"/>
              <w:ind w:left="714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722B496">
            <w:pPr>
              <w:pStyle w:val="11"/>
              <w:spacing w:before="78" w:line="219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评价等级</w:t>
            </w:r>
          </w:p>
        </w:tc>
        <w:tc>
          <w:tcPr>
            <w:tcW w:w="2066" w:type="dxa"/>
            <w:gridSpan w:val="2"/>
            <w:tcBorders>
              <w:right w:val="nil"/>
            </w:tcBorders>
            <w:vAlign w:val="center"/>
          </w:tcPr>
          <w:p w14:paraId="6BE09941">
            <w:pPr>
              <w:pStyle w:val="11"/>
              <w:spacing w:before="78" w:line="182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</w:p>
          <w:p w14:paraId="66253B33">
            <w:pPr>
              <w:pStyle w:val="11"/>
              <w:spacing w:before="78" w:line="182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优</w:t>
            </w:r>
          </w:p>
        </w:tc>
      </w:tr>
      <w:tr w14:paraId="55DD8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02" w:type="dxa"/>
            <w:vMerge w:val="restart"/>
            <w:tcBorders>
              <w:left w:val="nil"/>
              <w:bottom w:val="nil"/>
            </w:tcBorders>
            <w:vAlign w:val="top"/>
          </w:tcPr>
          <w:p w14:paraId="573773EA">
            <w:pPr>
              <w:spacing w:line="244" w:lineRule="auto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4B231BE8">
            <w:pPr>
              <w:pStyle w:val="11"/>
              <w:spacing w:before="78" w:line="220" w:lineRule="auto"/>
              <w:jc w:val="center"/>
              <w:rPr>
                <w:rFonts w:hint="eastAsia"/>
                <w:b/>
                <w:bCs/>
                <w:spacing w:val="-6"/>
                <w:lang w:eastAsia="zh-CN"/>
              </w:rPr>
            </w:pPr>
          </w:p>
          <w:p w14:paraId="193A2183">
            <w:pPr>
              <w:pStyle w:val="11"/>
              <w:spacing w:before="78" w:line="220" w:lineRule="auto"/>
              <w:jc w:val="center"/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绩</w:t>
            </w:r>
            <w:r>
              <w:rPr>
                <w:b/>
                <w:bCs/>
                <w:spacing w:val="-6"/>
              </w:rPr>
              <w:t>效</w:t>
            </w:r>
          </w:p>
          <w:p w14:paraId="4257DBB2">
            <w:pPr>
              <w:pStyle w:val="11"/>
              <w:spacing w:before="78" w:line="230" w:lineRule="auto"/>
              <w:ind w:right="109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 xml:space="preserve"> </w:t>
            </w:r>
            <w:r>
              <w:rPr>
                <w:b/>
                <w:bCs/>
                <w:spacing w:val="-5"/>
              </w:rPr>
              <w:t>分析</w:t>
            </w:r>
          </w:p>
        </w:tc>
        <w:tc>
          <w:tcPr>
            <w:tcW w:w="857" w:type="dxa"/>
            <w:vAlign w:val="center"/>
          </w:tcPr>
          <w:p w14:paraId="4DFEE862">
            <w:pPr>
              <w:pStyle w:val="11"/>
              <w:spacing w:before="78" w:line="221" w:lineRule="auto"/>
              <w:ind w:left="178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指标</w:t>
            </w:r>
          </w:p>
        </w:tc>
        <w:tc>
          <w:tcPr>
            <w:tcW w:w="854" w:type="dxa"/>
            <w:vAlign w:val="center"/>
          </w:tcPr>
          <w:p w14:paraId="303DEACB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部门</w:t>
            </w:r>
          </w:p>
          <w:p w14:paraId="6FA6F1B0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规划</w:t>
            </w:r>
          </w:p>
        </w:tc>
        <w:tc>
          <w:tcPr>
            <w:tcW w:w="750" w:type="dxa"/>
            <w:vAlign w:val="center"/>
          </w:tcPr>
          <w:p w14:paraId="53F34F75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运行</w:t>
            </w:r>
          </w:p>
          <w:p w14:paraId="5282F746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成本</w:t>
            </w:r>
          </w:p>
        </w:tc>
        <w:tc>
          <w:tcPr>
            <w:tcW w:w="720" w:type="dxa"/>
            <w:vAlign w:val="center"/>
          </w:tcPr>
          <w:p w14:paraId="161F1ED2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管理</w:t>
            </w:r>
          </w:p>
          <w:p w14:paraId="1113C672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效率</w:t>
            </w:r>
          </w:p>
        </w:tc>
        <w:tc>
          <w:tcPr>
            <w:tcW w:w="780" w:type="dxa"/>
            <w:vAlign w:val="center"/>
          </w:tcPr>
          <w:p w14:paraId="46381FF0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履职</w:t>
            </w:r>
          </w:p>
          <w:p w14:paraId="690BEEBF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效能</w:t>
            </w:r>
          </w:p>
        </w:tc>
        <w:tc>
          <w:tcPr>
            <w:tcW w:w="750" w:type="dxa"/>
            <w:vAlign w:val="center"/>
          </w:tcPr>
          <w:p w14:paraId="069193B5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社会</w:t>
            </w:r>
          </w:p>
          <w:p w14:paraId="32ED4493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效益</w:t>
            </w:r>
          </w:p>
        </w:tc>
        <w:tc>
          <w:tcPr>
            <w:tcW w:w="1050" w:type="dxa"/>
            <w:vAlign w:val="center"/>
          </w:tcPr>
          <w:p w14:paraId="57EBCBDA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可持续</w:t>
            </w:r>
          </w:p>
          <w:p w14:paraId="77763604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发展能力</w:t>
            </w:r>
          </w:p>
        </w:tc>
        <w:tc>
          <w:tcPr>
            <w:tcW w:w="1020" w:type="dxa"/>
            <w:vAlign w:val="center"/>
          </w:tcPr>
          <w:p w14:paraId="67CCD9C3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服务对象满意度</w:t>
            </w:r>
          </w:p>
        </w:tc>
        <w:tc>
          <w:tcPr>
            <w:tcW w:w="1046" w:type="dxa"/>
            <w:tcBorders>
              <w:right w:val="nil"/>
            </w:tcBorders>
            <w:vAlign w:val="center"/>
          </w:tcPr>
          <w:p w14:paraId="2DB24984">
            <w:pPr>
              <w:pStyle w:val="11"/>
              <w:spacing w:before="23" w:line="205" w:lineRule="auto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合计</w:t>
            </w:r>
          </w:p>
        </w:tc>
      </w:tr>
      <w:tr w14:paraId="49D57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702" w:type="dxa"/>
            <w:vMerge w:val="continue"/>
            <w:tcBorders>
              <w:top w:val="nil"/>
              <w:left w:val="nil"/>
            </w:tcBorders>
            <w:vAlign w:val="top"/>
          </w:tcPr>
          <w:p w14:paraId="5D5C8174">
            <w:pP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  <w:tc>
          <w:tcPr>
            <w:tcW w:w="857" w:type="dxa"/>
            <w:vAlign w:val="top"/>
          </w:tcPr>
          <w:p w14:paraId="077BB81C">
            <w:pPr>
              <w:pStyle w:val="11"/>
              <w:spacing w:before="174" w:line="284" w:lineRule="auto"/>
              <w:ind w:left="304" w:right="169" w:hanging="116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得分率</w:t>
            </w:r>
          </w:p>
        </w:tc>
        <w:tc>
          <w:tcPr>
            <w:tcW w:w="854" w:type="dxa"/>
            <w:vAlign w:val="center"/>
          </w:tcPr>
          <w:p w14:paraId="410E4AED">
            <w:pPr>
              <w:pStyle w:val="11"/>
              <w:spacing w:before="65" w:line="270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50" w:type="dxa"/>
            <w:vAlign w:val="center"/>
          </w:tcPr>
          <w:p w14:paraId="17299B93">
            <w:pPr>
              <w:pStyle w:val="11"/>
              <w:spacing w:before="65" w:line="270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70.8%</w:t>
            </w:r>
          </w:p>
        </w:tc>
        <w:tc>
          <w:tcPr>
            <w:tcW w:w="720" w:type="dxa"/>
            <w:vAlign w:val="center"/>
          </w:tcPr>
          <w:p w14:paraId="6BDA2AA6">
            <w:pPr>
              <w:pStyle w:val="11"/>
              <w:spacing w:before="65" w:line="269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86.1%</w:t>
            </w:r>
          </w:p>
        </w:tc>
        <w:tc>
          <w:tcPr>
            <w:tcW w:w="780" w:type="dxa"/>
            <w:vAlign w:val="center"/>
          </w:tcPr>
          <w:p w14:paraId="6B7C5C6B">
            <w:pPr>
              <w:pStyle w:val="11"/>
              <w:spacing w:before="65" w:line="269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50" w:type="dxa"/>
            <w:vAlign w:val="center"/>
          </w:tcPr>
          <w:p w14:paraId="28CCF245">
            <w:pPr>
              <w:pStyle w:val="11"/>
              <w:spacing w:before="65" w:line="270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50" w:type="dxa"/>
            <w:vAlign w:val="center"/>
          </w:tcPr>
          <w:p w14:paraId="29671117">
            <w:pPr>
              <w:pStyle w:val="11"/>
              <w:spacing w:before="65" w:line="269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20" w:type="dxa"/>
            <w:vAlign w:val="center"/>
          </w:tcPr>
          <w:p w14:paraId="55CF812C">
            <w:pPr>
              <w:pStyle w:val="11"/>
              <w:spacing w:before="65" w:line="269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position w:val="1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046" w:type="dxa"/>
            <w:tcBorders>
              <w:right w:val="nil"/>
            </w:tcBorders>
            <w:vAlign w:val="center"/>
          </w:tcPr>
          <w:p w14:paraId="0614FB7D">
            <w:pPr>
              <w:pStyle w:val="11"/>
              <w:spacing w:before="65" w:line="269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</w:tbl>
    <w:p w14:paraId="12F5AC03">
      <w:pPr>
        <w:pStyle w:val="3"/>
        <w:spacing w:before="238" w:line="219" w:lineRule="auto"/>
        <w:jc w:val="center"/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0"/>
          <w:sz w:val="24"/>
          <w:szCs w:val="24"/>
        </w:rPr>
        <w:t>五、存在的问题</w:t>
      </w:r>
    </w:p>
    <w:p w14:paraId="010E9CDE">
      <w:pPr>
        <w:spacing w:line="91" w:lineRule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tbl>
      <w:tblPr>
        <w:tblStyle w:val="10"/>
        <w:tblW w:w="8530" w:type="dxa"/>
        <w:tblInd w:w="0" w:type="dxa"/>
        <w:tblBorders>
          <w:top w:val="single" w:color="000000" w:sz="2" w:space="0"/>
          <w:left w:val="none" w:color="auto" w:sz="0" w:space="0"/>
          <w:bottom w:val="single" w:color="000000" w:sz="2" w:space="0"/>
          <w:right w:val="none" w:color="auto" w:sz="0" w:space="0"/>
          <w:insideH w:val="single" w:color="000000" w:sz="2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0"/>
      </w:tblGrid>
      <w:tr w14:paraId="1492D398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6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37C6AE72">
            <w:pPr>
              <w:pStyle w:val="3"/>
              <w:spacing w:line="560" w:lineRule="exact"/>
              <w:ind w:right="125"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问题：绩效目标设置不够精准，部分指标缺乏量化标准，难以衡量实际成效。前期调研不充分，导致预算安排与实际需求存在误差，存在资金不足现象。原因：缺乏科学的绩效目标编制方法和工具，工作人员对绩效目标的重要性认识不足，未结合实际业务精准设定指标。项目论证机制不完善，未充分收集业务科室、服务对象等多方意见，对项目必要性和可行性研究不深入。</w:t>
            </w:r>
          </w:p>
          <w:p w14:paraId="14082E9E">
            <w:pPr>
              <w:pStyle w:val="11"/>
              <w:spacing w:before="118" w:line="297" w:lineRule="auto"/>
              <w:ind w:left="120" w:right="109" w:firstLine="478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  <w:p w14:paraId="7E0FE5E0">
            <w:pPr>
              <w:pStyle w:val="11"/>
              <w:spacing w:before="118" w:line="297" w:lineRule="auto"/>
              <w:ind w:left="120" w:right="109" w:firstLine="478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78100947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631C7164">
            <w:pPr>
              <w:pStyle w:val="11"/>
              <w:spacing w:before="193" w:line="220" w:lineRule="auto"/>
              <w:ind w:left="3312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六、有关意见建议</w:t>
            </w:r>
          </w:p>
        </w:tc>
      </w:tr>
      <w:tr w14:paraId="35FA2F90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50F86DD9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强化过程管理，规范资金使用： 优化预算执行监控， 严格财务管理制度，定期组织财务人员及业务科室开展合规培训，强化报销凭证审核、审批流程管理；盘活资产资源，开展资产全面清查，建立动态管理台账，明确各科室资产使用责任；对闲置设备、场地等进行统筹调配或共享使用，提高资产利用率。</w:t>
            </w:r>
          </w:p>
          <w:p w14:paraId="1C7142DA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聚焦工作实效，提升产出质量：优化资源配置，根据年度重点任务，优先保障普法宣传、法律援助、社区矫正等核心业务的人力、物力投入；探索购买社会服务模式，引入专业机构参与矛盾调解、法治宣传等工作。</w:t>
            </w:r>
          </w:p>
          <w:p w14:paraId="314AE4AB">
            <w:pPr>
              <w:pStyle w:val="3"/>
              <w:spacing w:line="560" w:lineRule="exact"/>
              <w:ind w:right="125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加强队伍建设，夯实能力基础：强化绩效培训：定期组织绩效目标编制、预算管理、项目评估等专题培训，提升工作人员绩效管理能力。</w:t>
            </w:r>
          </w:p>
          <w:p w14:paraId="23B84D29">
            <w:pPr>
              <w:pStyle w:val="11"/>
              <w:spacing w:before="120" w:line="297" w:lineRule="auto"/>
              <w:ind w:left="115" w:right="109" w:firstLine="486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  <w:tr w14:paraId="2F22F6A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45915C0D">
            <w:pPr>
              <w:pStyle w:val="11"/>
              <w:spacing w:before="239" w:line="220" w:lineRule="auto"/>
              <w:ind w:left="3190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0"/>
                <w:sz w:val="24"/>
                <w:szCs w:val="24"/>
              </w:rPr>
              <w:t>七、</w:t>
            </w:r>
            <w:r>
              <w:rPr>
                <w:b/>
                <w:bCs/>
                <w:spacing w:val="0"/>
              </w:rPr>
              <w:t>其他需要说明的事项</w:t>
            </w:r>
          </w:p>
        </w:tc>
      </w:tr>
      <w:tr w14:paraId="56BE6022">
        <w:tblPrEx>
          <w:tblBorders>
            <w:top w:val="single" w:color="000000" w:sz="2" w:space="0"/>
            <w:left w:val="none" w:color="auto" w:sz="0" w:space="0"/>
            <w:bottom w:val="single" w:color="000000" w:sz="2" w:space="0"/>
            <w:right w:val="none" w:color="auto" w:sz="0" w:space="0"/>
            <w:insideH w:val="single" w:color="000000" w:sz="2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8530" w:type="dxa"/>
            <w:tcBorders>
              <w:tl2br w:val="nil"/>
              <w:tr2bl w:val="nil"/>
            </w:tcBorders>
            <w:vAlign w:val="center"/>
          </w:tcPr>
          <w:p w14:paraId="39714E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2" w:firstLineChars="200"/>
              <w:jc w:val="both"/>
              <w:rPr>
                <w:rStyle w:val="9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19FA87F">
            <w:pPr>
              <w:pStyle w:val="11"/>
              <w:spacing w:before="116" w:beforeLines="0" w:afterLines="0" w:line="306" w:lineRule="auto"/>
              <w:ind w:left="118" w:right="28" w:firstLine="476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  <w:lang w:eastAsia="zh-CN"/>
              </w:rPr>
              <w:t>无</w:t>
            </w:r>
          </w:p>
          <w:p w14:paraId="49465040">
            <w:pPr>
              <w:pStyle w:val="11"/>
              <w:spacing w:before="116" w:beforeLines="0" w:afterLines="0" w:line="306" w:lineRule="auto"/>
              <w:ind w:left="118" w:right="28" w:firstLine="476"/>
              <w:jc w:val="both"/>
              <w:rPr>
                <w:rFonts w:hint="eastAsia" w:asciiTheme="minorEastAsia" w:hAnsiTheme="minorEastAsia" w:eastAsiaTheme="minorEastAsia" w:cstheme="minorEastAsia"/>
                <w:spacing w:val="0"/>
                <w:sz w:val="24"/>
                <w:szCs w:val="24"/>
              </w:rPr>
            </w:pPr>
          </w:p>
        </w:tc>
      </w:tr>
    </w:tbl>
    <w:p w14:paraId="7BDAA81C">
      <w:pPr>
        <w:rPr>
          <w:rFonts w:hint="eastAsia" w:asciiTheme="minorEastAsia" w:hAnsiTheme="minorEastAsia" w:eastAsiaTheme="minorEastAsia" w:cstheme="minorEastAsia"/>
          <w:spacing w:val="0"/>
          <w:sz w:val="24"/>
          <w:szCs w:val="24"/>
        </w:rPr>
      </w:pPr>
    </w:p>
    <w:sectPr>
      <w:footerReference r:id="rId5" w:type="default"/>
      <w:pgSz w:w="11906" w:h="16839"/>
      <w:pgMar w:top="1431" w:right="1687" w:bottom="1170" w:left="1688" w:header="0" w:footer="97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27AAC">
    <w:pPr>
      <w:pStyle w:val="3"/>
      <w:spacing w:line="179" w:lineRule="auto"/>
      <w:ind w:left="4020"/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E31B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E31B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0A566D5"/>
    <w:rsid w:val="02E1776D"/>
    <w:rsid w:val="049C7DEF"/>
    <w:rsid w:val="058663AA"/>
    <w:rsid w:val="067E2E92"/>
    <w:rsid w:val="067E3AD6"/>
    <w:rsid w:val="07A86AAB"/>
    <w:rsid w:val="07BC4304"/>
    <w:rsid w:val="09B554AF"/>
    <w:rsid w:val="09DF7BEC"/>
    <w:rsid w:val="0A5B4625"/>
    <w:rsid w:val="0C8F3D96"/>
    <w:rsid w:val="11A57E6D"/>
    <w:rsid w:val="12C329EB"/>
    <w:rsid w:val="16A06327"/>
    <w:rsid w:val="19AC41D9"/>
    <w:rsid w:val="1D5242DB"/>
    <w:rsid w:val="20FA3A7C"/>
    <w:rsid w:val="226B2757"/>
    <w:rsid w:val="23264FFC"/>
    <w:rsid w:val="236D2C2B"/>
    <w:rsid w:val="248A3369"/>
    <w:rsid w:val="28E7579C"/>
    <w:rsid w:val="2E206AEC"/>
    <w:rsid w:val="300E12C4"/>
    <w:rsid w:val="30640F12"/>
    <w:rsid w:val="33707BCD"/>
    <w:rsid w:val="33723946"/>
    <w:rsid w:val="337B2999"/>
    <w:rsid w:val="35E82F17"/>
    <w:rsid w:val="3B6E70E8"/>
    <w:rsid w:val="3BE253E0"/>
    <w:rsid w:val="3C28373B"/>
    <w:rsid w:val="3C5F1085"/>
    <w:rsid w:val="43EE7018"/>
    <w:rsid w:val="455F19D3"/>
    <w:rsid w:val="46596265"/>
    <w:rsid w:val="4703102D"/>
    <w:rsid w:val="47422245"/>
    <w:rsid w:val="48904B42"/>
    <w:rsid w:val="530F0D59"/>
    <w:rsid w:val="5A2E5F69"/>
    <w:rsid w:val="5BE30FD5"/>
    <w:rsid w:val="5CB62246"/>
    <w:rsid w:val="5E1436C8"/>
    <w:rsid w:val="5E8124E4"/>
    <w:rsid w:val="5F3C1128"/>
    <w:rsid w:val="6913481E"/>
    <w:rsid w:val="6DA700B4"/>
    <w:rsid w:val="706E686D"/>
    <w:rsid w:val="74D86DA5"/>
    <w:rsid w:val="77584B43"/>
    <w:rsid w:val="788A485A"/>
    <w:rsid w:val="7C4116D4"/>
    <w:rsid w:val="7C8021FC"/>
    <w:rsid w:val="7DCA74A7"/>
    <w:rsid w:val="7DE92023"/>
    <w:rsid w:val="7E3C027A"/>
    <w:rsid w:val="7FC5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0"/>
    <w:pPr>
      <w:tabs>
        <w:tab w:val="left" w:pos="0"/>
      </w:tabs>
      <w:adjustRightInd w:val="0"/>
      <w:snapToGrid w:val="0"/>
      <w:spacing w:before="100" w:beforeLines="100" w:after="100" w:afterLines="100"/>
      <w:jc w:val="center"/>
    </w:pPr>
    <w:rPr>
      <w:rFonts w:hint="default" w:hAnsi="Arial" w:cs="Arial"/>
      <w:b/>
      <w:sz w:val="48"/>
      <w:szCs w:val="3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307</Words>
  <Characters>316</Characters>
  <TotalTime>0</TotalTime>
  <ScaleCrop>false</ScaleCrop>
  <LinksUpToDate>false</LinksUpToDate>
  <CharactersWithSpaces>326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2024-11-27T14:55:00Z</dcterms:created>
  <dc:creator>Windows 用户</dc:creator>
  <cp:lastModifiedBy>白小白</cp:lastModifiedBy>
  <dcterms:modified xsi:type="dcterms:W3CDTF">2025-09-22T01:25:00Z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2024-12-05T15:11:16Z</vt:filetime>
  </property>
  <property fmtid="{D5CDD505-2E9C-101B-9397-08002B2CF9AE}" pid="4" name="KSOProductBuildVer">
    <vt:lpwstr>2052-12.1.0.22529</vt:lpwstr>
  </property>
  <property fmtid="{D5CDD505-2E9C-101B-9397-08002B2CF9AE}" pid="5" name="ICV">
    <vt:lpwstr>578B38559F6E4441939CF383C63F6E8A_13</vt:lpwstr>
  </property>
  <property fmtid="{D5CDD505-2E9C-101B-9397-08002B2CF9AE}" pid="6" name="KSOTemplateDocerSaveRecord">
    <vt:lpwstr>eyJoZGlkIjoiYWIyMzg3OGNhM2VkYTA1NTAyNDgzYjE4ZTkxNGZjMmIiLCJ1c2VySWQiOiI0NDk3NzM0NDgifQ==</vt:lpwstr>
  </property>
</Properties>
</file>