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财政项目支出绩效自评价报告</w:t>
      </w: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ascii="仿宋_GB2312"/>
          <w:kern w:val="0"/>
          <w:sz w:val="30"/>
          <w:szCs w:val="30"/>
          <w:lang w:bidi="en-US"/>
        </w:rPr>
      </w:pP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项目名称：</w:t>
      </w:r>
      <w:r>
        <w:rPr>
          <w:rFonts w:ascii="黑体" w:hAnsi="黑体" w:eastAsia="黑体" w:cs="黑体"/>
          <w:color w:val="auto"/>
          <w:sz w:val="28"/>
          <w:u w:val="none"/>
        </w:rPr>
        <w:t>省级财政农业生态环境保护专项</w: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begin"/>
      </w:r>
      <w:r>
        <w:rPr>
          <w:rFonts w:hint="eastAsia" w:ascii="黑体" w:hAnsi="黑体" w:eastAsia="黑体"/>
          <w:kern w:val="0"/>
          <w:sz w:val="28"/>
          <w:szCs w:val="28"/>
          <w:lang w:bidi="en-US"/>
        </w:rPr>
        <w:instrText xml:space="preserve">MERGEFIELD  projectName  \* MERGEFORMAT</w:instrTex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end"/>
      </w: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项目单位：</w:t>
      </w:r>
      <w:r>
        <w:rPr>
          <w:rFonts w:ascii="黑体" w:hAnsi="黑体" w:eastAsia="黑体" w:cs="黑体"/>
          <w:color w:val="auto"/>
          <w:sz w:val="28"/>
          <w:u w:val="none"/>
        </w:rPr>
        <w:t>合水县农产品质量监测检验站</w:t>
      </w: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主管部门：</w:t>
      </w:r>
      <w:r>
        <w:rPr>
          <w:rFonts w:ascii="黑体" w:hAnsi="黑体" w:eastAsia="黑体" w:cs="黑体"/>
          <w:color w:val="auto"/>
          <w:sz w:val="28"/>
          <w:u w:val="none"/>
        </w:rPr>
        <w:t>合水县农业农村局</w:t>
      </w:r>
    </w:p>
    <w:p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before="120"/>
        <w:jc w:val="center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2024年</w:t>
      </w:r>
      <w:r>
        <w:rPr>
          <w:rFonts w:ascii="黑体" w:hAnsi="黑体" w:eastAsia="黑体"/>
          <w:kern w:val="0"/>
          <w:sz w:val="28"/>
          <w:szCs w:val="28"/>
          <w:lang w:bidi="en-US"/>
        </w:rPr>
        <w:t>3</w:t>
      </w:r>
      <w:r>
        <w:rPr>
          <w:rFonts w:ascii="黑体" w:hAnsi="黑体" w:eastAsia="黑体" w:cs="黑体"/>
          <w:color w:val="auto"/>
          <w:sz w:val="28"/>
          <w:u w:val="none"/>
        </w:rPr>
        <w:t>月</w:t>
      </w:r>
    </w:p>
    <w:p>
      <w:pPr>
        <w:pStyle w:val="17"/>
        <w:rPr>
          <w:rFonts w:ascii="仿宋_GB2312"/>
          <w:kern w:val="0"/>
          <w:szCs w:val="32"/>
          <w:lang w:bidi="en-US"/>
        </w:rPr>
      </w:pPr>
    </w:p>
    <w:p>
      <w:pPr>
        <w:ind w:firstLine="560"/>
      </w:pP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before="480" w:after="360"/>
        <w:jc w:val="center"/>
        <w:rPr>
          <w:rStyle w:val="43"/>
          <w:rFonts w:hint="eastAsia" w:ascii="黑体" w:hAnsi="黑体" w:eastAsia="黑体"/>
          <w:color w:val="000000"/>
          <w:sz w:val="32"/>
          <w:szCs w:val="32"/>
        </w:rPr>
      </w:pPr>
      <w:r>
        <w:rPr>
          <w:rStyle w:val="43"/>
          <w:rFonts w:hint="eastAsia" w:ascii="黑体" w:hAnsi="黑体" w:eastAsia="黑体"/>
          <w:color w:val="000000"/>
          <w:sz w:val="32"/>
          <w:szCs w:val="32"/>
        </w:rPr>
        <w:t>摘要</w:t>
      </w:r>
    </w:p>
    <w:p>
      <w:pPr>
        <w:pStyle w:val="22"/>
        <w:ind w:firstLine="630" w:firstLineChars="300"/>
        <w:rPr>
          <w:rFonts w:hint="default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"/>
        </w:rPr>
        <w:t>对照总体目标，2023年回收废旧农膜1687吨，废旧农膜回收率达到86.5%；按要求完成了10个地膜监测点的监测工作，</w:t>
      </w:r>
      <w:r>
        <w:rPr>
          <w:rFonts w:hint="default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"/>
        </w:rPr>
        <w:t>农膜残留问题得到有效控制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"/>
        </w:rPr>
        <w:t>，全县尾菜处理利用工作开展顺利，尾菜处理利用率达到53%以上</w:t>
      </w:r>
      <w:r>
        <w:rPr>
          <w:rFonts w:hint="default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1.废旧农膜回收利用以奖代补。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根据省级实施方案要求，结合我县实际，及时制定了合水县项目实施方案。按照我县工作方案要求，每回收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吨废旧农膜补助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300元的标准，成立验收组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实地对我县的两家回收加工企业进行了现场考核验收，根据查看企业回收票据、台账，回收场地、加工场所等，验收组一直认为两家企业回收加工情况良好，验收合格。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省级田间地膜残留监测项目。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项目严格按照农田地膜采样方案要求，通过GPS 定位、登记种植户信息，实地分拣、清洗、晾晒、称量和测算，进行10个地膜监测点的监测工作，按要求及时上报了工作信息及监测数据。</w:t>
      </w:r>
    </w:p>
    <w:p>
      <w:pPr>
        <w:pStyle w:val="22"/>
        <w:rPr>
          <w:rFonts w:hint="default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省级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尾菜处理利用项目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根据省级实施方案要求，结合我县要求，及时制定了实施方案。按照我县工作方案要求，进行生物有机肥发放，广泛宣传等措施，使我县尾菜处理利用工作更近一步，全县尾菜处理利用率达到53%以上</w:t>
      </w:r>
    </w:p>
    <w:p>
      <w:pPr>
        <w:adjustRightInd w:val="0"/>
        <w:snapToGrid w:val="0"/>
        <w:spacing w:before="480" w:after="360"/>
        <w:jc w:val="center"/>
        <w:rPr>
          <w:rStyle w:val="43"/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jc w:val="left"/>
        <w:rPr>
          <w:rStyle w:val="43"/>
          <w:rFonts w:ascii="黑体" w:hAnsi="黑体" w:eastAsia="黑体"/>
          <w:color w:val="000000"/>
          <w:sz w:val="32"/>
          <w:szCs w:val="32"/>
        </w:rPr>
      </w:pPr>
      <w:r>
        <w:rPr>
          <w:rStyle w:val="43"/>
          <w:rFonts w:ascii="黑体" w:hAnsi="黑体" w:eastAsia="黑体"/>
          <w:color w:val="000000"/>
          <w:sz w:val="32"/>
          <w:szCs w:val="32"/>
        </w:rPr>
        <w:br w:type="page"/>
      </w:r>
    </w:p>
    <w:p>
      <w:pPr>
        <w:pStyle w:val="48"/>
        <w:spacing w:line="240" w:lineRule="auto"/>
      </w:pPr>
      <w:r>
        <w:rPr>
          <w:rFonts w:hint="eastAsia"/>
        </w:rPr>
        <w:t>一、项目</w:t>
      </w:r>
      <w:r>
        <w:t>基本情况</w:t>
      </w:r>
    </w:p>
    <w:p>
      <w:pPr>
        <w:pStyle w:val="66"/>
        <w:spacing w:line="240" w:lineRule="auto"/>
        <w:ind w:firstLine="562"/>
      </w:pPr>
      <w:r>
        <w:rPr>
          <w:rFonts w:hint="eastAsia"/>
        </w:rPr>
        <w:t>（一）基本信息</w:t>
      </w:r>
    </w:p>
    <w:p>
      <w:pPr>
        <w:pStyle w:val="66"/>
        <w:spacing w:line="240" w:lineRule="auto"/>
        <w:ind w:left="560" w:firstLine="0" w:firstLineChars="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项目基本内容：至2023年底，全县废旧农膜回收加工网络体系进一步健全</w:t>
      </w:r>
    </w:p>
    <w:p>
      <w:pPr>
        <w:pStyle w:val="66"/>
        <w:spacing w:line="240" w:lineRule="auto"/>
        <w:ind w:left="560" w:firstLine="0" w:firstLineChars="0"/>
        <w:jc w:val="both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项目负责人：</w:t>
      </w:r>
      <w:r>
        <w:rPr>
          <w:rFonts w:hint="eastAsia"/>
          <w:b w:val="0"/>
          <w:bCs w:val="0"/>
          <w:szCs w:val="28"/>
          <w:lang w:eastAsia="zh-CN"/>
        </w:rPr>
        <w:t>赵廷贵</w:t>
      </w:r>
    </w:p>
    <w:p>
      <w:pPr>
        <w:pStyle w:val="66"/>
        <w:spacing w:line="240" w:lineRule="auto"/>
        <w:ind w:firstLine="560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联系人：</w:t>
      </w:r>
      <w:r>
        <w:rPr>
          <w:rFonts w:hint="eastAsia"/>
          <w:b w:val="0"/>
          <w:bCs w:val="0"/>
          <w:szCs w:val="28"/>
          <w:lang w:eastAsia="zh-CN"/>
        </w:rPr>
        <w:t>彭华</w:t>
      </w:r>
    </w:p>
    <w:p>
      <w:pPr>
        <w:pStyle w:val="66"/>
        <w:spacing w:line="240" w:lineRule="auto"/>
        <w:ind w:firstLine="560"/>
        <w:rPr>
          <w:rFonts w:hint="default" w:eastAsia="仿宋_GB2312"/>
          <w:b w:val="0"/>
          <w:bCs w:val="0"/>
          <w:szCs w:val="28"/>
          <w:lang w:val="en-US" w:eastAsia="zh-CN"/>
        </w:rPr>
      </w:pPr>
      <w:r>
        <w:rPr>
          <w:rFonts w:hint="eastAsia"/>
          <w:b w:val="0"/>
          <w:bCs w:val="0"/>
          <w:szCs w:val="28"/>
        </w:rPr>
        <w:t>联系电话：</w:t>
      </w:r>
      <w:r>
        <w:rPr>
          <w:rFonts w:hint="eastAsia"/>
          <w:b w:val="0"/>
          <w:bCs w:val="0"/>
          <w:szCs w:val="28"/>
          <w:lang w:val="en-US" w:eastAsia="zh-CN"/>
        </w:rPr>
        <w:t>15095596995</w:t>
      </w:r>
    </w:p>
    <w:p>
      <w:pPr>
        <w:pStyle w:val="66"/>
        <w:spacing w:line="240" w:lineRule="auto"/>
        <w:ind w:firstLine="56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项目存在的主要问题：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农业生态环境保护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工作是一项系统性、持续性、复杂的工程。当前，我们采取了一些行之有效的措施，并取得了阶段性成效，但从整体效果看，也还存在一些问题。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en-US"/>
        </w:rPr>
        <w:t>一是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废旧农膜分布比较广泛，农膜机械采收能力差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捡拾难度大，农户人工捡拾成本高，残膜回收率还不够高。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en-US"/>
        </w:rPr>
        <w:t>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废旧农膜回收加工效益不高，回收加工企业较少，缺乏竞争意识。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en-US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en-US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尾菜处理利用技术水平滞后。田间堆沤虽然投入较少，简单易行，但需占用一定土地和耗费大量劳动力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导致尾菜的资源利用率不足。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农民对尾菜处理利用不够重视。农民的农业生态环境保护意识比较淡薄，对于尾菜资源化利用认识程度不高，由于缺乏现场指导培训，有规模的尾菜处理利用示范区域没有形成，处理利用的积极主动性不高。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</w:pPr>
    </w:p>
    <w:p>
      <w:pPr>
        <w:pStyle w:val="72"/>
        <w:rPr>
          <w:lang w:val="en-US"/>
        </w:rPr>
      </w:pPr>
    </w:p>
    <w:p>
      <w:pPr>
        <w:pStyle w:val="66"/>
        <w:spacing w:line="240" w:lineRule="auto"/>
        <w:ind w:firstLine="562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预算资金情况</w:t>
      </w:r>
    </w:p>
    <w:p>
      <w:pPr>
        <w:pStyle w:val="72"/>
        <w:rPr>
          <w:lang w:val="en-US"/>
        </w:rPr>
      </w:pPr>
      <w:r>
        <w:rPr>
          <w:rFonts w:hint="eastAsia"/>
        </w:rPr>
        <w:t>项目总预算金额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24万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72"/>
        <w:rPr>
          <w:lang w:val="en-US"/>
        </w:rPr>
      </w:pPr>
      <w:r>
        <w:rPr>
          <w:rFonts w:hint="eastAsia"/>
        </w:rPr>
        <w:t>项目当年预算金额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24万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72"/>
        <w:rPr>
          <w:lang w:val="en-US"/>
        </w:rPr>
      </w:pPr>
    </w:p>
    <w:p>
      <w:pPr>
        <w:pStyle w:val="48"/>
        <w:spacing w:line="240" w:lineRule="auto"/>
        <w:rPr>
          <w:sz w:val="28"/>
          <w:lang w:val="en-US"/>
        </w:rPr>
      </w:pPr>
      <w:bookmarkStart w:id="0" w:name="_Toc488925441"/>
      <w:bookmarkStart w:id="1" w:name="_Toc490218263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>
      <w:pPr>
        <w:pStyle w:val="66"/>
        <w:spacing w:line="240" w:lineRule="auto"/>
        <w:ind w:firstLine="562"/>
        <w:rPr>
          <w:lang w:val="en-US"/>
        </w:rPr>
      </w:pPr>
      <w:bookmarkStart w:id="3" w:name="_Toc517260673"/>
      <w:r>
        <w:rPr>
          <w:rFonts w:hint="eastAsia"/>
          <w:lang w:val="en-US"/>
        </w:rPr>
        <w:t>（</w:t>
      </w:r>
      <w:r>
        <w:rPr>
          <w:rFonts w:hint="eastAsia"/>
        </w:rPr>
        <w:t>一</w:t>
      </w:r>
      <w:r>
        <w:rPr>
          <w:rFonts w:hint="eastAsia"/>
          <w:lang w:val="en-US"/>
        </w:rPr>
        <w:t>）</w:t>
      </w:r>
      <w:r>
        <w:rPr>
          <w:rFonts w:hint="eastAsia"/>
        </w:rPr>
        <w:t>评价结果</w:t>
      </w:r>
      <w:bookmarkEnd w:id="3"/>
    </w:p>
    <w:p>
      <w:pPr>
        <w:pStyle w:val="72"/>
        <w:rPr>
          <w:lang w:val="en-US"/>
        </w:rPr>
      </w:pPr>
      <w:r>
        <w:rPr>
          <w:rFonts w:hint="eastAsia"/>
        </w:rPr>
        <w:t>评价得分</w:t>
      </w:r>
      <w:r>
        <w:rPr>
          <w:rFonts w:hint="eastAsia"/>
          <w:lang w:val="en-US"/>
        </w:rPr>
        <w:t>：100</w:t>
      </w:r>
    </w:p>
    <w:p>
      <w:pPr>
        <w:pStyle w:val="72"/>
        <w:rPr>
          <w:lang w:val="en-US"/>
        </w:rPr>
      </w:pPr>
      <w:r>
        <w:rPr>
          <w:rFonts w:hint="eastAsia"/>
        </w:rPr>
        <w:t>绩效等级</w:t>
      </w:r>
      <w:r>
        <w:rPr>
          <w:rFonts w:hint="eastAsia"/>
          <w:lang w:val="en-US"/>
        </w:rPr>
        <w:t>：优秀</w:t>
      </w:r>
    </w:p>
    <w:p>
      <w:pPr>
        <w:pStyle w:val="72"/>
        <w:rPr>
          <w:lang w:val="en-US"/>
        </w:rPr>
      </w:pPr>
    </w:p>
    <w:p>
      <w:pPr>
        <w:pStyle w:val="66"/>
        <w:spacing w:line="240" w:lineRule="auto"/>
        <w:ind w:firstLine="562"/>
        <w:rPr>
          <w:lang w:val="en-US"/>
        </w:rPr>
      </w:pPr>
      <w:bookmarkStart w:id="4" w:name="_Toc517260674"/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主要绩效及分析</w:t>
      </w:r>
      <w:bookmarkEnd w:id="4"/>
    </w:p>
    <w:p>
      <w:pPr>
        <w:pStyle w:val="66"/>
        <w:spacing w:line="240" w:lineRule="auto"/>
        <w:ind w:firstLine="442"/>
        <w:rPr>
          <w:rFonts w:ascii="宋体" w:hAnsi="宋体" w:cs="宋体"/>
          <w:sz w:val="22"/>
          <w:lang w:val="en-US"/>
        </w:rPr>
      </w:pPr>
      <w:r>
        <w:rPr>
          <w:rFonts w:hint="eastAsia" w:ascii="宋体" w:hAnsi="宋体" w:cs="宋体"/>
          <w:sz w:val="22"/>
        </w:rPr>
        <w:t>项目主要经验总结</w:t>
      </w:r>
      <w:r>
        <w:rPr>
          <w:rFonts w:ascii="宋体" w:hAnsi="宋体" w:cs="宋体"/>
          <w:sz w:val="22"/>
          <w:lang w:val="en-US"/>
        </w:rPr>
        <w:t xml:space="preserve">: </w:t>
      </w:r>
    </w:p>
    <w:p>
      <w:pPr>
        <w:pStyle w:val="66"/>
        <w:spacing w:line="240" w:lineRule="auto"/>
        <w:ind w:firstLine="442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3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创建省控废旧地膜残留监测点数量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发放废旧农膜以奖代补资金额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受益农民满意度（%）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以奖代补资金发放准确率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</w:tbl>
    <w:p>
      <w:pPr>
        <w:pStyle w:val="39"/>
        <w:ind w:firstLine="420"/>
        <w:jc w:val="both"/>
      </w:pPr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3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地膜监测点完成及时性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90%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项目完成后带来的经济效益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92%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农田环境问题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90%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10%</w:t>
            </w:r>
          </w:p>
        </w:tc>
      </w:tr>
    </w:tbl>
    <w:p>
      <w:pPr>
        <w:pStyle w:val="48"/>
        <w:spacing w:line="240" w:lineRule="auto"/>
        <w:rPr>
          <w:lang w:val="en-US"/>
        </w:rPr>
      </w:pPr>
      <w:bookmarkStart w:id="5" w:name="_Toc488925447"/>
      <w:bookmarkStart w:id="6" w:name="_Toc398675340"/>
      <w:bookmarkStart w:id="7" w:name="_Toc490218269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>
      <w:pPr>
        <w:pStyle w:val="66"/>
        <w:spacing w:line="240" w:lineRule="auto"/>
        <w:ind w:firstLine="562"/>
        <w:rPr>
          <w:rFonts w:hint="eastAsia"/>
          <w:lang w:eastAsia="zh-CN"/>
        </w:rPr>
      </w:pPr>
      <w:bookmarkStart w:id="9" w:name="_Toc517260677"/>
      <w:r>
        <w:rPr>
          <w:rFonts w:hint="eastAsia"/>
        </w:rPr>
        <w:t>（一）改进措施和建议</w:t>
      </w:r>
      <w:bookmarkEnd w:id="9"/>
      <w:r>
        <w:rPr>
          <w:rFonts w:hint="eastAsia"/>
          <w:lang w:eastAsia="zh-CN"/>
        </w:rPr>
        <w:t>：</w:t>
      </w:r>
    </w:p>
    <w:p>
      <w:pPr>
        <w:pStyle w:val="66"/>
        <w:spacing w:line="240" w:lineRule="auto"/>
        <w:ind w:firstLine="843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66"/>
        <w:numPr>
          <w:ilvl w:val="0"/>
          <w:numId w:val="1"/>
        </w:numPr>
        <w:ind w:firstLineChars="0"/>
      </w:pPr>
      <w:r>
        <w:rPr>
          <w:rFonts w:hint="eastAsia"/>
        </w:rPr>
        <w:t>对项目决策的建议：</w:t>
      </w:r>
    </w:p>
    <w:p>
      <w:pPr>
        <w:pStyle w:val="72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6"/>
        <w:numPr>
          <w:ilvl w:val="0"/>
          <w:numId w:val="1"/>
        </w:numPr>
        <w:ind w:firstLineChars="0"/>
      </w:pPr>
      <w:r>
        <w:rPr>
          <w:rFonts w:hint="eastAsia"/>
        </w:rPr>
        <w:t>对预算安排与执行的建议：</w:t>
      </w:r>
    </w:p>
    <w:p>
      <w:pPr>
        <w:pStyle w:val="72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6"/>
        <w:numPr>
          <w:ilvl w:val="0"/>
          <w:numId w:val="1"/>
        </w:numPr>
        <w:ind w:firstLineChars="0"/>
      </w:pPr>
      <w:r>
        <w:rPr>
          <w:rFonts w:hint="eastAsia"/>
        </w:rPr>
        <w:t>对资金管理的建议：</w:t>
      </w:r>
    </w:p>
    <w:p>
      <w:pPr>
        <w:pStyle w:val="72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6"/>
        <w:numPr>
          <w:ilvl w:val="0"/>
          <w:numId w:val="1"/>
        </w:numPr>
        <w:ind w:firstLineChars="0"/>
      </w:pPr>
      <w:r>
        <w:rPr>
          <w:rFonts w:hint="eastAsia"/>
        </w:rPr>
        <w:t>对项目管理的建议：</w:t>
      </w:r>
    </w:p>
    <w:p>
      <w:pPr>
        <w:pStyle w:val="66"/>
        <w:numPr>
          <w:numId w:val="0"/>
        </w:numPr>
        <w:ind w:left="562" w:leftChars="0" w:firstLine="281" w:firstLineChars="1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66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>
      <w:pPr>
        <w:pStyle w:val="72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6"/>
        <w:numPr>
          <w:ilvl w:val="0"/>
          <w:numId w:val="1"/>
        </w:numPr>
        <w:ind w:firstLineChars="0"/>
      </w:pPr>
      <w:r>
        <w:rPr>
          <w:rFonts w:hint="eastAsia"/>
        </w:rPr>
        <w:t>备注：</w:t>
      </w:r>
    </w:p>
    <w:p>
      <w:pPr>
        <w:pStyle w:val="72"/>
        <w:ind w:left="982" w:firstLine="0" w:firstLineChars="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  <w:bookmarkStart w:id="10" w:name="_GoBack"/>
      <w:bookmarkEnd w:id="1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M2Y0Y2QxYTNkYzJiNWRlMWE2MWJhYmEyNjg5ZTA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B6147"/>
    <w:rsid w:val="003C0D82"/>
    <w:rsid w:val="003C1AC1"/>
    <w:rsid w:val="003C409B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E06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12703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211C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3748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761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40E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A7809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8D1405"/>
    <w:rsid w:val="2F966334"/>
    <w:rsid w:val="2FE62682"/>
    <w:rsid w:val="30A0402A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511DC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77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5">
    <w:name w:val="heading 3"/>
    <w:basedOn w:val="1"/>
    <w:next w:val="1"/>
    <w:link w:val="59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6">
    <w:name w:val="heading 4"/>
    <w:basedOn w:val="1"/>
    <w:next w:val="1"/>
    <w:link w:val="117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0"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7">
    <w:name w:val="Document Map"/>
    <w:basedOn w:val="1"/>
    <w:link w:val="85"/>
    <w:autoRedefine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8">
    <w:name w:val="annotation text"/>
    <w:basedOn w:val="1"/>
    <w:link w:val="33"/>
    <w:autoRedefine/>
    <w:unhideWhenUsed/>
    <w:qFormat/>
    <w:uiPriority w:val="99"/>
    <w:pPr>
      <w:jc w:val="left"/>
    </w:pPr>
    <w:rPr>
      <w:lang w:val="zh-CN"/>
    </w:rPr>
  </w:style>
  <w:style w:type="paragraph" w:styleId="9">
    <w:name w:val="Body Text"/>
    <w:basedOn w:val="1"/>
    <w:next w:val="10"/>
    <w:qFormat/>
    <w:uiPriority w:val="99"/>
  </w:style>
  <w:style w:type="paragraph" w:styleId="10">
    <w:name w:val="toc 5"/>
    <w:basedOn w:val="1"/>
    <w:next w:val="1"/>
    <w:qFormat/>
    <w:uiPriority w:val="0"/>
    <w:pPr>
      <w:spacing w:line="600" w:lineRule="exact"/>
      <w:ind w:firstLine="720" w:firstLineChars="200"/>
    </w:pPr>
  </w:style>
  <w:style w:type="paragraph" w:styleId="11">
    <w:name w:val="Body Text Indent"/>
    <w:basedOn w:val="1"/>
    <w:link w:val="50"/>
    <w:autoRedefine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12">
    <w:name w:val="toc 3"/>
    <w:basedOn w:val="1"/>
    <w:next w:val="1"/>
    <w:autoRedefine/>
    <w:unhideWhenUsed/>
    <w:qFormat/>
    <w:uiPriority w:val="39"/>
    <w:pPr>
      <w:ind w:left="840" w:leftChars="400"/>
    </w:pPr>
    <w:rPr>
      <w:rFonts w:eastAsia="仿宋_GB2312"/>
    </w:rPr>
  </w:style>
  <w:style w:type="paragraph" w:styleId="13">
    <w:name w:val="endnote text"/>
    <w:basedOn w:val="1"/>
    <w:link w:val="73"/>
    <w:autoRedefine/>
    <w:unhideWhenUsed/>
    <w:qFormat/>
    <w:uiPriority w:val="99"/>
    <w:pPr>
      <w:snapToGrid w:val="0"/>
      <w:jc w:val="left"/>
    </w:pPr>
    <w:rPr>
      <w:lang w:val="zh-CN"/>
    </w:rPr>
  </w:style>
  <w:style w:type="paragraph" w:styleId="14">
    <w:name w:val="Balloon Text"/>
    <w:basedOn w:val="1"/>
    <w:link w:val="67"/>
    <w:autoRedefine/>
    <w:unhideWhenUsed/>
    <w:qFormat/>
    <w:uiPriority w:val="99"/>
    <w:rPr>
      <w:sz w:val="18"/>
      <w:szCs w:val="18"/>
      <w:lang w:val="zh-CN"/>
    </w:rPr>
  </w:style>
  <w:style w:type="paragraph" w:styleId="15">
    <w:name w:val="foot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6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7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8">
    <w:name w:val="footnote text"/>
    <w:basedOn w:val="1"/>
    <w:link w:val="62"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annotation subject"/>
    <w:basedOn w:val="8"/>
    <w:next w:val="8"/>
    <w:link w:val="45"/>
    <w:unhideWhenUsed/>
    <w:qFormat/>
    <w:uiPriority w:val="99"/>
    <w:rPr>
      <w:b/>
      <w:bCs/>
    </w:rPr>
  </w:style>
  <w:style w:type="paragraph" w:styleId="22">
    <w:name w:val="Body Text First Indent"/>
    <w:basedOn w:val="9"/>
    <w:qFormat/>
    <w:uiPriority w:val="0"/>
    <w:pPr>
      <w:ind w:firstLine="420" w:firstLineChars="100"/>
    </w:pPr>
  </w:style>
  <w:style w:type="table" w:styleId="24">
    <w:name w:val="Table Grid"/>
    <w:basedOn w:val="2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endnote reference"/>
    <w:unhideWhenUsed/>
    <w:qFormat/>
    <w:uiPriority w:val="99"/>
    <w:rPr>
      <w:vertAlign w:val="superscript"/>
    </w:rPr>
  </w:style>
  <w:style w:type="character" w:styleId="27">
    <w:name w:val="FollowedHyperlink"/>
    <w:unhideWhenUsed/>
    <w:qFormat/>
    <w:uiPriority w:val="99"/>
    <w:rPr>
      <w:color w:val="800080"/>
      <w:u w:val="single"/>
    </w:rPr>
  </w:style>
  <w:style w:type="character" w:styleId="28">
    <w:name w:val="Emphasis"/>
    <w:qFormat/>
    <w:uiPriority w:val="20"/>
    <w:rPr>
      <w:i/>
      <w:iCs/>
    </w:rPr>
  </w:style>
  <w:style w:type="character" w:styleId="29">
    <w:name w:val="Hyperlink"/>
    <w:unhideWhenUsed/>
    <w:qFormat/>
    <w:uiPriority w:val="99"/>
    <w:rPr>
      <w:color w:val="0000FF"/>
      <w:u w:val="single"/>
    </w:rPr>
  </w:style>
  <w:style w:type="character" w:styleId="30">
    <w:name w:val="annotation reference"/>
    <w:unhideWhenUsed/>
    <w:qFormat/>
    <w:uiPriority w:val="99"/>
    <w:rPr>
      <w:sz w:val="21"/>
      <w:szCs w:val="21"/>
    </w:rPr>
  </w:style>
  <w:style w:type="character" w:styleId="31">
    <w:name w:val="footnote reference"/>
    <w:unhideWhenUsed/>
    <w:qFormat/>
    <w:uiPriority w:val="99"/>
    <w:rPr>
      <w:vertAlign w:val="superscript"/>
    </w:rPr>
  </w:style>
  <w:style w:type="character" w:customStyle="1" w:styleId="32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33">
    <w:name w:val="批注文字 Char1"/>
    <w:link w:val="8"/>
    <w:qFormat/>
    <w:uiPriority w:val="99"/>
    <w:rPr>
      <w:kern w:val="2"/>
      <w:sz w:val="21"/>
      <w:szCs w:val="22"/>
    </w:rPr>
  </w:style>
  <w:style w:type="character" w:customStyle="1" w:styleId="34">
    <w:name w:val="已访问的超链接1"/>
    <w:unhideWhenUsed/>
    <w:qFormat/>
    <w:uiPriority w:val="99"/>
    <w:rPr>
      <w:color w:val="800080"/>
      <w:u w:val="single"/>
    </w:rPr>
  </w:style>
  <w:style w:type="character" w:customStyle="1" w:styleId="35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xl74 Char"/>
    <w:link w:val="37"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7">
    <w:name w:val="xl74"/>
    <w:basedOn w:val="1"/>
    <w:link w:val="36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8">
    <w:name w:val="闻政表 Char"/>
    <w:link w:val="39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9">
    <w:name w:val="闻政表"/>
    <w:basedOn w:val="1"/>
    <w:link w:val="38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40">
    <w:name w:val="页脚 Char"/>
    <w:link w:val="15"/>
    <w:qFormat/>
    <w:uiPriority w:val="99"/>
    <w:rPr>
      <w:sz w:val="18"/>
      <w:szCs w:val="18"/>
    </w:rPr>
  </w:style>
  <w:style w:type="character" w:customStyle="1" w:styleId="41">
    <w:name w:val="闻政标题2 Char"/>
    <w:link w:val="42"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42">
    <w:name w:val="闻政标题2"/>
    <w:basedOn w:val="4"/>
    <w:link w:val="41"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3">
    <w:name w:val="明显参考1"/>
    <w:qFormat/>
    <w:uiPriority w:val="0"/>
    <w:rPr>
      <w:b/>
      <w:bCs/>
      <w:smallCaps/>
      <w:color w:val="5B9BD5"/>
      <w:spacing w:val="5"/>
    </w:rPr>
  </w:style>
  <w:style w:type="character" w:customStyle="1" w:styleId="44">
    <w:name w:val="页眉 Char"/>
    <w:link w:val="16"/>
    <w:qFormat/>
    <w:uiPriority w:val="99"/>
    <w:rPr>
      <w:sz w:val="18"/>
      <w:szCs w:val="18"/>
    </w:rPr>
  </w:style>
  <w:style w:type="character" w:customStyle="1" w:styleId="45">
    <w:name w:val="批注主题 Char"/>
    <w:link w:val="21"/>
    <w:qFormat/>
    <w:uiPriority w:val="99"/>
    <w:rPr>
      <w:b/>
      <w:bCs/>
      <w:kern w:val="2"/>
      <w:sz w:val="21"/>
      <w:szCs w:val="22"/>
    </w:rPr>
  </w:style>
  <w:style w:type="character" w:customStyle="1" w:styleId="46">
    <w:name w:val="批注框文本 Char1"/>
    <w:semiHidden/>
    <w:qFormat/>
    <w:uiPriority w:val="99"/>
    <w:rPr>
      <w:kern w:val="2"/>
      <w:sz w:val="18"/>
      <w:szCs w:val="18"/>
    </w:rPr>
  </w:style>
  <w:style w:type="character" w:customStyle="1" w:styleId="47">
    <w:name w:val="闻政标题3 Char"/>
    <w:link w:val="48"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8">
    <w:name w:val="闻政标题3"/>
    <w:basedOn w:val="5"/>
    <w:link w:val="47"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9">
    <w:name w:val="批注主题 Char1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正文文本缩进 Char"/>
    <w:link w:val="11"/>
    <w:semiHidden/>
    <w:qFormat/>
    <w:uiPriority w:val="99"/>
    <w:rPr>
      <w:rFonts w:eastAsia="仿宋_GB2312"/>
      <w:sz w:val="28"/>
    </w:rPr>
  </w:style>
  <w:style w:type="character" w:customStyle="1" w:styleId="51">
    <w:name w:val="闻政表注 Char"/>
    <w:link w:val="52"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52">
    <w:name w:val="闻政表注"/>
    <w:basedOn w:val="1"/>
    <w:link w:val="51"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3">
    <w:name w:val="font6 Char"/>
    <w:link w:val="54"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4">
    <w:name w:val="font6"/>
    <w:basedOn w:val="1"/>
    <w:link w:val="5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5">
    <w:name w:val="文档结构图 Char1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6">
    <w:name w:val="闻政标题1 Char"/>
    <w:link w:val="57"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7">
    <w:name w:val="闻政标题1"/>
    <w:basedOn w:val="3"/>
    <w:link w:val="56"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8">
    <w:name w:val="脚注文本 Char1"/>
    <w:semiHidden/>
    <w:qFormat/>
    <w:uiPriority w:val="99"/>
    <w:rPr>
      <w:kern w:val="2"/>
      <w:sz w:val="18"/>
      <w:szCs w:val="18"/>
    </w:rPr>
  </w:style>
  <w:style w:type="character" w:customStyle="1" w:styleId="59">
    <w:name w:val="标题 3 Char"/>
    <w:link w:val="5"/>
    <w:qFormat/>
    <w:uiPriority w:val="9"/>
    <w:rPr>
      <w:b/>
      <w:bCs/>
      <w:sz w:val="32"/>
      <w:szCs w:val="32"/>
    </w:rPr>
  </w:style>
  <w:style w:type="character" w:customStyle="1" w:styleId="60">
    <w:name w:val="绩效评价 Char"/>
    <w:link w:val="61"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61">
    <w:name w:val="绩效评价"/>
    <w:basedOn w:val="3"/>
    <w:link w:val="60"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62">
    <w:name w:val="脚注文本 Char"/>
    <w:link w:val="18"/>
    <w:qFormat/>
    <w:uiPriority w:val="99"/>
    <w:rPr>
      <w:kern w:val="2"/>
      <w:sz w:val="18"/>
      <w:szCs w:val="18"/>
    </w:rPr>
  </w:style>
  <w:style w:type="character" w:customStyle="1" w:styleId="63">
    <w:name w:val="闻政标题6 Char"/>
    <w:link w:val="64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4">
    <w:name w:val="闻政标题6"/>
    <w:basedOn w:val="1"/>
    <w:link w:val="63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5">
    <w:name w:val="闻政标题4 Char"/>
    <w:link w:val="66"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6">
    <w:name w:val="闻政标题4"/>
    <w:basedOn w:val="4"/>
    <w:link w:val="65"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7">
    <w:name w:val="批注框文本 Char"/>
    <w:link w:val="14"/>
    <w:qFormat/>
    <w:uiPriority w:val="99"/>
    <w:rPr>
      <w:kern w:val="2"/>
      <w:sz w:val="18"/>
      <w:szCs w:val="18"/>
    </w:rPr>
  </w:style>
  <w:style w:type="character" w:customStyle="1" w:styleId="68">
    <w:name w:val="文档结构图 Char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9">
    <w:name w:val="列出段落 Char"/>
    <w:link w:val="70"/>
    <w:qFormat/>
    <w:uiPriority w:val="34"/>
  </w:style>
  <w:style w:type="paragraph" w:styleId="70">
    <w:name w:val="List Paragraph"/>
    <w:basedOn w:val="1"/>
    <w:link w:val="69"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71">
    <w:name w:val="闻政正文 Char"/>
    <w:link w:val="72"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72">
    <w:name w:val="闻政正文"/>
    <w:basedOn w:val="1"/>
    <w:link w:val="7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3">
    <w:name w:val="尾注文本 Char"/>
    <w:link w:val="13"/>
    <w:semiHidden/>
    <w:qFormat/>
    <w:uiPriority w:val="99"/>
    <w:rPr>
      <w:kern w:val="2"/>
      <w:sz w:val="21"/>
      <w:szCs w:val="22"/>
    </w:rPr>
  </w:style>
  <w:style w:type="character" w:customStyle="1" w:styleId="74">
    <w:name w:val="闻政标题5 Char"/>
    <w:link w:val="75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5">
    <w:name w:val="闻政标题5"/>
    <w:basedOn w:val="1"/>
    <w:link w:val="74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6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77">
    <w:name w:val="标题 2 Char"/>
    <w:link w:val="4"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8">
    <w:name w:val="font31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9">
    <w:name w:val="font7 Char"/>
    <w:link w:val="80"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80">
    <w:name w:val="font7"/>
    <w:basedOn w:val="1"/>
    <w:link w:val="79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81">
    <w:name w:val="闻政图 Char"/>
    <w:link w:val="82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82">
    <w:name w:val="闻政图"/>
    <w:basedOn w:val="1"/>
    <w:link w:val="81"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3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4">
    <w:name w:val="批注文字 Char"/>
    <w:qFormat/>
    <w:uiPriority w:val="99"/>
    <w:rPr>
      <w:kern w:val="2"/>
      <w:sz w:val="21"/>
      <w:szCs w:val="22"/>
    </w:rPr>
  </w:style>
  <w:style w:type="character" w:customStyle="1" w:styleId="85">
    <w:name w:val="文档结构图 Char"/>
    <w:link w:val="7"/>
    <w:qFormat/>
    <w:uiPriority w:val="99"/>
    <w:rPr>
      <w:rFonts w:ascii="宋体"/>
      <w:sz w:val="18"/>
      <w:szCs w:val="18"/>
    </w:rPr>
  </w:style>
  <w:style w:type="character" w:customStyle="1" w:styleId="86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87">
    <w:name w:val="succed-big2"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8">
    <w:name w:val="正文-闻政 Char"/>
    <w:link w:val="89"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9">
    <w:name w:val="正文-闻政"/>
    <w:link w:val="88"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90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1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7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8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大标题 一、"/>
    <w:basedOn w:val="1"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101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4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7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9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0">
    <w:name w:val="目录标题1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11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2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5">
    <w:name w:val="xl13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6">
    <w:name w:val="网格型浅色1"/>
    <w:basedOn w:val="23"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7">
    <w:name w:val="标题 4 Char"/>
    <w:link w:val="6"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8">
    <w:name w:val="z-窗体顶端1"/>
    <w:basedOn w:val="1"/>
    <w:link w:val="119"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9">
    <w:name w:val="z-窗体顶端 Char"/>
    <w:link w:val="118"/>
    <w:qFormat/>
    <w:uiPriority w:val="34"/>
    <w:rPr>
      <w:rFonts w:eastAsia="仿宋_GB2312"/>
      <w:lang w:val="zh-CN" w:eastAsia="zh-CN"/>
    </w:rPr>
  </w:style>
  <w:style w:type="character" w:customStyle="1" w:styleId="120">
    <w:name w:val="标题 Char"/>
    <w:link w:val="2"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21">
    <w:name w:val="不明显强调1"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6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7">
    <w:name w:val="xl8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8">
    <w:name w:val="xl8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9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0">
    <w:name w:val="xl9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1">
    <w:name w:val="xl9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2">
    <w:name w:val="xl9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3">
    <w:name w:val="xl9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4">
    <w:name w:val="xl9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5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6">
    <w:name w:val="xl9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7">
    <w:name w:val="xl9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8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9">
    <w:name w:val="xl9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40">
    <w:name w:val="xl10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41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3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4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WZ-格式刷！！！.dotm</Template>
  <Company>Sky123.Org</Company>
  <Pages>4</Pages>
  <Words>403</Words>
  <Characters>446</Characters>
  <Lines>7</Lines>
  <Paragraphs>2</Paragraphs>
  <TotalTime>1</TotalTime>
  <ScaleCrop>false</ScaleCrop>
  <LinksUpToDate>false</LinksUpToDate>
  <CharactersWithSpaces>447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2018-09-17T01:22:00Z</dcterms:created>
  <dc:creator>Sky123.Org</dc:creator>
  <cp:lastModifiedBy>Dell</cp:lastModifiedBy>
  <cp:lastPrinted>2017-07-28T05:17:00Z</cp:lastPrinted>
  <dcterms:modified xsi:type="dcterms:W3CDTF">2024-03-07T06:03:01Z</dcterms:modified>
  <dc:title>上海市促进文化创意产业发展财政扶持资金浦东新区配套资金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30F1EE3BC6C043628A04D9D05DEF89C1</vt:lpwstr>
  </property>
</Properties>
</file>