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pStyle w:val="2"/>
        <w:widowControl w:val="0"/>
        <w:spacing w:before="0" w:beforeAutospacing="0" w:after="0" w:afterAutospacing="0" w:line="590" w:lineRule="exact"/>
        <w:jc w:val="center"/>
        <w:rPr>
          <w:rFonts w:hint="eastAsia" w:ascii="Times New Roman" w:hAnsi="Times New Roman" w:eastAsia="方正小标宋简体" w:cs="宋体"/>
          <w:bCs/>
          <w:color w:val="000000"/>
          <w:kern w:val="2"/>
          <w:sz w:val="40"/>
          <w:szCs w:val="40"/>
          <w:lang w:val="zh-CN" w:eastAsia="zh-CN" w:bidi="ar-SA"/>
        </w:rPr>
      </w:pPr>
      <w:r>
        <w:rPr>
          <w:rFonts w:hint="eastAsia" w:ascii="Times New Roman" w:hAnsi="Times New Roman" w:eastAsia="方正小标宋简体" w:cs="宋体"/>
          <w:bCs/>
          <w:color w:val="000000"/>
          <w:kern w:val="2"/>
          <w:sz w:val="40"/>
          <w:szCs w:val="40"/>
          <w:lang w:val="zh-CN" w:eastAsia="zh-CN" w:bidi="ar-SA"/>
        </w:rPr>
        <w:t>2022年度</w:t>
      </w:r>
    </w:p>
    <w:p>
      <w:pPr>
        <w:pStyle w:val="2"/>
        <w:widowControl w:val="0"/>
        <w:spacing w:before="0" w:beforeAutospacing="0" w:after="0" w:afterAutospacing="0" w:line="590" w:lineRule="exact"/>
        <w:jc w:val="center"/>
        <w:rPr>
          <w:rFonts w:hint="eastAsia" w:ascii="宋体" w:hAnsi="宋体"/>
          <w:sz w:val="44"/>
          <w:szCs w:val="44"/>
          <w:lang w:val="zh-CN"/>
        </w:rPr>
      </w:pPr>
      <w:r>
        <w:rPr>
          <w:rFonts w:hint="eastAsia" w:ascii="Times New Roman" w:hAnsi="Times New Roman" w:eastAsia="方正小标宋简体" w:cs="宋体"/>
          <w:bCs/>
          <w:color w:val="000000"/>
          <w:kern w:val="2"/>
          <w:sz w:val="40"/>
          <w:szCs w:val="40"/>
          <w:lang w:val="zh-CN" w:eastAsia="zh-CN" w:bidi="ar-SA"/>
        </w:rPr>
        <w:t>合水县农业产业化发展中心部门决算</w:t>
      </w: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both"/>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黑体" w:hAnsi="黑体" w:eastAsia="黑体" w:cs="黑体"/>
          <w:sz w:val="32"/>
          <w:szCs w:val="32"/>
          <w:lang w:val="zh-CN"/>
        </w:rPr>
      </w:pPr>
      <w:r>
        <w:rPr>
          <w:rFonts w:hint="eastAsia" w:ascii="黑体" w:hAnsi="黑体" w:eastAsia="黑体" w:cs="黑体"/>
          <w:b/>
          <w:sz w:val="32"/>
          <w:szCs w:val="32"/>
          <w:lang w:val="zh-CN"/>
        </w:rPr>
        <w:t>第一部分部门概况</w:t>
      </w:r>
    </w:p>
    <w:p>
      <w:pPr>
        <w:spacing w:before="100" w:beforeLines="0" w:after="100" w:afterLines="0"/>
        <w:jc w:val="left"/>
        <w:rPr>
          <w:rFonts w:hint="eastAsia" w:ascii="Times New Roman" w:hAnsi="Times New Roman" w:eastAsia="黑体" w:cs="Times New Roman"/>
          <w:color w:val="000000"/>
          <w:kern w:val="2"/>
          <w:sz w:val="32"/>
          <w:szCs w:val="32"/>
          <w:lang w:val="zh-CN" w:eastAsia="zh-CN" w:bidi="ar-SA"/>
        </w:rPr>
      </w:pPr>
      <w:r>
        <w:rPr>
          <w:rFonts w:hint="eastAsia" w:ascii="Times New Roman" w:hAnsi="Times New Roman" w:eastAsia="黑体" w:cs="Times New Roman"/>
          <w:color w:val="000000"/>
          <w:kern w:val="2"/>
          <w:sz w:val="32"/>
          <w:szCs w:val="32"/>
          <w:lang w:val="zh-CN" w:eastAsia="zh-CN" w:bidi="ar-SA"/>
        </w:rPr>
        <w:t>一、部门职责</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主要职能</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（一）贯彻落实国家、省、市、县有关农业产业化发展及高标准农田建设工作的法律、法规和政策；</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（二）承办全县高标准农田建设项目可研、初设方案申报评审、项目实施、竣工验收以及项目形成资产移交管护工作；</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（三）负责开展全县农业产业化发展及高标准农田建设项目</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工作情况调研，并提出建议和意见;</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（四）承担全县农业产业化龙头企业培育扶持工作；</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（五）会同有关单位共同做好合水县特色农产品品牌培育及产品宣传推介工作；</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宋体" w:hAnsi="宋体" w:eastAsia="宋体"/>
          <w:sz w:val="24"/>
          <w:szCs w:val="24"/>
          <w:lang w:val="en-US" w:eastAsia="zh-CN"/>
        </w:rPr>
      </w:pPr>
      <w:r>
        <w:rPr>
          <w:rFonts w:hint="eastAsia" w:ascii="Times New Roman" w:hAnsi="Times New Roman" w:eastAsia="仿宋_GB2312" w:cs="Times New Roman"/>
          <w:color w:val="000000"/>
          <w:kern w:val="2"/>
          <w:sz w:val="32"/>
          <w:szCs w:val="32"/>
          <w:lang w:val="en-US" w:eastAsia="zh-CN" w:bidi="ar-SA"/>
        </w:rPr>
        <w:t>（六）完成局交办的其它工作。</w:t>
      </w:r>
    </w:p>
    <w:p>
      <w:pPr>
        <w:spacing w:before="100" w:beforeLines="0" w:after="100" w:afterLines="0"/>
        <w:jc w:val="left"/>
        <w:rPr>
          <w:rFonts w:hint="eastAsia" w:ascii="Times New Roman" w:hAnsi="Times New Roman" w:eastAsia="黑体" w:cs="Times New Roman"/>
          <w:color w:val="000000"/>
          <w:kern w:val="2"/>
          <w:sz w:val="32"/>
          <w:szCs w:val="32"/>
          <w:lang w:val="zh-CN" w:eastAsia="zh-CN" w:bidi="ar-SA"/>
        </w:rPr>
      </w:pPr>
      <w:r>
        <w:rPr>
          <w:rFonts w:hint="eastAsia" w:ascii="Times New Roman" w:hAnsi="Times New Roman" w:eastAsia="黑体" w:cs="Times New Roman"/>
          <w:color w:val="000000"/>
          <w:kern w:val="2"/>
          <w:sz w:val="32"/>
          <w:szCs w:val="32"/>
          <w:lang w:val="zh-CN" w:eastAsia="zh-CN" w:bidi="ar-SA"/>
        </w:rPr>
        <w:t>二、机构设置</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县农业产业化发展中心设下列内设机构：办公室、财务股、产业化股、农田建设股本单位属事业单位，执行事业单位会计制度，单位年末总人数为14人，其中：在职12人，退休2人。</w:t>
      </w:r>
    </w:p>
    <w:p>
      <w:pPr>
        <w:spacing w:before="100" w:beforeLines="0" w:after="100" w:afterLines="0"/>
        <w:jc w:val="center"/>
        <w:rPr>
          <w:rFonts w:hint="eastAsia" w:ascii="黑体" w:hAnsi="黑体" w:eastAsia="黑体" w:cs="黑体"/>
          <w:b/>
          <w:sz w:val="32"/>
          <w:szCs w:val="32"/>
          <w:lang w:val="zh-CN"/>
        </w:rPr>
      </w:pPr>
      <w:r>
        <w:rPr>
          <w:rFonts w:hint="eastAsia" w:ascii="黑体" w:hAnsi="黑体" w:eastAsia="黑体" w:cs="黑体"/>
          <w:b/>
          <w:sz w:val="32"/>
          <w:szCs w:val="32"/>
          <w:lang w:val="zh-CN"/>
        </w:rPr>
        <w:t>第二部分2022年度部门决算表</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一、收入支出决算总表（见附件）</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二、收入决算表（见附件）</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三、支出决算表（见附件）</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四、财政拨款收入支出决算总表（见附件）</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五、一般公共预算财政拨款支出决算表（见附件）</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六、一般公共预算财政拨款基本支出决算明细表（见附件）</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七、政府性基金预算财政拨款收入支出决算表（</w:t>
      </w:r>
      <w:r>
        <w:rPr>
          <w:rFonts w:hint="eastAsia" w:ascii="Times New Roman" w:hAnsi="Times New Roman" w:eastAsia="仿宋_GB2312" w:cs="Times New Roman"/>
          <w:color w:val="000000"/>
          <w:kern w:val="2"/>
          <w:sz w:val="32"/>
          <w:szCs w:val="32"/>
          <w:lang w:val="en-US" w:eastAsia="zh-CN" w:bidi="ar-SA"/>
        </w:rPr>
        <w:t>本部门没有相关数据，故本表无数据</w:t>
      </w:r>
      <w:r>
        <w:rPr>
          <w:rFonts w:hint="eastAsia" w:ascii="Times New Roman" w:hAnsi="Times New Roman" w:eastAsia="仿宋_GB2312" w:cs="Times New Roman"/>
          <w:color w:val="000000"/>
          <w:kern w:val="2"/>
          <w:sz w:val="32"/>
          <w:szCs w:val="32"/>
          <w:lang w:val="zh-CN" w:eastAsia="zh-CN" w:bidi="ar-SA"/>
        </w:rPr>
        <w:t>）</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八、国有资本经营预算财政拨款支出决算表（</w:t>
      </w:r>
      <w:r>
        <w:rPr>
          <w:rFonts w:hint="eastAsia" w:ascii="Times New Roman" w:hAnsi="Times New Roman" w:eastAsia="仿宋_GB2312" w:cs="Times New Roman"/>
          <w:color w:val="000000"/>
          <w:kern w:val="2"/>
          <w:sz w:val="32"/>
          <w:szCs w:val="32"/>
          <w:lang w:val="en-US" w:eastAsia="zh-CN" w:bidi="ar-SA"/>
        </w:rPr>
        <w:t>本部门没有相关数据，故本表无数据</w:t>
      </w:r>
      <w:r>
        <w:rPr>
          <w:rFonts w:hint="eastAsia" w:ascii="Times New Roman" w:hAnsi="Times New Roman" w:eastAsia="仿宋_GB2312" w:cs="Times New Roman"/>
          <w:color w:val="000000"/>
          <w:kern w:val="2"/>
          <w:sz w:val="32"/>
          <w:szCs w:val="32"/>
          <w:lang w:val="zh-CN" w:eastAsia="zh-CN" w:bidi="ar-SA"/>
        </w:rPr>
        <w:t>）</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宋体" w:hAnsi="宋体"/>
          <w:color w:val="auto"/>
          <w:sz w:val="24"/>
          <w:szCs w:val="24"/>
          <w:lang w:val="zh-CN"/>
        </w:rPr>
      </w:pPr>
      <w:r>
        <w:rPr>
          <w:rFonts w:hint="eastAsia" w:ascii="Times New Roman" w:hAnsi="Times New Roman" w:eastAsia="仿宋_GB2312" w:cs="Times New Roman"/>
          <w:color w:val="000000"/>
          <w:kern w:val="2"/>
          <w:sz w:val="32"/>
          <w:szCs w:val="32"/>
          <w:lang w:val="zh-CN" w:eastAsia="zh-CN" w:bidi="ar-SA"/>
        </w:rPr>
        <w:t>九、财政拨款</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三公</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经费支出决算表（见附件）</w:t>
      </w:r>
    </w:p>
    <w:p>
      <w:pPr>
        <w:spacing w:before="100" w:beforeLines="0" w:after="100" w:afterLines="0"/>
        <w:jc w:val="center"/>
        <w:rPr>
          <w:rFonts w:hint="eastAsia" w:ascii="黑体" w:hAnsi="黑体" w:eastAsia="黑体" w:cs="黑体"/>
          <w:b/>
          <w:sz w:val="32"/>
          <w:szCs w:val="32"/>
          <w:lang w:val="zh-CN"/>
        </w:rPr>
      </w:pPr>
      <w:r>
        <w:rPr>
          <w:rFonts w:hint="eastAsia" w:ascii="黑体" w:hAnsi="黑体" w:eastAsia="黑体" w:cs="黑体"/>
          <w:b/>
          <w:sz w:val="32"/>
          <w:szCs w:val="32"/>
          <w:lang w:val="zh-CN"/>
        </w:rPr>
        <w:t>第三部分2022年度部门决算情况说明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一、收入支出决算总体情况说明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zh-CN" w:eastAsia="zh-CN" w:bidi="ar-SA"/>
        </w:rPr>
        <w:t>2022年度收、支总计</w:t>
      </w:r>
      <w:r>
        <w:rPr>
          <w:rFonts w:hint="eastAsia" w:ascii="Times New Roman" w:hAnsi="Times New Roman" w:eastAsia="仿宋_GB2312" w:cs="Times New Roman"/>
          <w:color w:val="000000"/>
          <w:kern w:val="2"/>
          <w:sz w:val="32"/>
          <w:szCs w:val="32"/>
          <w:lang w:val="en-US" w:eastAsia="zh-CN" w:bidi="ar-SA"/>
        </w:rPr>
        <w:t>均为</w:t>
      </w:r>
      <w:r>
        <w:rPr>
          <w:rFonts w:hint="eastAsia" w:ascii="Times New Roman" w:hAnsi="Times New Roman" w:eastAsia="仿宋_GB2312" w:cs="Times New Roman"/>
          <w:color w:val="000000"/>
          <w:kern w:val="2"/>
          <w:sz w:val="32"/>
          <w:szCs w:val="32"/>
          <w:lang w:val="zh-CN" w:eastAsia="zh-CN" w:bidi="ar-SA"/>
        </w:rPr>
        <w:t>331.17万元。</w:t>
      </w:r>
      <w:r>
        <w:rPr>
          <w:rFonts w:hint="eastAsia" w:ascii="Times New Roman" w:hAnsi="Times New Roman" w:eastAsia="仿宋_GB2312" w:cs="Times New Roman"/>
          <w:color w:val="000000"/>
          <w:kern w:val="2"/>
          <w:sz w:val="32"/>
          <w:szCs w:val="32"/>
          <w:lang w:val="en-US" w:eastAsia="zh-CN" w:bidi="ar-SA"/>
        </w:rPr>
        <w:t>与上年度相比,</w:t>
      </w:r>
      <w:r>
        <w:rPr>
          <w:rFonts w:hint="eastAsia" w:ascii="Times New Roman" w:hAnsi="Times New Roman" w:eastAsia="仿宋_GB2312" w:cs="Times New Roman"/>
          <w:color w:val="000000"/>
          <w:kern w:val="2"/>
          <w:sz w:val="32"/>
          <w:szCs w:val="32"/>
          <w:lang w:val="zh-CN" w:eastAsia="zh-CN" w:bidi="ar-SA"/>
        </w:rPr>
        <w:t>收、支</w:t>
      </w:r>
      <w:r>
        <w:rPr>
          <w:rFonts w:hint="eastAsia" w:ascii="Times New Roman" w:hAnsi="Times New Roman" w:eastAsia="仿宋_GB2312" w:cs="Times New Roman"/>
          <w:color w:val="000000"/>
          <w:kern w:val="2"/>
          <w:sz w:val="32"/>
          <w:szCs w:val="32"/>
          <w:lang w:val="en-US" w:eastAsia="zh-CN" w:bidi="ar-SA"/>
        </w:rPr>
        <w:t>总计各</w:t>
      </w:r>
      <w:r>
        <w:rPr>
          <w:rFonts w:hint="eastAsia" w:ascii="Times New Roman" w:hAnsi="Times New Roman" w:eastAsia="仿宋_GB2312" w:cs="Times New Roman"/>
          <w:color w:val="000000"/>
          <w:kern w:val="2"/>
          <w:sz w:val="32"/>
          <w:szCs w:val="32"/>
          <w:lang w:val="zh-CN" w:eastAsia="zh-CN" w:bidi="ar-SA"/>
        </w:rPr>
        <w:t>增加106.57万元,增长47.46%,主要原因是工资提标、下欠</w:t>
      </w:r>
      <w:r>
        <w:rPr>
          <w:rFonts w:hint="eastAsia" w:ascii="Times New Roman" w:hAnsi="Times New Roman" w:eastAsia="仿宋_GB2312" w:cs="Times New Roman"/>
          <w:color w:val="000000"/>
          <w:kern w:val="2"/>
          <w:sz w:val="32"/>
          <w:szCs w:val="32"/>
          <w:lang w:val="en-US" w:eastAsia="zh-CN" w:bidi="ar-SA"/>
        </w:rPr>
        <w:t>2017年工程款等。</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二、收入决算情况说明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2022年度收入合计331.17万元,其中：财政拨款收入188.19万元,占56.83%；</w:t>
      </w:r>
      <w:r>
        <w:rPr>
          <w:rFonts w:hint="eastAsia" w:ascii="Times New Roman" w:hAnsi="Times New Roman" w:eastAsia="仿宋_GB2312" w:cs="Times New Roman"/>
          <w:color w:val="000000"/>
          <w:kern w:val="2"/>
          <w:sz w:val="32"/>
          <w:szCs w:val="32"/>
          <w:lang w:val="en-US" w:eastAsia="zh-CN" w:bidi="ar-SA"/>
        </w:rPr>
        <w:t>其他</w:t>
      </w:r>
      <w:r>
        <w:rPr>
          <w:rFonts w:hint="eastAsia" w:ascii="Times New Roman" w:hAnsi="Times New Roman" w:eastAsia="仿宋_GB2312" w:cs="Times New Roman"/>
          <w:color w:val="000000"/>
          <w:kern w:val="2"/>
          <w:sz w:val="32"/>
          <w:szCs w:val="32"/>
          <w:lang w:val="zh-CN" w:eastAsia="zh-CN" w:bidi="ar-SA"/>
        </w:rPr>
        <w:t>收入142.98万元,占43.17%。</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三、支出决算情况说明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2022年度支出合计331.17万元,其中：基本支出158.19万元,占47.77%；项目支出172.98万元,占52.23%。</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四、财政拨款收入支出决算总体情况说明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2022年度财政拨款收、支总计</w:t>
      </w:r>
      <w:r>
        <w:rPr>
          <w:rFonts w:hint="eastAsia" w:ascii="Times New Roman" w:hAnsi="Times New Roman" w:eastAsia="仿宋_GB2312" w:cs="Times New Roman"/>
          <w:color w:val="000000"/>
          <w:kern w:val="2"/>
          <w:sz w:val="32"/>
          <w:szCs w:val="32"/>
          <w:lang w:val="en-US" w:eastAsia="zh-CN" w:bidi="ar-SA"/>
        </w:rPr>
        <w:t>均为</w:t>
      </w:r>
      <w:r>
        <w:rPr>
          <w:rFonts w:hint="eastAsia" w:ascii="Times New Roman" w:hAnsi="Times New Roman" w:eastAsia="仿宋_GB2312" w:cs="Times New Roman"/>
          <w:color w:val="000000"/>
          <w:kern w:val="2"/>
          <w:sz w:val="32"/>
          <w:szCs w:val="32"/>
          <w:lang w:val="zh-CN" w:eastAsia="zh-CN" w:bidi="ar-SA"/>
        </w:rPr>
        <w:t>188.19万元。与</w:t>
      </w:r>
      <w:r>
        <w:rPr>
          <w:rFonts w:hint="eastAsia" w:ascii="Times New Roman" w:hAnsi="Times New Roman" w:eastAsia="仿宋_GB2312" w:cs="Times New Roman"/>
          <w:color w:val="000000"/>
          <w:kern w:val="2"/>
          <w:sz w:val="32"/>
          <w:szCs w:val="32"/>
          <w:lang w:val="en-US" w:eastAsia="zh-CN" w:bidi="ar-SA"/>
        </w:rPr>
        <w:t>上</w:t>
      </w:r>
      <w:r>
        <w:rPr>
          <w:rFonts w:hint="eastAsia" w:ascii="Times New Roman" w:hAnsi="Times New Roman" w:eastAsia="仿宋_GB2312" w:cs="Times New Roman"/>
          <w:color w:val="000000"/>
          <w:kern w:val="2"/>
          <w:sz w:val="32"/>
          <w:szCs w:val="32"/>
          <w:lang w:val="zh-CN" w:eastAsia="zh-CN" w:bidi="ar-SA"/>
        </w:rPr>
        <w:t>年相比,各减少36.4万元,下降16.21%。主要原因是厉行节约，减少支出。</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2022年度一般公共预算财政拨款支出188.19万元,较上年决算数减少36.4万元,下降16.21%。主要原因是厉行节约，减少支出。</w:t>
      </w:r>
    </w:p>
    <w:p>
      <w:pPr>
        <w:keepNext w:val="0"/>
        <w:keepLines w:val="0"/>
        <w:pageBreakBefore w:val="0"/>
        <w:widowControl/>
        <w:numPr>
          <w:ilvl w:val="0"/>
          <w:numId w:val="0"/>
        </w:numPr>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宋体" w:hAnsi="宋体"/>
          <w:b/>
          <w:color w:val="auto"/>
          <w:sz w:val="24"/>
          <w:szCs w:val="24"/>
          <w:lang w:val="en-US" w:eastAsia="zh-CN"/>
        </w:rPr>
        <w:t>1.</w:t>
      </w:r>
      <w:r>
        <w:rPr>
          <w:rFonts w:hint="eastAsia" w:ascii="宋体" w:hAnsi="宋体"/>
          <w:b/>
          <w:color w:val="auto"/>
          <w:sz w:val="24"/>
          <w:szCs w:val="24"/>
          <w:lang w:val="zh-CN"/>
        </w:rPr>
        <w:t>一般公共服务支出</w:t>
      </w:r>
      <w:r>
        <w:rPr>
          <w:rFonts w:hint="eastAsia" w:ascii="Times New Roman" w:hAnsi="Times New Roman" w:eastAsia="仿宋_GB2312" w:cs="Times New Roman"/>
          <w:color w:val="000000"/>
          <w:kern w:val="2"/>
          <w:sz w:val="32"/>
          <w:szCs w:val="32"/>
          <w:lang w:val="zh-CN" w:eastAsia="zh-CN" w:bidi="ar-SA"/>
        </w:rPr>
        <w:t>年初预算数为22.25万元,支出决算为22.25万元,完成年初预算的100.0%。</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宋体" w:hAnsi="宋体"/>
          <w:b/>
          <w:color w:val="auto"/>
          <w:sz w:val="24"/>
          <w:szCs w:val="24"/>
          <w:lang w:val="en-US" w:eastAsia="zh-CN"/>
        </w:rPr>
        <w:t>2</w:t>
      </w:r>
      <w:r>
        <w:rPr>
          <w:rFonts w:hint="eastAsia" w:ascii="宋体" w:hAnsi="宋体"/>
          <w:b/>
          <w:color w:val="auto"/>
          <w:sz w:val="24"/>
          <w:szCs w:val="24"/>
          <w:lang w:val="zh-CN"/>
        </w:rPr>
        <w:t>．社会保障和就业支出</w:t>
      </w:r>
      <w:r>
        <w:rPr>
          <w:rFonts w:hint="eastAsia" w:ascii="Times New Roman" w:hAnsi="Times New Roman" w:eastAsia="仿宋_GB2312" w:cs="Times New Roman"/>
          <w:color w:val="000000"/>
          <w:kern w:val="2"/>
          <w:sz w:val="32"/>
          <w:szCs w:val="32"/>
          <w:lang w:val="zh-CN" w:eastAsia="zh-CN" w:bidi="ar-SA"/>
        </w:rPr>
        <w:t>年初预算数为13.20万元,支出决算为13.20万元,完成年初预算的100.0%。</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ascii="宋体" w:hAnsi="宋体"/>
          <w:b/>
          <w:color w:val="auto"/>
          <w:sz w:val="24"/>
          <w:szCs w:val="24"/>
          <w:lang w:val="en-US" w:eastAsia="zh-CN"/>
        </w:rPr>
        <w:t>3</w:t>
      </w:r>
      <w:r>
        <w:rPr>
          <w:rFonts w:hint="eastAsia" w:ascii="宋体" w:hAnsi="宋体"/>
          <w:b/>
          <w:color w:val="auto"/>
          <w:sz w:val="24"/>
          <w:szCs w:val="24"/>
          <w:lang w:val="zh-CN"/>
        </w:rPr>
        <w:t>．农林水支出</w:t>
      </w:r>
      <w:r>
        <w:rPr>
          <w:rFonts w:hint="eastAsia" w:ascii="Times New Roman" w:hAnsi="Times New Roman" w:eastAsia="仿宋_GB2312" w:cs="Times New Roman"/>
          <w:color w:val="000000"/>
          <w:kern w:val="2"/>
          <w:sz w:val="32"/>
          <w:szCs w:val="32"/>
          <w:lang w:val="zh-CN" w:eastAsia="zh-CN" w:bidi="ar-SA"/>
        </w:rPr>
        <w:t>年初预算数为59.63万元,支出决算为152.74万元,完成年初预算的256.12%,决算数大于预算数的主要原因是支出</w:t>
      </w:r>
      <w:r>
        <w:rPr>
          <w:rFonts w:hint="eastAsia" w:ascii="Times New Roman" w:hAnsi="Times New Roman" w:eastAsia="仿宋_GB2312" w:cs="Times New Roman"/>
          <w:color w:val="000000"/>
          <w:kern w:val="2"/>
          <w:sz w:val="32"/>
          <w:szCs w:val="32"/>
          <w:lang w:val="en-US" w:eastAsia="zh-CN" w:bidi="ar-SA"/>
        </w:rPr>
        <w:t>2017年下欠工程款。</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2022年度一般公共预算财政拨款基本支出158.19万元。其中：</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宋体" w:hAnsi="宋体"/>
          <w:b/>
          <w:color w:val="auto"/>
          <w:sz w:val="24"/>
          <w:szCs w:val="24"/>
          <w:lang w:val="zh-CN"/>
        </w:rPr>
        <w:t>人员经费</w:t>
      </w:r>
      <w:r>
        <w:rPr>
          <w:rFonts w:hint="eastAsia" w:ascii="Times New Roman" w:hAnsi="Times New Roman" w:eastAsia="仿宋_GB2312" w:cs="Times New Roman"/>
          <w:color w:val="000000"/>
          <w:kern w:val="2"/>
          <w:sz w:val="32"/>
          <w:szCs w:val="32"/>
          <w:lang w:val="zh-CN" w:eastAsia="zh-CN" w:bidi="ar-SA"/>
        </w:rPr>
        <w:t>146.93万元,较上年决算数增加19.75万元,增长15.53%,主要原因是工资提标等。人员经费用途主要包括基本工资、津贴补贴、社会保障缴费等</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公用经费11.26万元,较上年决算数减少1.15万元,下降9.33%,主要原因是厉行节约，减少开支。公用经费用途主要包括办公费、水费、电费、暖气费、邮电费等。</w:t>
      </w:r>
      <w:r>
        <w:rPr>
          <w:rFonts w:hint="eastAsia" w:ascii="Times New Roman" w:hAnsi="Times New Roman" w:eastAsia="仿宋_GB2312" w:cs="Times New Roman"/>
          <w:color w:val="000000"/>
          <w:kern w:val="2"/>
          <w:sz w:val="32"/>
          <w:szCs w:val="32"/>
          <w:lang w:val="en-US" w:eastAsia="zh-CN" w:bidi="ar-SA"/>
        </w:rPr>
        <w:t>七</w:t>
      </w:r>
      <w:r>
        <w:rPr>
          <w:rFonts w:hint="eastAsia" w:ascii="Times New Roman" w:hAnsi="Times New Roman" w:eastAsia="仿宋_GB2312" w:cs="Times New Roman"/>
          <w:color w:val="000000"/>
          <w:kern w:val="2"/>
          <w:sz w:val="32"/>
          <w:szCs w:val="32"/>
          <w:lang w:val="zh-CN" w:eastAsia="zh-CN" w:bidi="ar-SA"/>
        </w:rPr>
        <w:t>、机关运行经费支出情况说明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我单位2022年度无机关运行相关经费</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en-US" w:eastAsia="zh-CN" w:bidi="ar-SA"/>
        </w:rPr>
        <w:t>八</w:t>
      </w:r>
      <w:r>
        <w:rPr>
          <w:rFonts w:hint="eastAsia" w:ascii="Times New Roman" w:hAnsi="Times New Roman" w:eastAsia="仿宋_GB2312" w:cs="Times New Roman"/>
          <w:color w:val="000000"/>
          <w:kern w:val="2"/>
          <w:sz w:val="32"/>
          <w:szCs w:val="32"/>
          <w:lang w:val="zh-CN" w:eastAsia="zh-CN" w:bidi="ar-SA"/>
        </w:rPr>
        <w:t>、政府采购支出情况说明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我单位2022年度无政府采购相关经费</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en-US" w:eastAsia="zh-CN" w:bidi="ar-SA"/>
        </w:rPr>
        <w:t>九</w:t>
      </w:r>
      <w:r>
        <w:rPr>
          <w:rFonts w:hint="eastAsia" w:ascii="Times New Roman" w:hAnsi="Times New Roman" w:eastAsia="仿宋_GB2312" w:cs="Times New Roman"/>
          <w:color w:val="000000"/>
          <w:kern w:val="2"/>
          <w:sz w:val="32"/>
          <w:szCs w:val="32"/>
          <w:lang w:val="zh-CN" w:eastAsia="zh-CN" w:bidi="ar-SA"/>
        </w:rPr>
        <w:t>、国有资产占用情况说明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zh-CN" w:eastAsia="zh-CN" w:bidi="ar-SA"/>
        </w:rPr>
        <w:t>截至2022年12月31日,单位固定资产期末账面数原值</w:t>
      </w:r>
      <w:r>
        <w:rPr>
          <w:rFonts w:hint="eastAsia" w:ascii="Times New Roman" w:hAnsi="Times New Roman" w:eastAsia="仿宋_GB2312" w:cs="Times New Roman"/>
          <w:color w:val="000000"/>
          <w:kern w:val="2"/>
          <w:sz w:val="32"/>
          <w:szCs w:val="32"/>
          <w:lang w:val="en-US" w:eastAsia="zh-CN" w:bidi="ar-SA"/>
        </w:rPr>
        <w:t>16.15万元，累计折旧12.43万元，净值3.72万元。</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十、政府性基金预算财政拨款收支决算情况说明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本部门2022年度无政府性基金收入,也没有使用政府性基金安排的支出。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本部门2022年度没有使用国有资本经营预算安排的支出。</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en-US" w:eastAsia="zh-CN" w:bidi="ar-SA"/>
        </w:rPr>
        <w:t>十二</w:t>
      </w:r>
      <w:r>
        <w:rPr>
          <w:rFonts w:hint="eastAsia" w:ascii="Times New Roman" w:hAnsi="Times New Roman" w:eastAsia="仿宋_GB2312" w:cs="Times New Roman"/>
          <w:color w:val="000000"/>
          <w:kern w:val="2"/>
          <w:sz w:val="32"/>
          <w:szCs w:val="32"/>
          <w:lang w:val="zh-CN" w:eastAsia="zh-CN" w:bidi="ar-SA"/>
        </w:rPr>
        <w:t>、财政拨款</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三公</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经费支出决算情况说明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宋体" w:hAnsi="宋体"/>
          <w:color w:val="auto"/>
          <w:sz w:val="24"/>
          <w:szCs w:val="24"/>
          <w:lang w:val="zh-CN"/>
        </w:rPr>
      </w:pPr>
      <w:r>
        <w:rPr>
          <w:rFonts w:hint="eastAsia" w:ascii="宋体" w:hAnsi="宋体"/>
          <w:b/>
          <w:color w:val="auto"/>
          <w:sz w:val="24"/>
          <w:szCs w:val="24"/>
          <w:lang w:val="zh-CN"/>
        </w:rPr>
        <w:t>(一)</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经费财政拨款支出总体情况说明</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2022年度</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三公</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经费支出</w:t>
      </w:r>
      <w:r>
        <w:rPr>
          <w:rFonts w:hint="eastAsia" w:ascii="Times New Roman" w:hAnsi="Times New Roman" w:eastAsia="仿宋_GB2312" w:cs="Times New Roman"/>
          <w:color w:val="000000"/>
          <w:kern w:val="2"/>
          <w:sz w:val="32"/>
          <w:szCs w:val="32"/>
          <w:lang w:val="en-US" w:eastAsia="zh-CN" w:bidi="ar-SA"/>
        </w:rPr>
        <w:t>全年</w:t>
      </w:r>
      <w:r>
        <w:rPr>
          <w:rFonts w:hint="eastAsia" w:ascii="Times New Roman" w:hAnsi="Times New Roman" w:eastAsia="仿宋_GB2312" w:cs="Times New Roman"/>
          <w:color w:val="000000"/>
          <w:kern w:val="2"/>
          <w:sz w:val="32"/>
          <w:szCs w:val="32"/>
          <w:lang w:val="zh-CN" w:eastAsia="zh-CN" w:bidi="ar-SA"/>
        </w:rPr>
        <w:t>预算数为0.47万元,支出决算为0.08万元,决算数小于预算数的主要原因是厉行节约，减少支出，</w:t>
      </w:r>
      <w:r>
        <w:rPr>
          <w:rFonts w:hint="eastAsia" w:ascii="Times New Roman" w:hAnsi="Times New Roman" w:eastAsia="仿宋_GB2312" w:cs="Times New Roman"/>
          <w:color w:val="000000"/>
          <w:kern w:val="2"/>
          <w:sz w:val="32"/>
          <w:szCs w:val="32"/>
          <w:lang w:val="en-US" w:eastAsia="zh-CN" w:bidi="ar-SA"/>
        </w:rPr>
        <w:t>较上年决算数减少0.24</w:t>
      </w:r>
      <w:r>
        <w:rPr>
          <w:rFonts w:hint="eastAsia" w:ascii="Times New Roman" w:hAnsi="Times New Roman" w:eastAsia="仿宋_GB2312" w:cs="Times New Roman"/>
          <w:color w:val="000000"/>
          <w:kern w:val="2"/>
          <w:sz w:val="32"/>
          <w:szCs w:val="32"/>
          <w:lang w:val="zh-CN" w:eastAsia="zh-CN" w:bidi="ar-SA"/>
        </w:rPr>
        <w:t>万元</w:t>
      </w:r>
      <w:r>
        <w:rPr>
          <w:rFonts w:hint="eastAsia" w:ascii="Times New Roman" w:hAnsi="Times New Roman" w:eastAsia="仿宋_GB2312" w:cs="Times New Roman"/>
          <w:color w:val="000000"/>
          <w:kern w:val="2"/>
          <w:sz w:val="32"/>
          <w:szCs w:val="32"/>
          <w:lang w:val="en-US" w:eastAsia="zh-CN" w:bidi="ar-SA"/>
        </w:rPr>
        <w:t>,下降74.69</w:t>
      </w:r>
      <w:r>
        <w:rPr>
          <w:rFonts w:hint="eastAsia"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,主要原因是厉行节约，减少支出</w:t>
      </w:r>
      <w:r>
        <w:rPr>
          <w:rFonts w:hint="eastAsia" w:ascii="Times New Roman" w:hAnsi="Times New Roman" w:eastAsia="仿宋_GB2312" w:cs="Times New Roman"/>
          <w:color w:val="000000"/>
          <w:kern w:val="2"/>
          <w:sz w:val="32"/>
          <w:szCs w:val="32"/>
          <w:lang w:val="zh-CN" w:eastAsia="zh-CN" w:bidi="ar-SA"/>
        </w:rPr>
        <w:t>。</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(二)</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经费财政拨款支出决算具体情况说明</w:t>
      </w:r>
    </w:p>
    <w:p>
      <w:pPr>
        <w:spacing w:before="100" w:beforeLines="0" w:after="100" w:afterLines="0"/>
        <w:jc w:val="left"/>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宋体"/>
          <w:b/>
          <w:color w:val="auto"/>
          <w:sz w:val="24"/>
          <w:szCs w:val="24"/>
          <w:lang w:val="en-US" w:eastAsia="zh-CN"/>
        </w:rPr>
        <w:t>1.</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公务接待费</w:t>
      </w:r>
      <w:r>
        <w:rPr>
          <w:rFonts w:hint="eastAsia" w:ascii="Times New Roman" w:hAnsi="Times New Roman" w:eastAsia="仿宋_GB2312" w:cs="Times New Roman"/>
          <w:color w:val="000000"/>
          <w:kern w:val="2"/>
          <w:sz w:val="32"/>
          <w:szCs w:val="32"/>
          <w:lang w:val="en-US" w:eastAsia="zh-CN" w:bidi="ar-SA"/>
        </w:rPr>
        <w:t>全</w:t>
      </w:r>
      <w:r>
        <w:rPr>
          <w:rFonts w:hint="eastAsia" w:ascii="Times New Roman" w:hAnsi="Times New Roman" w:eastAsia="仿宋_GB2312" w:cs="Times New Roman"/>
          <w:color w:val="000000"/>
          <w:kern w:val="2"/>
          <w:sz w:val="32"/>
          <w:szCs w:val="32"/>
          <w:lang w:val="zh-CN" w:eastAsia="zh-CN" w:bidi="ar-SA"/>
        </w:rPr>
        <w:t>年预算数为0.47万元,支出决算为0.08万元,决算数小于预算数的主要原因是厉行节约，减少开支，</w:t>
      </w:r>
      <w:r>
        <w:rPr>
          <w:rFonts w:hint="eastAsia" w:ascii="Times New Roman" w:hAnsi="Times New Roman" w:eastAsia="仿宋_GB2312" w:cs="Times New Roman"/>
          <w:color w:val="000000"/>
          <w:kern w:val="2"/>
          <w:sz w:val="32"/>
          <w:szCs w:val="32"/>
          <w:lang w:val="en-US" w:eastAsia="zh-CN" w:bidi="ar-SA"/>
        </w:rPr>
        <w:t>较上年决算数减少0.24</w:t>
      </w:r>
      <w:r>
        <w:rPr>
          <w:rFonts w:hint="eastAsia" w:ascii="Times New Roman" w:hAnsi="Times New Roman" w:eastAsia="仿宋_GB2312" w:cs="Times New Roman"/>
          <w:color w:val="000000"/>
          <w:kern w:val="2"/>
          <w:sz w:val="32"/>
          <w:szCs w:val="32"/>
          <w:lang w:val="zh-CN" w:eastAsia="zh-CN" w:bidi="ar-SA"/>
        </w:rPr>
        <w:t>万元</w:t>
      </w:r>
      <w:r>
        <w:rPr>
          <w:rFonts w:hint="eastAsia" w:ascii="Times New Roman" w:hAnsi="Times New Roman" w:eastAsia="仿宋_GB2312" w:cs="Times New Roman"/>
          <w:color w:val="000000"/>
          <w:kern w:val="2"/>
          <w:sz w:val="32"/>
          <w:szCs w:val="32"/>
          <w:lang w:val="en-US" w:eastAsia="zh-CN" w:bidi="ar-SA"/>
        </w:rPr>
        <w:t>,下降74.69</w:t>
      </w:r>
      <w:r>
        <w:rPr>
          <w:rFonts w:hint="eastAsia"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,主要原因是厉行节约，减少开支。</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(三)</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经费财政拨款支出决算实物量情况</w:t>
      </w:r>
    </w:p>
    <w:p>
      <w:pPr>
        <w:spacing w:before="100" w:beforeLines="0" w:after="100" w:afterLines="0"/>
        <w:jc w:val="left"/>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2022年度本部门因公出国(境)共计0个团组,0人；公务用车购置0辆,公务用车保有量为0辆；国内公务接待1批次7人,其中：外事接待0批次,0人；国(境)外公务接待0批次,0人。</w:t>
      </w:r>
    </w:p>
    <w:p>
      <w:pPr>
        <w:spacing w:before="100" w:beforeLines="0" w:after="100" w:afterLines="0"/>
        <w:jc w:val="center"/>
        <w:rPr>
          <w:rFonts w:hint="eastAsia" w:ascii="黑体" w:hAnsi="黑体" w:eastAsia="黑体" w:cs="黑体"/>
          <w:b/>
          <w:sz w:val="32"/>
          <w:szCs w:val="32"/>
          <w:lang w:val="zh-CN"/>
        </w:rPr>
      </w:pPr>
      <w:r>
        <w:rPr>
          <w:rFonts w:hint="eastAsia" w:ascii="黑体" w:hAnsi="黑体" w:eastAsia="黑体" w:cs="黑体"/>
          <w:b/>
          <w:sz w:val="32"/>
          <w:szCs w:val="32"/>
          <w:lang w:val="zh-CN"/>
        </w:rPr>
        <w:t>第四部分预算绩效情况说明</w:t>
      </w:r>
    </w:p>
    <w:p>
      <w:pPr>
        <w:numPr>
          <w:ilvl w:val="0"/>
          <w:numId w:val="1"/>
        </w:numPr>
        <w:spacing w:before="100" w:beforeLines="0" w:after="100" w:afterLines="0"/>
        <w:jc w:val="left"/>
        <w:rPr>
          <w:rFonts w:hint="eastAsia" w:ascii="宋体" w:hAnsi="宋体"/>
          <w:b/>
          <w:color w:val="auto"/>
          <w:sz w:val="24"/>
          <w:szCs w:val="24"/>
          <w:lang w:val="zh-CN"/>
        </w:rPr>
      </w:pPr>
      <w:r>
        <w:rPr>
          <w:rFonts w:hint="eastAsia" w:ascii="宋体" w:hAnsi="宋体"/>
          <w:b/>
          <w:color w:val="auto"/>
          <w:sz w:val="24"/>
          <w:szCs w:val="24"/>
          <w:lang w:val="zh-CN"/>
        </w:rPr>
        <w:t>预算绩效管理工作开展情况</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en-US" w:eastAsia="zh-CN" w:bidi="ar-SA"/>
        </w:rPr>
        <w:t>根据预算绩效管理要求,本部门对2022年度一般公共预算项目支出全面开展绩效自评,其中,,二级项目2个,共涉及资金39万元,占一般公共预算项目支出总额的100%。对“2022年度农业产业化发展中心业务费”、“省级现代化产业园奖补资金”、“现代丝路寒旱农业发展资金”等3个项目开展了部门评价，涉及一般公共预算支出39万元。从评价情况来看，一是项目实施过程中严格执行专项资金的国库集中支付制度，根据项目实施进度，分阶段向财政局提交资金申请资料。项目管理过程中有完整的审批程序和手续，做到了专款专用，无截留、挤占、挪用现象。确保了专项资金安全高效使用和项目顺利实施，二是项目实施过程中，严格实行了项目法人制、招投标制度，加强了对企业的监管。</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(二)绩效自评结果</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1.绩效目标自评表</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Times New Roman" w:hAnsi="Times New Roman" w:eastAsia="仿宋_GB2312" w:cs="Times New Roman"/>
          <w:color w:val="000000"/>
          <w:kern w:val="2"/>
          <w:sz w:val="32"/>
          <w:szCs w:val="32"/>
          <w:lang w:val="zh-CN" w:eastAsia="zh-CN" w:bidi="ar-SA"/>
        </w:rPr>
        <w:t>我部门在2022年度部门决算中反映2022年度农业产业化发展中心业务费、省级现代化产业园奖补资金、现代丝路寒旱农业发展资金3个项目绩效自评结果。2022年度农业产业化发展中心业务费项目绩效自评情况：根据年初设定的绩效目标,项目绩效自评得分为98分。项目全年预算数为4万元,执行数为4万元,完成预算的100%。项目绩效目标完成情况：1、严格按照上级文件要求，足额安排单位业务费。2、建议加大资金筹集，按需及时拨付资金。3、厉行节俭，进一步控制工作运行成本。4、加大对内控基本制度执行力的监督检查力度。针对过去制度执行不到位的环节进行重点督导检查。今后确保各项制度的规范性、合法性。我单位将进一步加强监督检查工作，把制度的学习作为单位的一项重要工作常抓不懈，从源头杜绝违法违纪现象的发生。省级现代化产业园奖补资金绩效自评情况：2022年省厅下达合水县现代农业产业园奖补资金30万元，让特色优势农产品生产基地形成一定规模，农产品加工能力进一步提升，农产品市场体系更加完善，品牌带动能力明显，龙头企业直接带动农户1300户以上。绩效评价总体得分</w:t>
      </w:r>
      <w:r>
        <w:rPr>
          <w:rFonts w:hint="eastAsia" w:ascii="Times New Roman" w:hAnsi="Times New Roman" w:eastAsia="仿宋_GB2312" w:cs="Times New Roman"/>
          <w:color w:val="000000"/>
          <w:kern w:val="2"/>
          <w:sz w:val="32"/>
          <w:szCs w:val="32"/>
          <w:lang w:val="en-US" w:eastAsia="zh-CN" w:bidi="ar-SA"/>
        </w:rPr>
        <w:t>100</w:t>
      </w:r>
      <w:r>
        <w:rPr>
          <w:rFonts w:hint="eastAsia" w:ascii="Times New Roman" w:hAnsi="Times New Roman" w:eastAsia="仿宋_GB2312" w:cs="Times New Roman"/>
          <w:color w:val="000000"/>
          <w:kern w:val="2"/>
          <w:sz w:val="32"/>
          <w:szCs w:val="32"/>
          <w:lang w:val="zh-CN" w:eastAsia="zh-CN" w:bidi="ar-SA"/>
        </w:rPr>
        <w:t>分，基本达到预期目标并具有一定效果。现代丝路寒旱农业发展资金绩效自评情况：2022年省厅下达合水县现代丝路寒旱农业发展资金5万元，充分发挥了“甘味”品牌示范带动作用，塑强了“甘味”核心企业品牌，不断推动现代寒旱农业高质量发展。绩效评价总体得分</w:t>
      </w:r>
      <w:r>
        <w:rPr>
          <w:rFonts w:hint="eastAsia" w:ascii="Times New Roman" w:hAnsi="Times New Roman" w:eastAsia="仿宋_GB2312" w:cs="Times New Roman"/>
          <w:color w:val="000000"/>
          <w:kern w:val="2"/>
          <w:sz w:val="32"/>
          <w:szCs w:val="32"/>
          <w:lang w:val="en-US" w:eastAsia="zh-CN" w:bidi="ar-SA"/>
        </w:rPr>
        <w:t>100</w:t>
      </w:r>
      <w:r>
        <w:rPr>
          <w:rFonts w:hint="eastAsia" w:ascii="Times New Roman" w:hAnsi="Times New Roman" w:eastAsia="仿宋_GB2312" w:cs="Times New Roman"/>
          <w:color w:val="000000"/>
          <w:kern w:val="2"/>
          <w:sz w:val="32"/>
          <w:szCs w:val="32"/>
          <w:lang w:val="zh-CN" w:eastAsia="zh-CN" w:bidi="ar-SA"/>
        </w:rPr>
        <w:t>分，基本达到预期目标并具有一定效</w:t>
      </w:r>
      <w:bookmarkStart w:id="0" w:name="_GoBack"/>
      <w:bookmarkEnd w:id="0"/>
      <w:r>
        <w:rPr>
          <w:rFonts w:hint="eastAsia" w:ascii="Times New Roman" w:hAnsi="Times New Roman" w:eastAsia="仿宋_GB2312" w:cs="Times New Roman"/>
          <w:color w:val="000000"/>
          <w:kern w:val="2"/>
          <w:sz w:val="32"/>
          <w:szCs w:val="32"/>
          <w:lang w:val="zh-CN" w:eastAsia="zh-CN" w:bidi="ar-SA"/>
        </w:rPr>
        <w:t>果。</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(三)部门绩效评价结果</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绩效评价表后附</w:t>
      </w:r>
    </w:p>
    <w:p>
      <w:pPr>
        <w:spacing w:before="100" w:beforeLines="0" w:after="100" w:afterLines="0"/>
        <w:jc w:val="center"/>
        <w:rPr>
          <w:rFonts w:hint="eastAsia" w:ascii="黑体" w:hAnsi="黑体" w:eastAsia="黑体" w:cs="黑体"/>
          <w:b/>
          <w:sz w:val="32"/>
          <w:szCs w:val="32"/>
          <w:lang w:val="zh-CN"/>
        </w:rPr>
      </w:pPr>
      <w:r>
        <w:rPr>
          <w:rFonts w:hint="eastAsia" w:ascii="黑体" w:hAnsi="黑体" w:eastAsia="黑体" w:cs="黑体"/>
          <w:b/>
          <w:sz w:val="32"/>
          <w:szCs w:val="32"/>
          <w:lang w:val="zh-CN"/>
        </w:rPr>
        <w:t>第五部分名词解释</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宋体" w:hAnsi="宋体"/>
          <w:b/>
          <w:color w:val="auto"/>
          <w:sz w:val="24"/>
          <w:szCs w:val="24"/>
          <w:lang w:val="zh-CN"/>
        </w:rPr>
        <w:t>一、财政拨款收入</w:t>
      </w:r>
      <w:r>
        <w:rPr>
          <w:rFonts w:hint="eastAsia" w:ascii="宋体" w:hAnsi="宋体"/>
          <w:color w:val="auto"/>
          <w:sz w:val="24"/>
          <w:szCs w:val="24"/>
          <w:lang w:val="zh-CN"/>
        </w:rPr>
        <w:t>：</w:t>
      </w:r>
      <w:r>
        <w:rPr>
          <w:rFonts w:hint="eastAsia" w:ascii="Times New Roman" w:hAnsi="Times New Roman" w:eastAsia="仿宋_GB2312" w:cs="Times New Roman"/>
          <w:color w:val="000000"/>
          <w:kern w:val="2"/>
          <w:sz w:val="32"/>
          <w:szCs w:val="32"/>
          <w:lang w:val="zh-CN" w:eastAsia="zh-CN" w:bidi="ar-SA"/>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宋体" w:hAnsi="宋体"/>
          <w:color w:val="auto"/>
          <w:sz w:val="24"/>
          <w:szCs w:val="24"/>
          <w:lang w:val="zh-CN"/>
        </w:rPr>
      </w:pPr>
      <w:r>
        <w:rPr>
          <w:rFonts w:hint="eastAsia" w:ascii="宋体" w:hAnsi="宋体"/>
          <w:b/>
          <w:color w:val="auto"/>
          <w:sz w:val="24"/>
          <w:szCs w:val="24"/>
          <w:lang w:val="zh-CN"/>
        </w:rPr>
        <w:t>二、事业收入</w:t>
      </w:r>
      <w:r>
        <w:rPr>
          <w:rFonts w:hint="eastAsia" w:ascii="宋体" w:hAnsi="宋体"/>
          <w:color w:val="auto"/>
          <w:sz w:val="24"/>
          <w:szCs w:val="24"/>
          <w:lang w:val="zh-CN"/>
        </w:rPr>
        <w:t>：</w:t>
      </w:r>
      <w:r>
        <w:rPr>
          <w:rFonts w:hint="eastAsia" w:ascii="Times New Roman" w:hAnsi="Times New Roman" w:eastAsia="仿宋_GB2312" w:cs="Times New Roman"/>
          <w:color w:val="000000"/>
          <w:kern w:val="2"/>
          <w:sz w:val="32"/>
          <w:szCs w:val="32"/>
          <w:lang w:val="zh-CN" w:eastAsia="zh-CN" w:bidi="ar-SA"/>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宋体" w:hAnsi="宋体"/>
          <w:b/>
          <w:color w:val="auto"/>
          <w:sz w:val="24"/>
          <w:szCs w:val="24"/>
          <w:lang w:val="zh-CN"/>
        </w:rPr>
        <w:t>三、经营收入</w:t>
      </w:r>
      <w:r>
        <w:rPr>
          <w:rFonts w:hint="eastAsia" w:ascii="宋体" w:hAnsi="宋体"/>
          <w:color w:val="auto"/>
          <w:sz w:val="24"/>
          <w:szCs w:val="24"/>
          <w:lang w:val="zh-CN"/>
        </w:rPr>
        <w:t>：</w:t>
      </w:r>
      <w:r>
        <w:rPr>
          <w:rFonts w:hint="eastAsia" w:ascii="Times New Roman" w:hAnsi="Times New Roman" w:eastAsia="仿宋_GB2312" w:cs="Times New Roman"/>
          <w:color w:val="000000"/>
          <w:kern w:val="2"/>
          <w:sz w:val="32"/>
          <w:szCs w:val="32"/>
          <w:lang w:val="zh-CN" w:eastAsia="zh-CN" w:bidi="ar-SA"/>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宋体" w:hAnsi="宋体"/>
          <w:b/>
          <w:color w:val="auto"/>
          <w:sz w:val="24"/>
          <w:szCs w:val="24"/>
          <w:lang w:val="zh-CN"/>
        </w:rPr>
        <w:t>四、其他收入</w:t>
      </w:r>
      <w:r>
        <w:rPr>
          <w:rFonts w:hint="eastAsia" w:ascii="宋体" w:hAnsi="宋体"/>
          <w:color w:val="auto"/>
          <w:sz w:val="24"/>
          <w:szCs w:val="24"/>
          <w:lang w:val="zh-CN"/>
        </w:rPr>
        <w:t>：</w:t>
      </w:r>
      <w:r>
        <w:rPr>
          <w:rFonts w:hint="eastAsia" w:ascii="Times New Roman" w:hAnsi="Times New Roman" w:eastAsia="仿宋_GB2312" w:cs="Times New Roman"/>
          <w:color w:val="000000"/>
          <w:kern w:val="2"/>
          <w:sz w:val="32"/>
          <w:szCs w:val="32"/>
          <w:lang w:val="zh-CN" w:eastAsia="zh-CN" w:bidi="ar-SA"/>
        </w:rPr>
        <w:t>指单位取得的除</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财政拨款收入</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事业收入</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经营收入</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宋体" w:hAnsi="宋体"/>
          <w:b/>
          <w:color w:val="auto"/>
          <w:sz w:val="24"/>
          <w:szCs w:val="24"/>
          <w:lang w:val="zh-CN"/>
        </w:rPr>
        <w:t>五、年初结转和结余</w:t>
      </w:r>
      <w:r>
        <w:rPr>
          <w:rFonts w:hint="eastAsia" w:ascii="宋体" w:hAnsi="宋体"/>
          <w:color w:val="auto"/>
          <w:sz w:val="24"/>
          <w:szCs w:val="24"/>
          <w:lang w:val="zh-CN"/>
        </w:rPr>
        <w:t>：</w:t>
      </w:r>
      <w:r>
        <w:rPr>
          <w:rFonts w:hint="eastAsia" w:ascii="Times New Roman" w:hAnsi="Times New Roman" w:eastAsia="仿宋_GB2312" w:cs="Times New Roman"/>
          <w:color w:val="000000"/>
          <w:kern w:val="2"/>
          <w:sz w:val="32"/>
          <w:szCs w:val="32"/>
          <w:lang w:val="zh-CN" w:eastAsia="zh-CN" w:bidi="ar-SA"/>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宋体" w:hAnsi="宋体"/>
          <w:b/>
          <w:color w:val="auto"/>
          <w:sz w:val="24"/>
          <w:szCs w:val="24"/>
          <w:lang w:val="zh-CN"/>
        </w:rPr>
        <w:t>六、结余分配</w:t>
      </w:r>
      <w:r>
        <w:rPr>
          <w:rFonts w:hint="eastAsia" w:ascii="宋体" w:hAnsi="宋体"/>
          <w:color w:val="auto"/>
          <w:sz w:val="24"/>
          <w:szCs w:val="24"/>
          <w:lang w:val="zh-CN"/>
        </w:rPr>
        <w:t>：</w:t>
      </w:r>
      <w:r>
        <w:rPr>
          <w:rFonts w:hint="eastAsia" w:ascii="Times New Roman" w:hAnsi="Times New Roman" w:eastAsia="仿宋_GB2312" w:cs="Times New Roman"/>
          <w:color w:val="000000"/>
          <w:kern w:val="2"/>
          <w:sz w:val="32"/>
          <w:szCs w:val="32"/>
          <w:lang w:val="zh-CN" w:eastAsia="zh-CN" w:bidi="ar-SA"/>
        </w:rPr>
        <w:t>指单位按照国家有关规定,缴纳所得税、提取专用基金、转入事业基金等当年结余的分配情况。</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宋体" w:hAnsi="宋体"/>
          <w:b/>
          <w:color w:val="auto"/>
          <w:sz w:val="24"/>
          <w:szCs w:val="24"/>
          <w:lang w:val="zh-CN"/>
        </w:rPr>
        <w:t>七、年末结转和结余</w:t>
      </w:r>
      <w:r>
        <w:rPr>
          <w:rFonts w:hint="eastAsia" w:ascii="宋体" w:hAnsi="宋体"/>
          <w:color w:val="auto"/>
          <w:sz w:val="24"/>
          <w:szCs w:val="24"/>
          <w:lang w:val="zh-CN"/>
        </w:rPr>
        <w:t>：</w:t>
      </w:r>
      <w:r>
        <w:rPr>
          <w:rFonts w:hint="eastAsia" w:ascii="Times New Roman" w:hAnsi="Times New Roman" w:eastAsia="仿宋_GB2312" w:cs="Times New Roman"/>
          <w:color w:val="000000"/>
          <w:kern w:val="2"/>
          <w:sz w:val="32"/>
          <w:szCs w:val="32"/>
          <w:lang w:val="zh-CN" w:eastAsia="zh-CN" w:bidi="ar-SA"/>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宋体" w:hAnsi="宋体"/>
          <w:color w:val="auto"/>
          <w:sz w:val="24"/>
          <w:szCs w:val="24"/>
          <w:lang w:val="zh-CN"/>
        </w:rPr>
      </w:pPr>
      <w:r>
        <w:rPr>
          <w:rFonts w:hint="eastAsia" w:ascii="宋体" w:hAnsi="宋体"/>
          <w:b/>
          <w:color w:val="auto"/>
          <w:sz w:val="24"/>
          <w:szCs w:val="24"/>
          <w:lang w:val="zh-CN"/>
        </w:rPr>
        <w:t>八、基本支出</w:t>
      </w:r>
      <w:r>
        <w:rPr>
          <w:rFonts w:hint="eastAsia" w:ascii="宋体" w:hAnsi="宋体"/>
          <w:color w:val="auto"/>
          <w:sz w:val="24"/>
          <w:szCs w:val="24"/>
          <w:lang w:val="zh-CN"/>
        </w:rPr>
        <w:t>：</w:t>
      </w:r>
      <w:r>
        <w:rPr>
          <w:rFonts w:hint="eastAsia" w:ascii="Times New Roman" w:hAnsi="Times New Roman" w:eastAsia="仿宋_GB2312" w:cs="Times New Roman"/>
          <w:color w:val="000000"/>
          <w:kern w:val="2"/>
          <w:sz w:val="32"/>
          <w:szCs w:val="32"/>
          <w:lang w:val="zh-CN" w:eastAsia="zh-CN" w:bidi="ar-SA"/>
        </w:rPr>
        <w:t>指为保障机构正常运转、完成日常工作任务而发生的人员经费和公用经费。其中：人员经费指政府收支分类经济科目中的</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工资福利支出</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和</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对个人和家庭的补助</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；公用经费指政府收支分类经济科目中除</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工资福利支出</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和</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对个人和家庭的补助</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zh-CN" w:eastAsia="zh-CN" w:bidi="ar-SA"/>
        </w:rPr>
        <w:t>外的其他支出。</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宋体" w:hAnsi="宋体"/>
          <w:b/>
          <w:color w:val="auto"/>
          <w:sz w:val="24"/>
          <w:szCs w:val="24"/>
          <w:lang w:val="zh-CN"/>
        </w:rPr>
        <w:t>九、项目支出</w:t>
      </w:r>
      <w:r>
        <w:rPr>
          <w:rFonts w:hint="eastAsia" w:ascii="宋体" w:hAnsi="宋体"/>
          <w:color w:val="auto"/>
          <w:sz w:val="24"/>
          <w:szCs w:val="24"/>
          <w:lang w:val="zh-CN"/>
        </w:rPr>
        <w:t>：</w:t>
      </w:r>
      <w:r>
        <w:rPr>
          <w:rFonts w:hint="eastAsia" w:ascii="Times New Roman" w:hAnsi="Times New Roman" w:eastAsia="仿宋_GB2312" w:cs="Times New Roman"/>
          <w:color w:val="000000"/>
          <w:kern w:val="2"/>
          <w:sz w:val="32"/>
          <w:szCs w:val="32"/>
          <w:lang w:val="zh-CN" w:eastAsia="zh-CN" w:bidi="ar-SA"/>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宋体" w:hAnsi="宋体"/>
          <w:color w:val="auto"/>
          <w:sz w:val="24"/>
          <w:szCs w:val="24"/>
          <w:lang w:val="zh-CN"/>
        </w:rPr>
      </w:pPr>
      <w:r>
        <w:rPr>
          <w:rFonts w:hint="eastAsia" w:ascii="宋体" w:hAnsi="宋体"/>
          <w:b/>
          <w:color w:val="auto"/>
          <w:sz w:val="24"/>
          <w:szCs w:val="24"/>
          <w:lang w:val="zh-CN"/>
        </w:rPr>
        <w:t>十、经营支出</w:t>
      </w:r>
      <w:r>
        <w:rPr>
          <w:rFonts w:hint="eastAsia" w:ascii="宋体" w:hAnsi="宋体"/>
          <w:color w:val="auto"/>
          <w:sz w:val="24"/>
          <w:szCs w:val="24"/>
          <w:lang w:val="zh-CN"/>
        </w:rPr>
        <w:t>：</w:t>
      </w:r>
      <w:r>
        <w:rPr>
          <w:rFonts w:hint="eastAsia" w:ascii="Times New Roman" w:hAnsi="Times New Roman" w:eastAsia="仿宋_GB2312" w:cs="Times New Roman"/>
          <w:color w:val="000000"/>
          <w:kern w:val="2"/>
          <w:sz w:val="32"/>
          <w:szCs w:val="32"/>
          <w:lang w:val="zh-CN" w:eastAsia="zh-CN" w:bidi="ar-SA"/>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宋体" w:hAnsi="宋体"/>
          <w:b/>
          <w:color w:val="auto"/>
          <w:sz w:val="24"/>
          <w:szCs w:val="24"/>
          <w:lang w:val="zh-CN"/>
        </w:rPr>
        <w:t>十一、</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w:t>
      </w:r>
      <w:r>
        <w:rPr>
          <w:rFonts w:hint="eastAsia" w:ascii="宋体" w:hAnsi="宋体"/>
          <w:color w:val="auto"/>
          <w:sz w:val="24"/>
          <w:szCs w:val="24"/>
          <w:lang w:val="zh-CN"/>
        </w:rPr>
        <w:t>：</w:t>
      </w:r>
      <w:r>
        <w:rPr>
          <w:rFonts w:hint="eastAsia" w:ascii="Times New Roman" w:hAnsi="Times New Roman" w:eastAsia="仿宋_GB2312" w:cs="Times New Roman"/>
          <w:color w:val="000000"/>
          <w:kern w:val="2"/>
          <w:sz w:val="32"/>
          <w:szCs w:val="32"/>
          <w:lang w:val="zh-CN"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before="100" w:beforeLines="0" w:after="100" w:afterLines="0" w:line="600" w:lineRule="exact"/>
        <w:jc w:val="left"/>
        <w:textAlignment w:val="auto"/>
        <w:rPr>
          <w:rFonts w:hint="eastAsia" w:ascii="Times New Roman" w:hAnsi="Times New Roman" w:eastAsia="仿宋_GB2312" w:cs="Times New Roman"/>
          <w:color w:val="000000"/>
          <w:kern w:val="2"/>
          <w:sz w:val="32"/>
          <w:szCs w:val="32"/>
          <w:lang w:val="zh-CN" w:eastAsia="zh-CN" w:bidi="ar-SA"/>
        </w:rPr>
      </w:pPr>
      <w:r>
        <w:rPr>
          <w:rFonts w:hint="eastAsia" w:ascii="宋体" w:hAnsi="宋体"/>
          <w:b/>
          <w:color w:val="auto"/>
          <w:sz w:val="24"/>
          <w:szCs w:val="24"/>
          <w:lang w:val="zh-CN"/>
        </w:rPr>
        <w:t>十二、机关运行经费</w:t>
      </w:r>
      <w:r>
        <w:rPr>
          <w:rFonts w:hint="eastAsia" w:ascii="宋体" w:hAnsi="宋体"/>
          <w:color w:val="auto"/>
          <w:sz w:val="24"/>
          <w:szCs w:val="24"/>
          <w:lang w:val="zh-CN"/>
        </w:rPr>
        <w:t>：</w:t>
      </w:r>
      <w:r>
        <w:rPr>
          <w:rFonts w:hint="eastAsia" w:ascii="Times New Roman" w:hAnsi="Times New Roman" w:eastAsia="仿宋_GB2312" w:cs="Times New Roman"/>
          <w:color w:val="000000"/>
          <w:kern w:val="2"/>
          <w:sz w:val="32"/>
          <w:szCs w:val="32"/>
          <w:lang w:val="zh-CN"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sectPr>
      <w:footerReference r:id="rId3"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603AC"/>
    <w:multiLevelType w:val="singleLevel"/>
    <w:tmpl w:val="AD3603AC"/>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mU1MmI0ZjZhZmZmN2VlNGUzZWY0NzkwYzdlZTgifQ=="/>
  </w:docVars>
  <w:rsids>
    <w:rsidRoot w:val="00000000"/>
    <w:rsid w:val="07D348AD"/>
    <w:rsid w:val="080A0176"/>
    <w:rsid w:val="1069205F"/>
    <w:rsid w:val="15197B7A"/>
    <w:rsid w:val="26255B65"/>
    <w:rsid w:val="3B4738CA"/>
    <w:rsid w:val="3D432C0E"/>
    <w:rsid w:val="4A3F5CEE"/>
    <w:rsid w:val="5D6C17F6"/>
    <w:rsid w:val="5E047042"/>
    <w:rsid w:val="69721E0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widowControl/>
      <w:spacing w:before="100" w:beforeAutospacing="1" w:after="100" w:afterAutospacing="1"/>
      <w:jc w:val="left"/>
    </w:pPr>
    <w:rPr>
      <w:rFonts w:ascii="宋体" w:hAnsi="宋体" w:cs="宋体"/>
      <w:kern w:val="0"/>
      <w:sz w:val="24"/>
    </w:rPr>
  </w:style>
  <w:style w:type="paragraph" w:styleId="3">
    <w:name w:val="Body Text Indent 2"/>
    <w:basedOn w:val="1"/>
    <w:next w:val="2"/>
    <w:qFormat/>
    <w:uiPriority w:val="0"/>
    <w:pPr>
      <w:widowControl/>
      <w:spacing w:after="120" w:line="480" w:lineRule="auto"/>
      <w:ind w:left="420" w:leftChars="200" w:firstLine="22"/>
      <w:textAlignment w:val="baseline"/>
    </w:pPr>
    <w:rPr>
      <w:rFonts w:ascii="Times New Roman" w:hAnsi="Times New Roman" w:eastAsia="宋体"/>
      <w:color w:val="000000"/>
      <w:kern w:val="0"/>
      <w:szCs w:val="20"/>
      <w:u w:val="none" w:color="00000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index 9"/>
    <w:basedOn w:val="1"/>
    <w:next w:val="1"/>
    <w:qFormat/>
    <w:uiPriority w:val="0"/>
    <w:pPr>
      <w:ind w:left="336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p0"/>
    <w:basedOn w:val="1"/>
    <w:next w:val="5"/>
    <w:qFormat/>
    <w:uiPriority w:val="0"/>
    <w:pPr>
      <w:widowControl/>
    </w:pPr>
    <w:rPr>
      <w:rFonts w:ascii="Times New Roman" w:hAnsi="Times New Roman" w:eastAsia="宋体"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O.L.Problem without you</cp:lastModifiedBy>
  <dcterms:modified xsi:type="dcterms:W3CDTF">2023-08-02T07:30:07Z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9</TotalTime>
  <ScaleCrop>false</ScaleCrop>
  <LinksUpToDate>false</LinksUpToDate>
  <CharactersWithSpaces>13626</CharactersWithSpaces>
  <Application>WPS Office_12.1.0.15120_F1E327BC-269C-435d-A152-05C5408002CA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E06D266F13EA4024808CEEADBAD91186_11</vt:lpwstr>
  </proper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O.L.Problem without you</cp:lastModifiedBy>
  <dcterms:modified xsi:type="dcterms:W3CDTF">2023-08-02T07:30:07Z</dcterms:modified>
  <cp:revision>1</cp:revision>
</cp:coreProperties>
</file>

<file path=customXml/item5.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9</TotalTime>
  <ScaleCrop>false</ScaleCrop>
  <LinksUpToDate>false</LinksUpToDate>
  <CharactersWithSpaces>13626</CharactersWithSpaces>
  <Application>WPS Office_12.1.0.15120_F1E327BC-269C-435d-A152-05C5408002CA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E06D266F13EA4024808CEEADBAD91186_11</vt:lpwstr>
  </property>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creator>O.L.Problem without you</dc:creator>
  <cp:lastModifiedBy>O.L.Problem without you</cp:lastModifiedBy>
  <cp:revision>1</cp:revision>
  <dcterms:created xsi:type="dcterms:W3CDTF">2023-07-20T03:33:00Z</dcterms:created>
  <dcterms:modified xsi:type="dcterms:W3CDTF">2023-08-02T07:30:07Z</dcterms:modified>
</cp:coreProperties>
</file>

<file path=customXml/item8.xml><?xml version="1.0" encoding="utf-8"?>
<Properties xmlns:vt="http://schemas.openxmlformats.org/officeDocument/2006/docPropsVTypes" xmlns="http://schemas.openxmlformats.org/officeDocument/2006/extended-properties">
  <Template>Normal.dotm</Template>
  <TotalTime>9</TotalTime>
  <Pages>12</Pages>
  <Words>6392</Words>
  <Characters>13548</Characters>
  <Application>WPS Office_12.1.0.15120_F1E327BC-269C-435d-A152-05C5408002CA</Application>
  <DocSecurity>0</DocSecurity>
  <Lines>0</Lines>
  <Paragraphs>0</Paragraphs>
  <CharactersWithSpaces>13626</CharactersWithSpaces>
  <AppVersion>14.0000</AppVersion>
</Properties>
</file>

<file path=customXml/item9.xml><?xml version="1.0" encoding="utf-8"?>
<Properties xmlns:vt="http://schemas.openxmlformats.org/officeDocument/2006/docPropsVTypes" xmlns="http://schemas.openxmlformats.org/officeDocument/2006/custom-properties">
  <property fmtid="{D5CDD505-2E9C-101B-9397-08002B2CF9AE}" pid="2" name="KSOProductBuildVer">
    <vt:lpstr>2052-12.1.0.15120</vt:lpstr>
  </property>
  <property fmtid="{D5CDD505-2E9C-101B-9397-08002B2CF9AE}" pid="3" name="ICV">
    <vt:lpstr>E06D266F13EA4024808CEEADBAD91186_11</vt:lpstr>
  </property>
</Properties>
</file>

<file path=customXml/itemProps1.xml><?xml version="1.0" encoding="utf-8"?>
<ds:datastoreItem xmlns:ds="http://schemas.openxmlformats.org/officeDocument/2006/customXml" ds:itemID="{640005d0-cbbd-44a5-a208-995cb0778979}">
  <ds:schemaRefs/>
</ds:datastoreItem>
</file>

<file path=customXml/itemProps2.xml><?xml version="1.0" encoding="utf-8"?>
<ds:datastoreItem xmlns:ds="http://schemas.openxmlformats.org/officeDocument/2006/customXml" ds:itemID="{0d723f78-032f-4f0f-862d-8bd2148306d8}">
  <ds:schemaRefs/>
</ds:datastoreItem>
</file>

<file path=customXml/itemProps3.xml><?xml version="1.0" encoding="utf-8"?>
<ds:datastoreItem xmlns:ds="http://schemas.openxmlformats.org/officeDocument/2006/customXml" ds:itemID="{1c83f1c1-41c1-490a-9094-1519cf287503}">
  <ds:schemaRefs/>
</ds:datastoreItem>
</file>

<file path=customXml/itemProps4.xml><?xml version="1.0" encoding="utf-8"?>
<ds:datastoreItem xmlns:ds="http://schemas.openxmlformats.org/officeDocument/2006/customXml" ds:itemID="{165fd64a-d0c6-413f-983d-a4e27f8da325}">
  <ds:schemaRefs/>
</ds:datastoreItem>
</file>

<file path=customXml/itemProps5.xml><?xml version="1.0" encoding="utf-8"?>
<ds:datastoreItem xmlns:ds="http://schemas.openxmlformats.org/officeDocument/2006/customXml" ds:itemID="{6d4d299e-d0e3-4e83-9891-896c6caf411d}">
  <ds:schemaRefs/>
</ds:datastoreItem>
</file>

<file path=customXml/itemProps6.xml><?xml version="1.0" encoding="utf-8"?>
<ds:datastoreItem xmlns:ds="http://schemas.openxmlformats.org/officeDocument/2006/customXml" ds:itemID="{04e6b3f6-2cb9-4c72-977d-d173e01338dd}">
  <ds:schemaRefs/>
</ds:datastoreItem>
</file>

<file path=customXml/itemProps7.xml><?xml version="1.0" encoding="utf-8"?>
<ds:datastoreItem xmlns:ds="http://schemas.openxmlformats.org/officeDocument/2006/customXml" ds:itemID="{a3e5161c-78a1-4966-8f37-18a47267ad62}">
  <ds:schemaRefs/>
</ds:datastoreItem>
</file>

<file path=customXml/itemProps8.xml><?xml version="1.0" encoding="utf-8"?>
<ds:datastoreItem xmlns:ds="http://schemas.openxmlformats.org/officeDocument/2006/customXml" ds:itemID="{f48d4e26-36db-4d42-8602-572dfbf177df}">
  <ds:schemaRefs/>
</ds:datastoreItem>
</file>

<file path=customXml/itemProps9.xml><?xml version="1.0" encoding="utf-8"?>
<ds:datastoreItem xmlns:ds="http://schemas.openxmlformats.org/officeDocument/2006/customXml" ds:itemID="{8323b3d9-5405-4751-aa71-6dc38ca58a70}">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6472</Words>
  <Characters>7382</Characters>
  <Lines>0</Lines>
  <Paragraphs>0</Paragraphs>
  <TotalTime>16</TotalTime>
  <ScaleCrop>false</ScaleCrop>
  <LinksUpToDate>false</LinksUpToDate>
  <CharactersWithSpaces>7382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Administrator</cp:lastModifiedBy>
  <dcterms:modified xsi:type="dcterms:W3CDTF">2023-10-18T03:08:17Z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3C6C66397CB24878BDB6967DD7CB658B</vt:lpwstr>
  </property>
</Properties>
</file>