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tabs>
          <w:tab w:val="left" w:pos="3027"/>
          <w:tab w:val="left" w:pos="3968"/>
        </w:tabs>
        <w:spacing w:line="545" w:lineRule="atLeast"/>
        <w:ind w:left="1" w:firstLine="0"/>
        <w:rPr>
          <w:rFonts w:hint="eastAsia" w:eastAsia="黑体"/>
          <w:sz w:val="32"/>
          <w:szCs w:val="32"/>
        </w:rPr>
      </w:pPr>
    </w:p>
    <w:p>
      <w:pPr>
        <w:widowControl w:val="0"/>
        <w:tabs>
          <w:tab w:val="left" w:pos="3027"/>
          <w:tab w:val="left" w:pos="3968"/>
        </w:tabs>
        <w:spacing w:line="545" w:lineRule="atLeast"/>
        <w:ind w:left="1" w:firstLine="0"/>
        <w:rPr>
          <w:rFonts w:hint="eastAsia" w:eastAsia="黑体"/>
          <w:sz w:val="32"/>
          <w:szCs w:val="32"/>
        </w:rPr>
      </w:pPr>
    </w:p>
    <w:p>
      <w:pPr>
        <w:widowControl w:val="0"/>
        <w:tabs>
          <w:tab w:val="left" w:pos="3242"/>
        </w:tabs>
        <w:spacing w:line="529" w:lineRule="atLeast"/>
        <w:rPr>
          <w:rFonts w:hint="eastAsia"/>
          <w:sz w:val="21"/>
        </w:rPr>
      </w:pPr>
    </w:p>
    <w:p>
      <w:pPr>
        <w:widowControl w:val="0"/>
        <w:tabs>
          <w:tab w:val="left" w:pos="3242"/>
        </w:tabs>
        <w:spacing w:line="529" w:lineRule="atLeast"/>
        <w:rPr>
          <w:rFonts w:hint="eastAsia"/>
          <w:sz w:val="21"/>
        </w:rPr>
      </w:pPr>
    </w:p>
    <w:p>
      <w:pPr>
        <w:widowControl w:val="0"/>
        <w:spacing w:line="529" w:lineRule="atLeast"/>
        <w:rPr>
          <w:rFonts w:hint="eastAsia"/>
          <w:sz w:val="21"/>
        </w:rPr>
      </w:pPr>
    </w:p>
    <w:p>
      <w:pPr>
        <w:widowControl w:val="0"/>
        <w:spacing w:line="299" w:lineRule="atLeast"/>
        <w:jc w:val="right"/>
        <w:rPr>
          <w:rFonts w:hint="eastAsia"/>
          <w:sz w:val="21"/>
        </w:rPr>
      </w:pPr>
    </w:p>
    <w:p>
      <w:pPr>
        <w:widowControl w:val="0"/>
        <w:spacing w:line="444" w:lineRule="atLeast"/>
        <w:jc w:val="right"/>
        <w:rPr>
          <w:rFonts w:hint="eastAsia" w:eastAsia="仿宋_GB2312"/>
          <w:sz w:val="32"/>
          <w:szCs w:val="32"/>
        </w:rPr>
      </w:pPr>
    </w:p>
    <w:p>
      <w:pPr>
        <w:widowControl w:val="0"/>
        <w:spacing w:line="444" w:lineRule="atLeast"/>
        <w:ind w:left="1" w:firstLine="0"/>
        <w:jc w:val="center"/>
        <w:rPr>
          <w:rFonts w:hint="eastAsia" w:eastAsia="仿宋_GB2312"/>
          <w:sz w:val="32"/>
          <w:szCs w:val="32"/>
        </w:rPr>
      </w:pPr>
      <w:r>
        <w:rPr>
          <w:rFonts w:hint="eastAsia" w:eastAsia="仿宋_GB2312"/>
          <w:sz w:val="32"/>
          <w:szCs w:val="32"/>
        </w:rPr>
        <w:t>合政办发〔2022〕94号</w:t>
      </w:r>
    </w:p>
    <w:p>
      <w:pPr>
        <w:widowControl w:val="0"/>
        <w:spacing w:line="444" w:lineRule="atLeast"/>
        <w:jc w:val="center"/>
        <w:rPr>
          <w:rFonts w:hint="eastAsia" w:eastAsia="仿宋_GB2312"/>
          <w:sz w:val="32"/>
          <w:szCs w:val="32"/>
        </w:rPr>
      </w:pPr>
    </w:p>
    <w:p>
      <w:pPr>
        <w:spacing w:line="444" w:lineRule="atLeast"/>
        <w:jc w:val="center"/>
        <w:rPr>
          <w:rFonts w:hint="eastAsia" w:eastAsia="仿宋_GB2312"/>
          <w:sz w:val="32"/>
          <w:szCs w:val="32"/>
        </w:rPr>
      </w:pPr>
    </w:p>
    <w:p>
      <w:pPr>
        <w:widowControl w:val="0"/>
        <w:tabs>
          <w:tab w:val="left" w:pos="4750"/>
        </w:tabs>
        <w:spacing w:line="705" w:lineRule="atLeast"/>
        <w:jc w:val="center"/>
        <w:rPr>
          <w:rFonts w:hint="eastAsia" w:eastAsia="方正小标宋简体"/>
          <w:sz w:val="44"/>
          <w:szCs w:val="44"/>
        </w:rPr>
      </w:pPr>
      <w:r>
        <w:rPr>
          <w:rFonts w:hint="eastAsia" w:eastAsia="方正小标宋简体"/>
          <w:sz w:val="44"/>
          <w:szCs w:val="44"/>
        </w:rPr>
        <w:t>合水县人民政府办公室</w:t>
      </w:r>
    </w:p>
    <w:p>
      <w:pPr>
        <w:spacing w:line="693" w:lineRule="atLeast"/>
        <w:ind w:firstLine="0"/>
        <w:jc w:val="center"/>
        <w:rPr>
          <w:rFonts w:hint="eastAsia" w:eastAsia="方正小标宋简体"/>
          <w:color w:val="000000"/>
          <w:sz w:val="44"/>
          <w:szCs w:val="44"/>
        </w:rPr>
      </w:pPr>
      <w:r>
        <w:rPr>
          <w:rFonts w:hint="eastAsia" w:eastAsia="方正小标宋简体"/>
          <w:color w:val="000000"/>
          <w:sz w:val="44"/>
          <w:szCs w:val="44"/>
        </w:rPr>
        <w:t>关于印发《合水县水土保持工程建设以奖代补工作实施细则》的通知</w:t>
      </w:r>
    </w:p>
    <w:p>
      <w:pPr>
        <w:tabs>
          <w:tab w:val="left" w:pos="7596"/>
        </w:tabs>
        <w:spacing w:before="0" w:after="0" w:line="580" w:lineRule="atLeast"/>
        <w:ind w:firstLine="0"/>
        <w:rPr>
          <w:rFonts w:hint="eastAsia" w:eastAsia="仿宋_GB2312"/>
          <w:spacing w:val="-6"/>
          <w:sz w:val="32"/>
          <w:szCs w:val="32"/>
        </w:rPr>
      </w:pPr>
    </w:p>
    <w:p>
      <w:pPr>
        <w:tabs>
          <w:tab w:val="left" w:pos="7596"/>
        </w:tabs>
        <w:spacing w:before="0" w:after="0" w:line="580" w:lineRule="atLeast"/>
        <w:ind w:firstLine="0"/>
        <w:rPr>
          <w:rFonts w:hint="eastAsia" w:eastAsia="仿宋_GB2312"/>
          <w:sz w:val="32"/>
          <w:szCs w:val="32"/>
        </w:rPr>
      </w:pPr>
      <w:r>
        <w:rPr>
          <w:rFonts w:hint="eastAsia" w:eastAsia="仿宋_GB2312"/>
          <w:sz w:val="32"/>
          <w:szCs w:val="32"/>
        </w:rPr>
        <w:t>各乡镇人民政府，县直有关部门：</w:t>
      </w:r>
    </w:p>
    <w:p>
      <w:pPr>
        <w:spacing w:line="568" w:lineRule="atLeast"/>
        <w:ind w:firstLine="0"/>
        <w:jc w:val="left"/>
        <w:rPr>
          <w:rFonts w:hint="eastAsia" w:eastAsia="仿宋_GB2312"/>
          <w:sz w:val="32"/>
          <w:szCs w:val="32"/>
        </w:rPr>
      </w:pPr>
      <w:r>
        <w:rPr>
          <w:rFonts w:hint="eastAsia" w:eastAsia="仿宋_GB2312"/>
          <w:sz w:val="32"/>
          <w:szCs w:val="32"/>
        </w:rPr>
        <w:t xml:space="preserve">    《合水县水土保持工程建设以奖代补工作实施细则》已经十九届县政府第13次常务会议研究通过，现印发你们，请认真抓好贯彻落实。</w:t>
      </w:r>
    </w:p>
    <w:p>
      <w:pPr>
        <w:tabs>
          <w:tab w:val="left" w:pos="7596"/>
        </w:tabs>
        <w:spacing w:before="0" w:after="0" w:line="580" w:lineRule="atLeast"/>
        <w:rPr>
          <w:rFonts w:hint="eastAsia" w:eastAsia="仿宋_GB2312"/>
          <w:sz w:val="32"/>
          <w:szCs w:val="32"/>
        </w:rPr>
      </w:pPr>
    </w:p>
    <w:p>
      <w:pPr>
        <w:tabs>
          <w:tab w:val="left" w:pos="7596"/>
        </w:tabs>
        <w:spacing w:before="0" w:after="0" w:line="580" w:lineRule="atLeast"/>
        <w:rPr>
          <w:rFonts w:hint="eastAsia" w:eastAsia="仿宋_GB2312"/>
          <w:sz w:val="32"/>
          <w:szCs w:val="32"/>
        </w:rPr>
      </w:pPr>
    </w:p>
    <w:p>
      <w:pPr>
        <w:widowControl w:val="0"/>
        <w:tabs>
          <w:tab w:val="left" w:pos="7596"/>
        </w:tabs>
        <w:spacing w:before="0" w:after="0" w:line="580" w:lineRule="atLeast"/>
        <w:ind w:firstLine="635"/>
        <w:rPr>
          <w:rFonts w:hint="eastAsia" w:eastAsia="仿宋_GB2312"/>
          <w:spacing w:val="0"/>
          <w:sz w:val="32"/>
          <w:szCs w:val="32"/>
        </w:rPr>
      </w:pPr>
      <w:r>
        <w:rPr>
          <w:rFonts w:hint="eastAsia" w:eastAsia="仿宋_GB2312"/>
          <w:spacing w:val="0"/>
          <w:sz w:val="32"/>
          <w:szCs w:val="32"/>
        </w:rPr>
        <w:t xml:space="preserve">                        合水县人民政府办公室</w:t>
      </w:r>
    </w:p>
    <w:p>
      <w:pPr>
        <w:tabs>
          <w:tab w:val="left" w:pos="7596"/>
        </w:tabs>
        <w:spacing w:before="0" w:after="0" w:line="580" w:lineRule="atLeast"/>
        <w:rPr>
          <w:rFonts w:hint="eastAsia" w:eastAsia="仿宋_GB2312"/>
          <w:spacing w:val="0"/>
          <w:sz w:val="32"/>
          <w:szCs w:val="32"/>
        </w:rPr>
      </w:pPr>
      <w:r>
        <w:rPr>
          <w:rFonts w:hint="eastAsia" w:eastAsia="仿宋_GB2312"/>
          <w:spacing w:val="0"/>
          <w:sz w:val="32"/>
          <w:szCs w:val="32"/>
        </w:rPr>
        <w:t xml:space="preserve">                            2022年10月28日 </w:t>
      </w:r>
    </w:p>
    <w:p>
      <w:pPr>
        <w:tabs>
          <w:tab w:val="left" w:pos="7596"/>
        </w:tabs>
        <w:spacing w:before="0" w:after="0" w:line="580" w:lineRule="atLeast"/>
        <w:rPr>
          <w:rFonts w:hint="eastAsia" w:eastAsia="仿宋_GB2312"/>
          <w:spacing w:val="0"/>
          <w:sz w:val="32"/>
          <w:szCs w:val="32"/>
        </w:rPr>
      </w:pPr>
    </w:p>
    <w:p>
      <w:pPr>
        <w:tabs>
          <w:tab w:val="left" w:pos="7596"/>
        </w:tabs>
        <w:spacing w:before="0" w:after="0" w:line="705" w:lineRule="atLeast"/>
        <w:ind w:firstLine="0"/>
        <w:jc w:val="center"/>
        <w:rPr>
          <w:rFonts w:hint="eastAsia" w:eastAsia="方正小标宋简体"/>
          <w:sz w:val="44"/>
          <w:szCs w:val="44"/>
        </w:rPr>
      </w:pPr>
      <w:r>
        <w:rPr>
          <w:rFonts w:hint="eastAsia" w:eastAsia="方正小标宋简体"/>
          <w:sz w:val="44"/>
          <w:szCs w:val="44"/>
        </w:rPr>
        <w:t>合水县水土保持工程建设以奖代补工作</w:t>
      </w:r>
    </w:p>
    <w:p>
      <w:pPr>
        <w:tabs>
          <w:tab w:val="left" w:pos="7596"/>
        </w:tabs>
        <w:spacing w:before="0" w:after="0" w:line="705" w:lineRule="atLeast"/>
        <w:ind w:firstLine="0"/>
        <w:jc w:val="center"/>
        <w:rPr>
          <w:rFonts w:hint="eastAsia" w:eastAsia="方正小标宋简体"/>
          <w:sz w:val="44"/>
          <w:szCs w:val="44"/>
        </w:rPr>
      </w:pPr>
      <w:r>
        <w:rPr>
          <w:rFonts w:hint="eastAsia" w:eastAsia="方正小标宋简体"/>
          <w:sz w:val="44"/>
          <w:szCs w:val="44"/>
        </w:rPr>
        <w:t>实施细则</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ind w:firstLine="0"/>
        <w:jc w:val="center"/>
        <w:rPr>
          <w:rFonts w:hint="eastAsia" w:eastAsia="黑体"/>
          <w:sz w:val="32"/>
          <w:szCs w:val="32"/>
        </w:rPr>
      </w:pPr>
      <w:r>
        <w:rPr>
          <w:rFonts w:hint="eastAsia" w:eastAsia="黑体"/>
          <w:sz w:val="32"/>
          <w:szCs w:val="32"/>
        </w:rPr>
        <w:t>第一章 总 则</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rPr>
          <w:rFonts w:hint="eastAsia" w:eastAsia="仿宋_GB2312"/>
          <w:sz w:val="32"/>
          <w:szCs w:val="32"/>
        </w:rPr>
      </w:pPr>
      <w:r>
        <w:rPr>
          <w:rFonts w:hint="eastAsia" w:eastAsia="楷体_GB2312"/>
          <w:b/>
          <w:sz w:val="32"/>
          <w:szCs w:val="32"/>
        </w:rPr>
        <w:t>第一条</w:t>
      </w:r>
      <w:r>
        <w:rPr>
          <w:rFonts w:hint="eastAsia" w:eastAsia="仿宋_GB2312"/>
          <w:sz w:val="32"/>
          <w:szCs w:val="32"/>
        </w:rPr>
        <w:t xml:space="preserve"> 水土保持工程建设以奖代补工作以习近平生态文明思想为指导，坚持以奖代补、调动社会力量参与水土流失治理“两手发力”，以“变立项审批实施为建设主体自愿申报、自主建设；变先拨后建为先建后补”为核心，以试点项目实施为抓手，建立多元化水土流失治理投入机制，显著提高财政资金使用效益，全面提升水土保持工程建设水平和治理成效。根据《水利部关于进一步推动水土保持工程建设以奖代补试点工作的指导意见》（水保〔2021〕381号）和《甘肃省水利厅关于开展水土保持工程建设以奖代补试点工作的实施意见》（甘水水保发〔2022〕306号）有关要求，结合合水县实际，特制定本细则。</w:t>
      </w:r>
    </w:p>
    <w:p>
      <w:pPr>
        <w:tabs>
          <w:tab w:val="left" w:pos="7596"/>
        </w:tabs>
        <w:spacing w:before="0" w:after="0" w:line="580" w:lineRule="atLeast"/>
        <w:rPr>
          <w:rFonts w:hint="eastAsia" w:eastAsia="仿宋_GB2312"/>
          <w:spacing w:val="-12"/>
          <w:sz w:val="32"/>
          <w:szCs w:val="32"/>
        </w:rPr>
      </w:pPr>
      <w:r>
        <w:rPr>
          <w:rFonts w:hint="eastAsia" w:eastAsia="楷体_GB2312"/>
          <w:b/>
          <w:sz w:val="32"/>
          <w:szCs w:val="32"/>
        </w:rPr>
        <w:t>第二条</w:t>
      </w:r>
      <w:r>
        <w:rPr>
          <w:rFonts w:hint="eastAsia" w:eastAsia="仿宋_GB2312"/>
          <w:sz w:val="32"/>
          <w:szCs w:val="32"/>
        </w:rPr>
        <w:t xml:space="preserve"> 水土保持工程建设以奖代补遵循政府引导、因地制</w:t>
      </w:r>
      <w:r>
        <w:rPr>
          <w:rFonts w:hint="eastAsia" w:eastAsia="仿宋_GB2312"/>
          <w:spacing w:val="-12"/>
          <w:sz w:val="32"/>
          <w:szCs w:val="32"/>
        </w:rPr>
        <w:t>宜、自愿申报、公开透明、自主建设、强化服务、规范管理的原则。</w:t>
      </w:r>
    </w:p>
    <w:p>
      <w:pPr>
        <w:tabs>
          <w:tab w:val="left" w:pos="7596"/>
        </w:tabs>
        <w:spacing w:before="0" w:after="0" w:line="580" w:lineRule="atLeast"/>
        <w:rPr>
          <w:rFonts w:hint="eastAsia" w:eastAsia="仿宋_GB2312"/>
          <w:sz w:val="32"/>
          <w:szCs w:val="32"/>
        </w:rPr>
      </w:pPr>
      <w:r>
        <w:rPr>
          <w:rFonts w:hint="eastAsia" w:eastAsia="楷体_GB2312"/>
          <w:b/>
          <w:sz w:val="32"/>
          <w:szCs w:val="32"/>
        </w:rPr>
        <w:t>第三条</w:t>
      </w:r>
      <w:r>
        <w:rPr>
          <w:rFonts w:hint="eastAsia" w:eastAsia="仿宋_GB2312"/>
          <w:sz w:val="32"/>
          <w:szCs w:val="32"/>
        </w:rPr>
        <w:t xml:space="preserve"> 水土保持工程建设以奖代补是指由项目承担建设主体按照实施方案先行筹资建设水土保持工程，待项目竣工验收合格后，给予一定额度奖励的补助。</w:t>
      </w:r>
    </w:p>
    <w:p>
      <w:pPr>
        <w:tabs>
          <w:tab w:val="left" w:pos="7596"/>
        </w:tabs>
        <w:spacing w:before="0" w:after="0" w:line="580" w:lineRule="atLeast"/>
        <w:rPr>
          <w:rFonts w:hint="eastAsia" w:eastAsia="仿宋_GB2312"/>
          <w:sz w:val="32"/>
          <w:szCs w:val="32"/>
        </w:rPr>
      </w:pPr>
      <w:r>
        <w:rPr>
          <w:rFonts w:hint="eastAsia" w:eastAsia="楷体_GB2312"/>
          <w:b/>
          <w:sz w:val="32"/>
          <w:szCs w:val="32"/>
        </w:rPr>
        <w:t>第四条</w:t>
      </w:r>
      <w:r>
        <w:rPr>
          <w:rFonts w:hint="eastAsia" w:eastAsia="仿宋_GB2312"/>
          <w:sz w:val="32"/>
          <w:szCs w:val="32"/>
        </w:rPr>
        <w:t xml:space="preserve"> 在县政府划定的水土流失防治区域内实施，以奖代补程序包括项目县级编制实施规划、项目承担单位自主开展建设，项目不进行招投标、监理、监测等程序。省、市、县级组织工程验收和兑付奖补资金等。</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第五条</w:t>
      </w:r>
      <w:r>
        <w:rPr>
          <w:rFonts w:hint="eastAsia" w:eastAsia="仿宋_GB2312"/>
          <w:sz w:val="32"/>
          <w:szCs w:val="32"/>
        </w:rPr>
        <w:t xml:space="preserve"> 以奖代补工作目标是通过以奖代补项目建设，使项目区域水土流失治理步伐明显加快，生态环境进一步改善，逐步建立水土流失治理多元化投入机制，推动我县水土保持工程建设管理、资金投入、建后管护机制创新。</w:t>
      </w:r>
    </w:p>
    <w:p>
      <w:pPr>
        <w:tabs>
          <w:tab w:val="left" w:pos="7596"/>
        </w:tabs>
        <w:spacing w:before="0" w:after="0" w:line="580" w:lineRule="atLeast"/>
        <w:rPr>
          <w:rFonts w:hint="eastAsia" w:eastAsia="仿宋_GB2312"/>
          <w:sz w:val="32"/>
          <w:szCs w:val="32"/>
        </w:rPr>
      </w:pPr>
      <w:r>
        <w:rPr>
          <w:rFonts w:hint="eastAsia" w:eastAsia="楷体_GB2312"/>
          <w:b/>
          <w:sz w:val="32"/>
          <w:szCs w:val="32"/>
        </w:rPr>
        <w:t>第六条</w:t>
      </w:r>
      <w:r>
        <w:rPr>
          <w:rFonts w:hint="eastAsia" w:eastAsia="仿宋_GB2312"/>
          <w:sz w:val="32"/>
          <w:szCs w:val="32"/>
        </w:rPr>
        <w:t xml:space="preserve"> 以奖代补工作期限和资金补助规模根据省水利厅每年下达水土保持工程建设以奖代补工作资金情况确定,补助资金由中央水利发展资金和地方财政用于国家水土保持重点工程建设的资金支出。</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ind w:firstLine="0"/>
        <w:jc w:val="center"/>
        <w:rPr>
          <w:rFonts w:hint="eastAsia" w:eastAsia="黑体"/>
          <w:sz w:val="32"/>
          <w:szCs w:val="32"/>
        </w:rPr>
      </w:pPr>
      <w:r>
        <w:rPr>
          <w:rFonts w:hint="eastAsia" w:eastAsia="黑体"/>
          <w:sz w:val="32"/>
          <w:szCs w:val="32"/>
        </w:rPr>
        <w:t>第二章 奖补对象、范围和标准</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rPr>
          <w:rFonts w:hint="eastAsia" w:eastAsia="仿宋_GB2312"/>
          <w:sz w:val="32"/>
          <w:szCs w:val="32"/>
        </w:rPr>
      </w:pPr>
      <w:r>
        <w:rPr>
          <w:rFonts w:hint="eastAsia" w:eastAsia="楷体_GB2312"/>
          <w:b/>
          <w:sz w:val="32"/>
          <w:szCs w:val="32"/>
        </w:rPr>
        <w:t>第七条</w:t>
      </w:r>
      <w:r>
        <w:rPr>
          <w:rFonts w:hint="eastAsia" w:eastAsia="仿宋_GB2312"/>
          <w:sz w:val="32"/>
          <w:szCs w:val="32"/>
        </w:rPr>
        <w:t xml:space="preserve"> 奖补对象。自愿出资投工投劳参与水土流失治理，愿意承担建后管护责任的建设主体。主要包括：农户、村组集体以及农民专业合作组织、家庭农场、专业大户、社会组织、其他企业等。</w:t>
      </w:r>
    </w:p>
    <w:p>
      <w:pPr>
        <w:tabs>
          <w:tab w:val="left" w:pos="7596"/>
        </w:tabs>
        <w:spacing w:before="0" w:after="0" w:line="580" w:lineRule="atLeast"/>
        <w:rPr>
          <w:rFonts w:hint="eastAsia" w:eastAsia="仿宋_GB2312"/>
          <w:sz w:val="32"/>
          <w:szCs w:val="32"/>
        </w:rPr>
      </w:pPr>
      <w:r>
        <w:rPr>
          <w:rFonts w:hint="eastAsia" w:eastAsia="楷体_GB2312"/>
          <w:b/>
          <w:sz w:val="32"/>
          <w:szCs w:val="32"/>
        </w:rPr>
        <w:t xml:space="preserve">第八条 </w:t>
      </w:r>
      <w:r>
        <w:rPr>
          <w:rFonts w:hint="eastAsia" w:eastAsia="仿宋_GB2312"/>
          <w:sz w:val="32"/>
          <w:szCs w:val="32"/>
        </w:rPr>
        <w:t xml:space="preserve"> 奖补范围。以奖代补项目适用于施工单项合同估算价不超过400万元，材料、苗木等货物采购单项合同估算价不超过100万元的国家水土保持重点工程，适用范围限额随国家规定必须招标的标准限额进行动态调整。按照集中连片、规模治理的原则，重点打造地方特色产业，改善农业基础设施建设，兼顾生态清洁型小流域建设等水土保持措施。列入奖补范围的措施主要有：</w:t>
      </w:r>
    </w:p>
    <w:p>
      <w:pPr>
        <w:tabs>
          <w:tab w:val="left" w:pos="7596"/>
        </w:tabs>
        <w:spacing w:before="0" w:after="0" w:line="580" w:lineRule="atLeast"/>
        <w:rPr>
          <w:rFonts w:hint="eastAsia" w:eastAsia="仿宋_GB2312"/>
          <w:sz w:val="32"/>
          <w:szCs w:val="32"/>
        </w:rPr>
      </w:pPr>
      <w:r>
        <w:rPr>
          <w:rFonts w:hint="eastAsia" w:eastAsia="仿宋_GB2312"/>
          <w:b/>
          <w:sz w:val="32"/>
          <w:szCs w:val="32"/>
        </w:rPr>
        <w:t>（一）工程措施：</w:t>
      </w:r>
      <w:r>
        <w:rPr>
          <w:rFonts w:hint="eastAsia" w:eastAsia="仿宋_GB2312"/>
          <w:sz w:val="32"/>
          <w:szCs w:val="32"/>
        </w:rPr>
        <w:t>梯田建设及其配套修建的田间道路、公路行树、边坡挡墙、截排水沟、蓄水池、涝池、沟头填筑等小型水利水保工程；</w:t>
      </w:r>
    </w:p>
    <w:p>
      <w:pPr>
        <w:tabs>
          <w:tab w:val="left" w:pos="7596"/>
        </w:tabs>
        <w:spacing w:before="0" w:after="0" w:line="580" w:lineRule="atLeast"/>
        <w:rPr>
          <w:rFonts w:hint="eastAsia" w:eastAsia="仿宋_GB2312"/>
          <w:sz w:val="32"/>
          <w:szCs w:val="32"/>
        </w:rPr>
      </w:pPr>
      <w:r>
        <w:rPr>
          <w:rFonts w:hint="eastAsia" w:eastAsia="仿宋_GB2312"/>
          <w:b/>
          <w:sz w:val="32"/>
          <w:szCs w:val="32"/>
        </w:rPr>
        <w:t>（二）林草措施：</w:t>
      </w:r>
      <w:r>
        <w:rPr>
          <w:rFonts w:hint="eastAsia" w:eastAsia="仿宋_GB2312"/>
          <w:sz w:val="32"/>
          <w:szCs w:val="32"/>
        </w:rPr>
        <w:t>水土保持林、经果林、种草等；</w:t>
      </w:r>
    </w:p>
    <w:p>
      <w:pPr>
        <w:tabs>
          <w:tab w:val="left" w:pos="7596"/>
        </w:tabs>
        <w:spacing w:before="0" w:after="0" w:line="580" w:lineRule="atLeast"/>
        <w:rPr>
          <w:rFonts w:hint="eastAsia" w:eastAsia="仿宋_GB2312"/>
          <w:sz w:val="32"/>
          <w:szCs w:val="32"/>
        </w:rPr>
      </w:pPr>
      <w:r>
        <w:rPr>
          <w:rFonts w:hint="eastAsia" w:eastAsia="仿宋_GB2312"/>
          <w:b/>
          <w:sz w:val="32"/>
          <w:szCs w:val="32"/>
        </w:rPr>
        <w:t>（三）其他措施：</w:t>
      </w:r>
      <w:r>
        <w:rPr>
          <w:rFonts w:hint="eastAsia" w:eastAsia="仿宋_GB2312"/>
          <w:sz w:val="32"/>
          <w:szCs w:val="32"/>
        </w:rPr>
        <w:t>封禁治理、生态清洁型小流域建设相关措施等。</w:t>
      </w:r>
    </w:p>
    <w:p>
      <w:pPr>
        <w:tabs>
          <w:tab w:val="left" w:pos="7596"/>
        </w:tabs>
        <w:spacing w:before="0" w:after="0" w:line="580" w:lineRule="atLeast"/>
        <w:rPr>
          <w:rFonts w:hint="eastAsia" w:eastAsia="仿宋_GB2312"/>
          <w:sz w:val="32"/>
          <w:szCs w:val="32"/>
        </w:rPr>
      </w:pPr>
      <w:r>
        <w:rPr>
          <w:rFonts w:hint="eastAsia" w:eastAsia="楷体_GB2312"/>
          <w:b/>
          <w:sz w:val="32"/>
          <w:szCs w:val="32"/>
        </w:rPr>
        <w:t>第九条</w:t>
      </w:r>
      <w:r>
        <w:rPr>
          <w:rFonts w:hint="eastAsia" w:eastAsia="仿宋_GB2312"/>
          <w:sz w:val="32"/>
          <w:szCs w:val="32"/>
        </w:rPr>
        <w:t xml:space="preserve"> 以下措施不纳入奖补范围：</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设计容量200立方米及以上的蓄水池和设计容量1万立方米及以上的塘坝；</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以改种经果林为主要目的，水土流失治理效果不明显的措施；</w:t>
      </w:r>
    </w:p>
    <w:p>
      <w:pPr>
        <w:tabs>
          <w:tab w:val="left" w:pos="7596"/>
        </w:tabs>
        <w:spacing w:before="0" w:after="0" w:line="580" w:lineRule="atLeast"/>
        <w:rPr>
          <w:rFonts w:hint="eastAsia" w:eastAsia="仿宋_GB2312"/>
          <w:sz w:val="32"/>
          <w:szCs w:val="32"/>
        </w:rPr>
      </w:pPr>
      <w:r>
        <w:rPr>
          <w:rFonts w:hint="eastAsia" w:eastAsia="仿宋_GB2312"/>
          <w:b/>
          <w:sz w:val="32"/>
          <w:szCs w:val="32"/>
        </w:rPr>
        <w:t>（三）</w:t>
      </w:r>
      <w:r>
        <w:rPr>
          <w:rFonts w:hint="eastAsia" w:eastAsia="仿宋_GB2312"/>
          <w:sz w:val="32"/>
          <w:szCs w:val="32"/>
        </w:rPr>
        <w:t>其他实施难度大和安全风险高的水土保持工程措施；</w:t>
      </w:r>
    </w:p>
    <w:p>
      <w:pPr>
        <w:tabs>
          <w:tab w:val="left" w:pos="7596"/>
        </w:tabs>
        <w:spacing w:before="0" w:after="0" w:line="580" w:lineRule="atLeast"/>
        <w:rPr>
          <w:rFonts w:hint="eastAsia" w:eastAsia="仿宋_GB2312"/>
          <w:sz w:val="32"/>
          <w:szCs w:val="32"/>
        </w:rPr>
      </w:pPr>
      <w:r>
        <w:rPr>
          <w:rFonts w:hint="eastAsia" w:eastAsia="仿宋_GB2312"/>
          <w:b/>
          <w:sz w:val="32"/>
          <w:szCs w:val="32"/>
        </w:rPr>
        <w:t>（四）</w:t>
      </w:r>
      <w:r>
        <w:rPr>
          <w:rFonts w:hint="eastAsia" w:eastAsia="仿宋_GB2312"/>
          <w:sz w:val="32"/>
          <w:szCs w:val="32"/>
        </w:rPr>
        <w:t>与水土保持关系不密切的农村基础设施建设项目；</w:t>
      </w:r>
    </w:p>
    <w:p>
      <w:pPr>
        <w:tabs>
          <w:tab w:val="left" w:pos="7596"/>
        </w:tabs>
        <w:spacing w:before="0" w:after="0" w:line="580" w:lineRule="atLeast"/>
        <w:rPr>
          <w:rFonts w:hint="eastAsia" w:eastAsia="仿宋_GB2312"/>
          <w:sz w:val="32"/>
          <w:szCs w:val="32"/>
        </w:rPr>
      </w:pPr>
      <w:r>
        <w:rPr>
          <w:rFonts w:hint="eastAsia" w:eastAsia="仿宋_GB2312"/>
          <w:b/>
          <w:sz w:val="32"/>
          <w:szCs w:val="32"/>
        </w:rPr>
        <w:t>（五）</w:t>
      </w:r>
      <w:r>
        <w:rPr>
          <w:rFonts w:hint="eastAsia" w:eastAsia="仿宋_GB2312"/>
          <w:sz w:val="32"/>
          <w:szCs w:val="32"/>
        </w:rPr>
        <w:t>已获得其他财政投资补助的项目。</w:t>
      </w:r>
    </w:p>
    <w:p>
      <w:pPr>
        <w:tabs>
          <w:tab w:val="left" w:pos="7596"/>
        </w:tabs>
        <w:spacing w:before="0" w:after="0" w:line="580" w:lineRule="atLeast"/>
        <w:rPr>
          <w:rFonts w:hint="eastAsia" w:eastAsia="仿宋_GB2312"/>
          <w:sz w:val="32"/>
          <w:szCs w:val="32"/>
        </w:rPr>
      </w:pPr>
      <w:r>
        <w:rPr>
          <w:rFonts w:hint="eastAsia" w:eastAsia="仿宋_GB2312"/>
          <w:b/>
          <w:sz w:val="32"/>
          <w:szCs w:val="32"/>
        </w:rPr>
        <w:t>（六）</w:t>
      </w:r>
      <w:r>
        <w:rPr>
          <w:rFonts w:hint="eastAsia" w:eastAsia="仿宋_GB2312"/>
          <w:sz w:val="32"/>
          <w:szCs w:val="32"/>
        </w:rPr>
        <w:t>本实施细则发布前已完成的项目和治理措施。</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第十条</w:t>
      </w:r>
      <w:r>
        <w:rPr>
          <w:rFonts w:hint="eastAsia" w:eastAsia="仿宋_GB2312"/>
          <w:sz w:val="32"/>
          <w:szCs w:val="32"/>
        </w:rPr>
        <w:t xml:space="preserve"> 奖补标准。</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梯田及其配套修建的田间道路、公路行树、边坡挡墙、截排水沟、蓄水池、涝池、沟头填筑等小型水利水保工程，中央水利发展资金按照年度实施方案预算进行审核后确认的投资总额的70%进行补助；</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水土保持林、种草等林草措施按照批复实施方案投资总额的70%进行补助，林草措施必须为集中连片，治理面积不低于1.5公顷；</w:t>
      </w:r>
    </w:p>
    <w:p>
      <w:pPr>
        <w:tabs>
          <w:tab w:val="left" w:pos="7596"/>
        </w:tabs>
        <w:spacing w:before="0" w:after="0" w:line="580" w:lineRule="atLeast"/>
        <w:rPr>
          <w:rFonts w:hint="eastAsia" w:eastAsia="仿宋_GB2312"/>
          <w:sz w:val="32"/>
          <w:szCs w:val="32"/>
        </w:rPr>
      </w:pPr>
      <w:r>
        <w:rPr>
          <w:rFonts w:hint="eastAsia" w:eastAsia="仿宋_GB2312"/>
          <w:b/>
          <w:sz w:val="32"/>
          <w:szCs w:val="32"/>
        </w:rPr>
        <w:t>（三）</w:t>
      </w:r>
      <w:r>
        <w:rPr>
          <w:rFonts w:hint="eastAsia" w:eastAsia="仿宋_GB2312"/>
          <w:sz w:val="32"/>
          <w:szCs w:val="32"/>
        </w:rPr>
        <w:t>封禁治理措施按照批复实施方案投资总额的60%进行补助;</w:t>
      </w:r>
    </w:p>
    <w:p>
      <w:pPr>
        <w:tabs>
          <w:tab w:val="left" w:pos="7596"/>
        </w:tabs>
        <w:spacing w:before="0" w:after="0" w:line="580" w:lineRule="atLeast"/>
        <w:rPr>
          <w:rFonts w:hint="eastAsia" w:eastAsia="仿宋_GB2312"/>
          <w:sz w:val="32"/>
          <w:szCs w:val="32"/>
        </w:rPr>
      </w:pPr>
      <w:r>
        <w:rPr>
          <w:rFonts w:hint="eastAsia" w:eastAsia="仿宋_GB2312"/>
          <w:b/>
          <w:sz w:val="32"/>
          <w:szCs w:val="32"/>
        </w:rPr>
        <w:t>（四）</w:t>
      </w:r>
      <w:r>
        <w:rPr>
          <w:rFonts w:hint="eastAsia" w:eastAsia="仿宋_GB2312"/>
          <w:sz w:val="32"/>
          <w:szCs w:val="32"/>
        </w:rPr>
        <w:t>生态清洁型小流域建设按照年度实施方案预算按规定进行审核后确认的投资总额的70%进行补助。</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第十一条</w:t>
      </w:r>
      <w:r>
        <w:rPr>
          <w:rFonts w:hint="eastAsia" w:eastAsia="仿宋_GB2312"/>
          <w:sz w:val="32"/>
          <w:szCs w:val="32"/>
        </w:rPr>
        <w:t xml:space="preserve"> 纳入奖补的水土保持工程，均按最终验收确认的工程量给予奖补。同时应具备以下条件：</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经申报并批复的工程措施和工程量；</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按计划如期开工、竣工，并在批复时间内保质保量完成建设任务；</w:t>
      </w:r>
    </w:p>
    <w:p>
      <w:pPr>
        <w:tabs>
          <w:tab w:val="left" w:pos="7596"/>
        </w:tabs>
        <w:spacing w:before="0" w:after="0" w:line="580" w:lineRule="atLeast"/>
        <w:rPr>
          <w:rFonts w:hint="eastAsia" w:eastAsia="仿宋_GB2312"/>
          <w:sz w:val="32"/>
          <w:szCs w:val="32"/>
        </w:rPr>
      </w:pPr>
      <w:r>
        <w:rPr>
          <w:rFonts w:hint="eastAsia" w:eastAsia="仿宋_GB2312"/>
          <w:b/>
          <w:sz w:val="32"/>
          <w:szCs w:val="32"/>
        </w:rPr>
        <w:t>（三）</w:t>
      </w:r>
      <w:r>
        <w:rPr>
          <w:rFonts w:hint="eastAsia" w:eastAsia="仿宋_GB2312"/>
          <w:sz w:val="32"/>
          <w:szCs w:val="32"/>
        </w:rPr>
        <w:t>经验收合格，并提交完整的技术资料；</w:t>
      </w:r>
    </w:p>
    <w:p>
      <w:pPr>
        <w:tabs>
          <w:tab w:val="left" w:pos="7596"/>
        </w:tabs>
        <w:spacing w:before="0" w:after="0" w:line="580" w:lineRule="atLeast"/>
        <w:rPr>
          <w:rFonts w:hint="eastAsia" w:eastAsia="仿宋_GB2312"/>
          <w:sz w:val="32"/>
          <w:szCs w:val="32"/>
        </w:rPr>
      </w:pPr>
      <w:r>
        <w:rPr>
          <w:rFonts w:hint="eastAsia" w:eastAsia="仿宋_GB2312"/>
          <w:b/>
          <w:sz w:val="32"/>
          <w:szCs w:val="32"/>
        </w:rPr>
        <w:t>（四）</w:t>
      </w:r>
      <w:r>
        <w:rPr>
          <w:rFonts w:hint="eastAsia" w:eastAsia="仿宋_GB2312"/>
          <w:sz w:val="32"/>
          <w:szCs w:val="32"/>
        </w:rPr>
        <w:t>无弄虚作假等不良行为。</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ind w:firstLine="0"/>
        <w:jc w:val="center"/>
        <w:rPr>
          <w:rFonts w:hint="eastAsia" w:eastAsia="黑体"/>
          <w:sz w:val="32"/>
          <w:szCs w:val="32"/>
        </w:rPr>
      </w:pPr>
      <w:r>
        <w:rPr>
          <w:rFonts w:hint="eastAsia" w:eastAsia="黑体"/>
          <w:sz w:val="32"/>
          <w:szCs w:val="32"/>
        </w:rPr>
        <w:t>第三章 前期工作</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rPr>
          <w:rFonts w:hint="eastAsia" w:eastAsia="仿宋_GB2312"/>
          <w:sz w:val="32"/>
          <w:szCs w:val="32"/>
        </w:rPr>
      </w:pPr>
      <w:r>
        <w:rPr>
          <w:rFonts w:hint="eastAsia" w:eastAsia="楷体_GB2312"/>
          <w:b/>
          <w:sz w:val="32"/>
          <w:szCs w:val="32"/>
        </w:rPr>
        <w:t>第十二条</w:t>
      </w:r>
      <w:r>
        <w:rPr>
          <w:rFonts w:hint="eastAsia" w:eastAsia="仿宋_GB2312"/>
          <w:sz w:val="32"/>
          <w:szCs w:val="32"/>
        </w:rPr>
        <w:t xml:space="preserve"> 项目申报。项目区选择应确保公开、公平、公正。县水保局根据甘肃省水利厅每年度开展的以奖代补项目竞争性立项工作的通知要求转发给各乡（镇）政府，由各乡（镇）政府在本乡镇范围内公示。意向建设主体填报以奖代补项目区申报表及相关材料（申报表应明确建设地点（坐标、现状照片）、建设内容、建设时间、申请奖补资金规模等内容）向本乡（镇）政府申报，并经其充分审查后报县水保局。县水保局会同县财政局组织相关人员对其上报的项目进行现场调研、比选确定项目，再将审核通过拟建设项目列入以奖代补项目库。</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第十三条</w:t>
      </w:r>
      <w:r>
        <w:rPr>
          <w:rFonts w:hint="eastAsia" w:eastAsia="仿宋_GB2312"/>
          <w:sz w:val="32"/>
          <w:szCs w:val="32"/>
        </w:rPr>
        <w:t xml:space="preserve"> 实施方案编制（由发改、财政、水保部门组织专家对方案的合理性进行论证）。根据中央、省、市下达的年度以奖代补专项资金量、建设的必要性及建设主体的积极性等条件。由建设业主单位，将列入以奖代补项目库的当年度拟建的项目聘请设计单位编制完成实施方案（实施方案中应明确奖补资金建设的内容），勘察设计费可从奖补资金中列支。</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第十四条</w:t>
      </w:r>
      <w:r>
        <w:rPr>
          <w:rFonts w:hint="eastAsia" w:eastAsia="仿宋_GB2312"/>
          <w:sz w:val="32"/>
          <w:szCs w:val="32"/>
        </w:rPr>
        <w:t xml:space="preserve"> 发布建设公告。县水保局依据已批复的实施方案，将当年度实施的以奖代补水土保持工程建设范围、措施类型、奖补资金和建设要求等相关信息，通过政府网站和涉及的乡镇、村、组所在地公告栏进行公告，公告期为7个工作日。</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ind w:firstLine="0"/>
        <w:jc w:val="center"/>
        <w:rPr>
          <w:rFonts w:hint="eastAsia" w:eastAsia="黑体"/>
          <w:sz w:val="32"/>
          <w:szCs w:val="32"/>
        </w:rPr>
      </w:pPr>
      <w:r>
        <w:rPr>
          <w:rFonts w:hint="eastAsia" w:eastAsia="黑体"/>
          <w:sz w:val="32"/>
          <w:szCs w:val="32"/>
        </w:rPr>
        <w:t>第四章 建设管理</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rPr>
          <w:rFonts w:hint="eastAsia" w:eastAsia="仿宋_GB2312"/>
          <w:sz w:val="32"/>
          <w:szCs w:val="32"/>
        </w:rPr>
      </w:pPr>
      <w:r>
        <w:rPr>
          <w:rFonts w:hint="eastAsia" w:eastAsia="楷体_GB2312"/>
          <w:b/>
          <w:sz w:val="32"/>
          <w:szCs w:val="32"/>
        </w:rPr>
        <w:t>第十五条</w:t>
      </w:r>
      <w:r>
        <w:rPr>
          <w:rFonts w:hint="eastAsia" w:eastAsia="仿宋_GB2312"/>
          <w:sz w:val="32"/>
          <w:szCs w:val="32"/>
        </w:rPr>
        <w:t xml:space="preserve"> 签订协议。依据批复的实施方案，县水保、财政部门与建设主体、项目所在乡（镇）人民政府签订四方协议，明确建设地点（附图斑号或四界坐标，附现状照片）、建设内容、建设工期、工程质量与安全、验收及奖补标准、过程资料和档案管理、利益联结机制、产权归属、资金兑付、项目建成后管护主体和管护责任等各方权利和义务。</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第十六条</w:t>
      </w:r>
      <w:r>
        <w:rPr>
          <w:rFonts w:hint="eastAsia" w:eastAsia="仿宋_GB2312"/>
          <w:sz w:val="32"/>
          <w:szCs w:val="32"/>
        </w:rPr>
        <w:t xml:space="preserve"> 建设主体按照批复实施方案和协议要求自主开展工程建设，应确保工程质量达到验收要求，保证施工安全，具体措施为：</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工程措施：机耕道、生产便道、田间道路路面硬化材料、边坡挡墙、厚度、宽度，截排水沟、蓄水池、涝池、沟头填筑、沉沙池的池体尺寸、容量、池基处理、砌衬质量及土方，截、排水沟（管）等断面形式、尺寸和比降应满足设计要求。</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林草措施：苗木树种（品种）、苗龄、类型、规格、育苗产地达到设计标准，且经现场验收合格，具有苗木标签、良种证书复印件（非良种可不提供）、质量检验合格证书、植物检疫证书、使用说明。苗木设计、采购、验收过程相关文本、资质文件、合同、票据、验收单据等用苗档案保存进项目档案。</w:t>
      </w:r>
    </w:p>
    <w:p>
      <w:pPr>
        <w:tabs>
          <w:tab w:val="left" w:pos="7596"/>
        </w:tabs>
        <w:spacing w:before="0" w:after="0" w:line="580" w:lineRule="atLeast"/>
        <w:rPr>
          <w:rFonts w:hint="eastAsia" w:eastAsia="仿宋_GB2312"/>
          <w:sz w:val="32"/>
          <w:szCs w:val="32"/>
        </w:rPr>
      </w:pPr>
      <w:r>
        <w:rPr>
          <w:rFonts w:hint="eastAsia" w:eastAsia="仿宋_GB2312"/>
          <w:b/>
          <w:sz w:val="32"/>
          <w:szCs w:val="32"/>
        </w:rPr>
        <w:t>（三）</w:t>
      </w:r>
      <w:r>
        <w:rPr>
          <w:rFonts w:hint="eastAsia" w:eastAsia="仿宋_GB2312"/>
          <w:sz w:val="32"/>
          <w:szCs w:val="32"/>
        </w:rPr>
        <w:t>其他措施：封禁治理、生态清洁小流域建设等相关措施应满足相关设计要求。</w:t>
      </w:r>
    </w:p>
    <w:p>
      <w:pPr>
        <w:tabs>
          <w:tab w:val="left" w:pos="7596"/>
        </w:tabs>
        <w:spacing w:before="0" w:after="0" w:line="580" w:lineRule="atLeast"/>
        <w:rPr>
          <w:rFonts w:hint="eastAsia" w:eastAsia="仿宋_GB2312"/>
          <w:sz w:val="32"/>
          <w:szCs w:val="32"/>
        </w:rPr>
      </w:pPr>
      <w:r>
        <w:rPr>
          <w:rFonts w:hint="eastAsia" w:eastAsia="仿宋_GB2312"/>
          <w:b/>
          <w:sz w:val="32"/>
          <w:szCs w:val="32"/>
        </w:rPr>
        <w:t>（四）</w:t>
      </w:r>
      <w:r>
        <w:rPr>
          <w:rFonts w:hint="eastAsia" w:eastAsia="仿宋_GB2312"/>
          <w:sz w:val="32"/>
          <w:szCs w:val="32"/>
        </w:rPr>
        <w:t>建设主体在项目建设过程中，应在醒目位置和重点区域（如蓄水池、道路高边坡开挖段等）设置明显的安全警示标志，加强安全巡查，确保施工安全。</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第十七条</w:t>
      </w:r>
      <w:r>
        <w:rPr>
          <w:rFonts w:hint="eastAsia" w:eastAsia="仿宋_GB2312"/>
          <w:sz w:val="32"/>
          <w:szCs w:val="32"/>
        </w:rPr>
        <w:t xml:space="preserve"> 建设主体应按照经批复的实施方案严格实施，建设主体不得随意变更建设地点、内容等，确因特殊情况需调整的，应履行变更审批手续。</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第十八条</w:t>
      </w:r>
      <w:r>
        <w:rPr>
          <w:rFonts w:hint="eastAsia" w:eastAsia="仿宋_GB2312"/>
          <w:sz w:val="32"/>
          <w:szCs w:val="32"/>
        </w:rPr>
        <w:t xml:space="preserve"> 县领导小组成员单位要加强对工程施工质量、安全生产、施工进度等日常监督管理和技术指导。县自然资源局要在项目用地、林地审批工作上给予支持，县财政、审计部门要加强资金监督和审计工作，确保资金运行安全。</w:t>
      </w:r>
    </w:p>
    <w:p>
      <w:pPr>
        <w:tabs>
          <w:tab w:val="left" w:pos="7596"/>
        </w:tabs>
        <w:spacing w:before="0" w:after="0" w:line="580" w:lineRule="atLeast"/>
        <w:rPr>
          <w:rFonts w:hint="eastAsia" w:eastAsia="仿宋_GB2312"/>
          <w:sz w:val="32"/>
          <w:szCs w:val="32"/>
        </w:rPr>
      </w:pPr>
      <w:r>
        <w:rPr>
          <w:rFonts w:hint="eastAsia" w:eastAsia="楷体_GB2312"/>
          <w:b/>
          <w:sz w:val="32"/>
          <w:szCs w:val="32"/>
        </w:rPr>
        <w:t>第十九条</w:t>
      </w:r>
      <w:r>
        <w:rPr>
          <w:rFonts w:hint="eastAsia" w:eastAsia="仿宋_GB2312"/>
          <w:sz w:val="32"/>
          <w:szCs w:val="32"/>
        </w:rPr>
        <w:t xml:space="preserve"> 建设主体按照工程档案管理有关规定做好建设过程档案管理，对资料的真实性负责。建设主体购买主要原材料的相关票据、用工支付凭证（清单）、变更协议、施工前、中、后照片等妥善保管，作为工程验收的依据。</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第二十条</w:t>
      </w:r>
      <w:r>
        <w:rPr>
          <w:rFonts w:hint="eastAsia" w:eastAsia="仿宋_GB2312"/>
          <w:sz w:val="32"/>
          <w:szCs w:val="32"/>
        </w:rPr>
        <w:t xml:space="preserve"> 县水保局、财政局应对项目建设全过程和资金使用情况进行监督指导。县水保局应按上级部门要求及时报送工程实施相关信息。</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ind w:firstLine="0"/>
        <w:jc w:val="center"/>
        <w:rPr>
          <w:rFonts w:hint="eastAsia" w:eastAsia="黑体"/>
          <w:sz w:val="32"/>
          <w:szCs w:val="32"/>
        </w:rPr>
      </w:pPr>
      <w:r>
        <w:rPr>
          <w:rFonts w:hint="eastAsia" w:eastAsia="黑体"/>
          <w:sz w:val="32"/>
          <w:szCs w:val="32"/>
        </w:rPr>
        <w:t>第五章 工程验收</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第二十一条</w:t>
      </w:r>
      <w:r>
        <w:rPr>
          <w:rFonts w:hint="eastAsia" w:eastAsia="仿宋_GB2312"/>
          <w:sz w:val="32"/>
          <w:szCs w:val="32"/>
        </w:rPr>
        <w:t xml:space="preserve"> 项目验收。项目完工后，项目业主单位对所完成的项目进行自验（建议业主单位委托第三方验收，由第三方依据批复的实施方案对竣工工程的内容、数量和质量进行测量、评定和验收并出具第三方验收意见）。自验合格后业主单位向县水保局提交竣工验收报告，附建设内容（措施）前、中、后对比照片等相关材料。县水保局会同财政等相关单位对项目建设的内容开展工程竣工验收。</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第二十二条</w:t>
      </w:r>
      <w:r>
        <w:rPr>
          <w:rFonts w:hint="eastAsia" w:eastAsia="仿宋_GB2312"/>
          <w:sz w:val="32"/>
          <w:szCs w:val="32"/>
        </w:rPr>
        <w:t xml:space="preserve"> 验收相关要求如下：</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项目验收工作由项目实施领导小组成员单位开展；</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验收的主要内容是工程建设的质量、数量、建设过程资料、建后管护等内容；</w:t>
      </w:r>
    </w:p>
    <w:p>
      <w:pPr>
        <w:tabs>
          <w:tab w:val="left" w:pos="7596"/>
        </w:tabs>
        <w:spacing w:before="0" w:after="0" w:line="580" w:lineRule="atLeast"/>
        <w:rPr>
          <w:rFonts w:hint="eastAsia" w:eastAsia="仿宋_GB2312"/>
          <w:sz w:val="32"/>
          <w:szCs w:val="32"/>
        </w:rPr>
      </w:pPr>
      <w:r>
        <w:rPr>
          <w:rFonts w:hint="eastAsia" w:eastAsia="仿宋_GB2312"/>
          <w:b/>
          <w:sz w:val="32"/>
          <w:szCs w:val="32"/>
        </w:rPr>
        <w:t>（三）</w:t>
      </w:r>
      <w:r>
        <w:rPr>
          <w:rFonts w:hint="eastAsia" w:eastAsia="仿宋_GB2312"/>
          <w:sz w:val="32"/>
          <w:szCs w:val="32"/>
        </w:rPr>
        <w:t>工程验收包括现场查验、召开验收成果鉴定会。工程验收重点是各项措施的质量和数量，质量不符合标准的，不计其数量、不要整改、不做补助；</w:t>
      </w:r>
    </w:p>
    <w:p>
      <w:pPr>
        <w:tabs>
          <w:tab w:val="left" w:pos="7596"/>
        </w:tabs>
        <w:spacing w:before="0" w:after="0" w:line="580" w:lineRule="atLeast"/>
        <w:rPr>
          <w:rFonts w:hint="eastAsia" w:eastAsia="仿宋_GB2312"/>
          <w:sz w:val="32"/>
          <w:szCs w:val="32"/>
        </w:rPr>
      </w:pPr>
      <w:r>
        <w:rPr>
          <w:rFonts w:hint="eastAsia" w:eastAsia="仿宋_GB2312"/>
          <w:b/>
          <w:sz w:val="32"/>
          <w:szCs w:val="32"/>
        </w:rPr>
        <w:t>（四）</w:t>
      </w:r>
      <w:r>
        <w:rPr>
          <w:rFonts w:hint="eastAsia" w:eastAsia="仿宋_GB2312"/>
          <w:sz w:val="32"/>
          <w:szCs w:val="32"/>
        </w:rPr>
        <w:t>现场查验由县水保局或委托具有相应技术能力的查验单位按照本细则开展，县水保、财政部门、涉及乡（镇）和建设主体相关人员参加，编制工程验收查验报告。</w:t>
      </w:r>
    </w:p>
    <w:p>
      <w:pPr>
        <w:tabs>
          <w:tab w:val="left" w:pos="7596"/>
        </w:tabs>
        <w:spacing w:before="0" w:after="0" w:line="580" w:lineRule="atLeast"/>
        <w:rPr>
          <w:rFonts w:hint="eastAsia" w:eastAsia="仿宋_GB2312"/>
          <w:sz w:val="32"/>
          <w:szCs w:val="32"/>
        </w:rPr>
      </w:pPr>
      <w:r>
        <w:rPr>
          <w:rFonts w:hint="eastAsia" w:eastAsia="仿宋_GB2312"/>
          <w:b/>
          <w:sz w:val="32"/>
          <w:szCs w:val="32"/>
        </w:rPr>
        <w:t>（五）</w:t>
      </w:r>
      <w:r>
        <w:rPr>
          <w:rFonts w:hint="eastAsia" w:eastAsia="仿宋_GB2312"/>
          <w:sz w:val="32"/>
          <w:szCs w:val="32"/>
        </w:rPr>
        <w:t>验收成果鉴定会由县政府组织水务、财政、水保、农业农村、自然资源等部门和项目涉及乡（镇）人民政府、特邀专家等成立验收组，项目建设主体、设计、查验单位及涉及乡（镇）监督人员等相关单位派代表参加验收工作。依据批复的实施方案（变更文件）、验收申请表、工程合同协议、工程验收查验报告等资料开展验收成果鉴定工作，形成验收意见，同时附验收组成员签到册进行备案；</w:t>
      </w:r>
    </w:p>
    <w:p>
      <w:pPr>
        <w:tabs>
          <w:tab w:val="left" w:pos="7596"/>
        </w:tabs>
        <w:spacing w:before="0" w:after="0" w:line="580" w:lineRule="atLeast"/>
        <w:rPr>
          <w:rFonts w:hint="eastAsia" w:eastAsia="仿宋_GB2312"/>
          <w:sz w:val="32"/>
          <w:szCs w:val="32"/>
        </w:rPr>
      </w:pPr>
      <w:r>
        <w:rPr>
          <w:rFonts w:hint="eastAsia" w:eastAsia="仿宋_GB2312"/>
          <w:b/>
          <w:sz w:val="32"/>
          <w:szCs w:val="32"/>
        </w:rPr>
        <w:t>（六）</w:t>
      </w:r>
      <w:r>
        <w:rPr>
          <w:rFonts w:hint="eastAsia" w:eastAsia="仿宋_GB2312"/>
          <w:sz w:val="32"/>
          <w:szCs w:val="32"/>
        </w:rPr>
        <w:t>以奖代补工程应在项目实施年的次年7月底完成工程验收，9月底前完成奖补资金兑付，县政府以正式文件向市、省水行政主管部门、财政主管部门报送工程验收意见和奖补资金兑付情况。</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第二十三条</w:t>
      </w:r>
      <w:r>
        <w:rPr>
          <w:rFonts w:hint="eastAsia" w:eastAsia="仿宋_GB2312"/>
          <w:sz w:val="32"/>
          <w:szCs w:val="32"/>
        </w:rPr>
        <w:t xml:space="preserve"> 验收程序如下：</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提交验收申请。工程完工后，建设主体应向县水保部门提交以奖代补验收申请表，附建设内容（措施）前、中、后照片。工程可分单位工程进行分步验收，单位工程分步验收依据同工程验收一致。</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开展现场查验。县水保部门收到验收申请表后，组织开展现场查验，组织编制查验报告。</w:t>
      </w:r>
    </w:p>
    <w:p>
      <w:pPr>
        <w:tabs>
          <w:tab w:val="left" w:pos="7596"/>
        </w:tabs>
        <w:spacing w:before="0" w:after="0" w:line="580" w:lineRule="atLeast"/>
        <w:rPr>
          <w:rFonts w:hint="eastAsia" w:eastAsia="仿宋_GB2312"/>
          <w:sz w:val="32"/>
          <w:szCs w:val="32"/>
        </w:rPr>
      </w:pPr>
      <w:r>
        <w:rPr>
          <w:rFonts w:hint="eastAsia" w:eastAsia="仿宋_GB2312"/>
          <w:b/>
          <w:sz w:val="32"/>
          <w:szCs w:val="32"/>
        </w:rPr>
        <w:t>（三）</w:t>
      </w:r>
      <w:r>
        <w:rPr>
          <w:rFonts w:hint="eastAsia" w:eastAsia="仿宋_GB2312"/>
          <w:sz w:val="32"/>
          <w:szCs w:val="32"/>
        </w:rPr>
        <w:t>召开验收成果鉴定会。在完成现场查验工作的基础上，召开验收成果鉴定会，对工程建设情况进行综合鉴定，形成验收意见。</w:t>
      </w:r>
    </w:p>
    <w:p>
      <w:pPr>
        <w:tabs>
          <w:tab w:val="left" w:pos="7596"/>
        </w:tabs>
        <w:spacing w:before="0" w:after="0" w:line="580" w:lineRule="atLeast"/>
        <w:rPr>
          <w:rFonts w:hint="eastAsia" w:eastAsia="仿宋_GB2312"/>
          <w:sz w:val="32"/>
          <w:szCs w:val="32"/>
        </w:rPr>
      </w:pPr>
      <w:r>
        <w:rPr>
          <w:rFonts w:hint="eastAsia" w:eastAsia="仿宋_GB2312"/>
          <w:b/>
          <w:sz w:val="32"/>
          <w:szCs w:val="32"/>
        </w:rPr>
        <w:t>（四）</w:t>
      </w:r>
      <w:r>
        <w:rPr>
          <w:rFonts w:hint="eastAsia" w:eastAsia="仿宋_GB2312"/>
          <w:sz w:val="32"/>
          <w:szCs w:val="32"/>
        </w:rPr>
        <w:t>奖补公示。验收成果鉴定会结束后，县水保、财政部门应在七个工作日将工程验收结果和奖补资金情况在门户网站、项目建设所在村、组进行公示，公示期不得少于七个工作日，并拍照存档，公示结束无异议后及时拨付奖补资金。</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第二十四条</w:t>
      </w:r>
      <w:r>
        <w:rPr>
          <w:rFonts w:hint="eastAsia" w:eastAsia="仿宋_GB2312"/>
          <w:sz w:val="32"/>
          <w:szCs w:val="32"/>
        </w:rPr>
        <w:t xml:space="preserve"> 现场查验。</w:t>
      </w:r>
    </w:p>
    <w:p>
      <w:pPr>
        <w:tabs>
          <w:tab w:val="left" w:pos="7596"/>
        </w:tabs>
        <w:spacing w:before="0" w:after="0" w:line="580" w:lineRule="atLeast"/>
        <w:rPr>
          <w:rFonts w:hint="eastAsia" w:eastAsia="仿宋_GB2312"/>
          <w:sz w:val="32"/>
          <w:szCs w:val="32"/>
        </w:rPr>
      </w:pPr>
      <w:r>
        <w:rPr>
          <w:rFonts w:hint="eastAsia" w:eastAsia="仿宋_GB2312"/>
          <w:sz w:val="32"/>
          <w:szCs w:val="32"/>
        </w:rPr>
        <w:t>县水保部门或委托具有相应技术能力的查验单位按工程措施、林草措施逐图斑、逐措施全部查验。现场核查还应检查工程正常运行和管护责任的落实情况，收集苗木签证资料等。查验具体要求如下：</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工程措施现场查验。首先依据批复建设方案（变更文件）、验收申请、过程监督记录等资料，现场查验措施位置，调查工程数量是否与设计方案相符合；其次查验工程措施外观质量，测定其容量、长度、规格等是否满足设计要求。</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林草措施现场查验。首先依据批复的建设方案（变更文件）、验收申请表等资料，查验措施位置，量算措施图斑面积；其次调查林草措施成活率、株行距等。调查样方（圆）设置要求为在每个图斑内随机设置植物成活率调查样方（圆）（200平方米），调查样方（圆）按100亩以内3个，100至450亩内6个，大于450亩9个进行设置。</w:t>
      </w:r>
    </w:p>
    <w:p>
      <w:pPr>
        <w:tabs>
          <w:tab w:val="left" w:pos="7596"/>
        </w:tabs>
        <w:spacing w:before="0" w:after="0" w:line="580" w:lineRule="atLeast"/>
        <w:rPr>
          <w:rFonts w:hint="eastAsia" w:eastAsia="仿宋_GB2312"/>
          <w:sz w:val="32"/>
          <w:szCs w:val="32"/>
        </w:rPr>
      </w:pPr>
      <w:r>
        <w:rPr>
          <w:rFonts w:hint="eastAsia" w:eastAsia="仿宋_GB2312"/>
          <w:b/>
          <w:sz w:val="32"/>
          <w:szCs w:val="32"/>
        </w:rPr>
        <w:t>（三）</w:t>
      </w:r>
      <w:r>
        <w:rPr>
          <w:rFonts w:hint="eastAsia" w:eastAsia="仿宋_GB2312"/>
          <w:sz w:val="32"/>
          <w:szCs w:val="32"/>
        </w:rPr>
        <w:t>按签订合同协议对实施工程措施数量符合率达到90%以上（含）进入奖补核算；对林草措施图斑实地量算面积达设计面积90%以上（含）且成活率大于85%的进入奖补核算；按照实际工程量若累计面积和工程措施数量符合率小于90%，验收查验不予通过，不得进入奖补核算范围。</w:t>
      </w:r>
    </w:p>
    <w:p>
      <w:pPr>
        <w:tabs>
          <w:tab w:val="left" w:pos="7596"/>
        </w:tabs>
        <w:spacing w:before="0" w:after="0" w:line="580" w:lineRule="atLeast"/>
        <w:rPr>
          <w:rFonts w:hint="eastAsia" w:eastAsia="仿宋_GB2312"/>
          <w:sz w:val="32"/>
          <w:szCs w:val="32"/>
        </w:rPr>
      </w:pPr>
      <w:r>
        <w:rPr>
          <w:rFonts w:hint="eastAsia" w:eastAsia="仿宋_GB2312"/>
          <w:sz w:val="32"/>
          <w:szCs w:val="32"/>
        </w:rPr>
        <w:t>现场查验完成后，依据批复建设方案（变更文件）、验收申请表等资料，结合现场查验数据，编制工程验收查验报告。查验报告应包括项目基本情况、规划设计、实施情况（含过程监督履职情况）、查验结论、管护情况及拟拨付奖补资金核定等内容，附相关批复、调查表、核查统计表、现场核查签字表等。</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第二十五条</w:t>
      </w:r>
      <w:r>
        <w:rPr>
          <w:rFonts w:hint="eastAsia" w:eastAsia="仿宋_GB2312"/>
          <w:sz w:val="32"/>
          <w:szCs w:val="32"/>
        </w:rPr>
        <w:t xml:space="preserve"> 验收鉴定主要要求如下：</w:t>
      </w:r>
    </w:p>
    <w:p>
      <w:pPr>
        <w:tabs>
          <w:tab w:val="left" w:pos="7596"/>
        </w:tabs>
        <w:spacing w:before="0" w:after="0" w:line="580" w:lineRule="atLeast"/>
        <w:rPr>
          <w:rFonts w:hint="eastAsia" w:eastAsia="仿宋_GB2312"/>
          <w:sz w:val="32"/>
          <w:szCs w:val="32"/>
        </w:rPr>
      </w:pPr>
      <w:r>
        <w:rPr>
          <w:rFonts w:hint="eastAsia" w:eastAsia="仿宋_GB2312"/>
          <w:b/>
          <w:sz w:val="32"/>
          <w:szCs w:val="32"/>
        </w:rPr>
        <w:t>（一）</w:t>
      </w:r>
      <w:r>
        <w:rPr>
          <w:rFonts w:hint="eastAsia" w:eastAsia="仿宋_GB2312"/>
          <w:sz w:val="32"/>
          <w:szCs w:val="32"/>
        </w:rPr>
        <w:t>在完成现场查验工作的基础上，召开工程验收会，结合工程验收查验报告、签订的合同协议，对工程建设情况进行综合鉴定，讨论是否同意进行奖补，形成验收意见。验收意见应附验收人员名单、验收清单、验收图片、验收会议纪要等材料。</w:t>
      </w:r>
    </w:p>
    <w:p>
      <w:pPr>
        <w:tabs>
          <w:tab w:val="left" w:pos="7596"/>
        </w:tabs>
        <w:spacing w:before="0" w:after="0" w:line="580" w:lineRule="atLeast"/>
        <w:rPr>
          <w:rFonts w:hint="eastAsia" w:eastAsia="仿宋_GB2312"/>
          <w:sz w:val="32"/>
          <w:szCs w:val="32"/>
        </w:rPr>
      </w:pPr>
      <w:r>
        <w:rPr>
          <w:rFonts w:hint="eastAsia" w:eastAsia="仿宋_GB2312"/>
          <w:b/>
          <w:sz w:val="32"/>
          <w:szCs w:val="32"/>
        </w:rPr>
        <w:t>（二）</w:t>
      </w:r>
      <w:r>
        <w:rPr>
          <w:rFonts w:hint="eastAsia" w:eastAsia="仿宋_GB2312"/>
          <w:sz w:val="32"/>
          <w:szCs w:val="32"/>
        </w:rPr>
        <w:t>鉴定结果为合格，经验收组讨论后出具书面验收意见并进行公示。验收不合格，验收组出具书面意见，不得整改，不得进入奖补核算范围。　</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ind w:firstLine="0"/>
        <w:jc w:val="center"/>
        <w:rPr>
          <w:rFonts w:hint="eastAsia" w:eastAsia="黑体"/>
          <w:sz w:val="32"/>
          <w:szCs w:val="32"/>
        </w:rPr>
      </w:pPr>
      <w:r>
        <w:rPr>
          <w:rFonts w:hint="eastAsia" w:eastAsia="黑体"/>
          <w:sz w:val="32"/>
          <w:szCs w:val="32"/>
        </w:rPr>
        <w:t>第六章 兑付奖补及监管</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rPr>
          <w:rFonts w:hint="eastAsia" w:eastAsia="仿宋_GB2312"/>
          <w:sz w:val="32"/>
          <w:szCs w:val="32"/>
        </w:rPr>
      </w:pPr>
      <w:r>
        <w:rPr>
          <w:rFonts w:hint="eastAsia" w:ascii="楷体_GB2312" w:hAnsi="楷体_GB2312" w:eastAsia="楷体_GB2312"/>
          <w:b/>
          <w:sz w:val="32"/>
          <w:szCs w:val="32"/>
        </w:rPr>
        <w:t>第二十六条</w:t>
      </w:r>
      <w:r>
        <w:rPr>
          <w:rFonts w:hint="eastAsia" w:eastAsia="仿宋_GB2312"/>
          <w:sz w:val="32"/>
          <w:szCs w:val="32"/>
        </w:rPr>
        <w:t xml:space="preserve"> 奖补资金兑付。</w:t>
      </w:r>
    </w:p>
    <w:p>
      <w:pPr>
        <w:tabs>
          <w:tab w:val="left" w:pos="7596"/>
        </w:tabs>
        <w:spacing w:before="0" w:after="0" w:line="580" w:lineRule="atLeast"/>
        <w:rPr>
          <w:rFonts w:hint="eastAsia" w:eastAsia="仿宋_GB2312"/>
          <w:sz w:val="32"/>
          <w:szCs w:val="32"/>
        </w:rPr>
      </w:pPr>
      <w:r>
        <w:rPr>
          <w:rFonts w:hint="eastAsia" w:eastAsia="仿宋_GB2312"/>
          <w:sz w:val="32"/>
          <w:szCs w:val="32"/>
        </w:rPr>
        <w:t>工程验收结果公示无异议后，县财政部门依据县水保部门审核通过的合同协议、验收意见、项目所需主要原材料的购买票据、用工支付清单等，两个月内完成奖补资金兑付。</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第二十六条</w:t>
      </w:r>
      <w:r>
        <w:rPr>
          <w:rFonts w:hint="eastAsia" w:eastAsia="仿宋_GB2312"/>
          <w:sz w:val="32"/>
          <w:szCs w:val="32"/>
        </w:rPr>
        <w:t xml:space="preserve"> 县财政、水保部门要加强奖补资金的全过程绩效管理，确保奖补资金专款专用，按规定及时兑付。</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第二十七条</w:t>
      </w:r>
      <w:r>
        <w:rPr>
          <w:rFonts w:hint="eastAsia" w:eastAsia="仿宋_GB2312"/>
          <w:sz w:val="32"/>
          <w:szCs w:val="32"/>
        </w:rPr>
        <w:t xml:space="preserve"> 县财政、水保部门要加强奖补资金管理，对虚报、骗取、冒领、截留、挪用、贪污奖补资金的，建立“黑名单”制度，并按照有关法律法规严肃处理，同时追究相关人员责任。对建设主体、设计、查验单位的不良行为，要加大失信惩戒力度，通过水利建设市场信用信息平台向社会公布。</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第二十八条</w:t>
      </w:r>
      <w:r>
        <w:rPr>
          <w:rFonts w:hint="eastAsia" w:eastAsia="仿宋_GB2312"/>
          <w:sz w:val="32"/>
          <w:szCs w:val="32"/>
        </w:rPr>
        <w:t xml:space="preserve"> 县水保局负责督促建设主体加强以奖代补工程建设成果管护，按照“谁投资，谁所有，谁受益，谁管护”的原则，明确建设主体作为管护责任人的管护职责。确保水土保持设施的安全运行和效益稳定发挥，任何单位和个人不得破坏或者侵占水土保持设施。</w:t>
      </w:r>
    </w:p>
    <w:p>
      <w:pPr>
        <w:tabs>
          <w:tab w:val="left" w:pos="7596"/>
        </w:tabs>
        <w:spacing w:before="0" w:after="0" w:line="580" w:lineRule="atLeast"/>
        <w:rPr>
          <w:rFonts w:hint="eastAsia" w:eastAsia="仿宋_GB2312"/>
          <w:sz w:val="32"/>
          <w:szCs w:val="32"/>
        </w:rPr>
      </w:pPr>
      <w:r>
        <w:rPr>
          <w:rFonts w:hint="eastAsia" w:eastAsia="楷体_GB2312"/>
          <w:b/>
          <w:sz w:val="32"/>
          <w:szCs w:val="32"/>
        </w:rPr>
        <w:t>第二十九条</w:t>
      </w:r>
      <w:r>
        <w:rPr>
          <w:rFonts w:hint="eastAsia" w:eastAsia="仿宋_GB2312"/>
          <w:sz w:val="32"/>
          <w:szCs w:val="32"/>
        </w:rPr>
        <w:t xml:space="preserve"> 乡（镇）人民政府应加强对项目利益联结机制形成的收益进行监管，收益应重点用于巩固拓展脱贫攻坚成果和全面实现乡村振兴。</w:t>
      </w:r>
    </w:p>
    <w:p>
      <w:pPr>
        <w:tabs>
          <w:tab w:val="left" w:pos="7596"/>
        </w:tabs>
        <w:spacing w:before="0" w:after="0" w:line="362" w:lineRule="atLeast"/>
        <w:rPr>
          <w:rFonts w:hint="eastAsia" w:eastAsia="仿宋_GB2312"/>
          <w:sz w:val="11"/>
          <w:szCs w:val="11"/>
        </w:rPr>
      </w:pPr>
    </w:p>
    <w:p>
      <w:pPr>
        <w:tabs>
          <w:tab w:val="left" w:pos="7596"/>
        </w:tabs>
        <w:spacing w:before="0" w:after="0" w:line="580" w:lineRule="atLeast"/>
        <w:ind w:firstLine="0"/>
        <w:jc w:val="center"/>
        <w:rPr>
          <w:rFonts w:hint="eastAsia" w:eastAsia="黑体"/>
          <w:sz w:val="32"/>
          <w:szCs w:val="32"/>
        </w:rPr>
      </w:pPr>
      <w:r>
        <w:rPr>
          <w:rFonts w:hint="eastAsia" w:eastAsia="黑体"/>
          <w:sz w:val="32"/>
          <w:szCs w:val="32"/>
        </w:rPr>
        <w:t>第七章 附则</w:t>
      </w:r>
    </w:p>
    <w:p>
      <w:pPr>
        <w:tabs>
          <w:tab w:val="left" w:pos="7596"/>
        </w:tabs>
        <w:spacing w:before="0" w:after="0" w:line="580" w:lineRule="atLeast"/>
        <w:ind w:firstLine="0"/>
        <w:jc w:val="center"/>
        <w:rPr>
          <w:rFonts w:hint="eastAsia" w:eastAsia="黑体"/>
          <w:sz w:val="32"/>
          <w:szCs w:val="32"/>
        </w:rPr>
      </w:pPr>
    </w:p>
    <w:p>
      <w:pPr>
        <w:tabs>
          <w:tab w:val="left" w:pos="7596"/>
        </w:tabs>
        <w:spacing w:before="0" w:after="0" w:line="580" w:lineRule="atLeast"/>
        <w:rPr>
          <w:rFonts w:hint="eastAsia" w:eastAsia="仿宋_GB2312"/>
          <w:sz w:val="32"/>
          <w:szCs w:val="32"/>
        </w:rPr>
      </w:pPr>
      <w:r>
        <w:rPr>
          <w:rFonts w:hint="eastAsia" w:eastAsia="楷体_GB2312"/>
          <w:b/>
          <w:sz w:val="32"/>
          <w:szCs w:val="32"/>
        </w:rPr>
        <w:t>第三十条</w:t>
      </w:r>
      <w:r>
        <w:rPr>
          <w:rFonts w:hint="eastAsia" w:eastAsia="仿宋_GB2312"/>
          <w:sz w:val="32"/>
          <w:szCs w:val="32"/>
        </w:rPr>
        <w:t xml:space="preserve"> 本细则由县水保局负责解释，试点工作结束后领导小组自行解除。</w:t>
      </w:r>
    </w:p>
    <w:p>
      <w:pPr>
        <w:tabs>
          <w:tab w:val="left" w:pos="7596"/>
        </w:tabs>
        <w:spacing w:before="0" w:after="0" w:line="580" w:lineRule="atLeast"/>
        <w:rPr>
          <w:rFonts w:hint="eastAsia" w:eastAsia="仿宋_GB2312"/>
          <w:sz w:val="32"/>
          <w:szCs w:val="32"/>
        </w:rPr>
      </w:pPr>
    </w:p>
    <w:p>
      <w:pPr>
        <w:tabs>
          <w:tab w:val="left" w:pos="7596"/>
        </w:tabs>
        <w:spacing w:before="0" w:after="0" w:line="580" w:lineRule="atLeast"/>
        <w:rPr>
          <w:rFonts w:hint="eastAsia" w:eastAsia="仿宋_GB2312"/>
          <w:sz w:val="32"/>
          <w:szCs w:val="32"/>
        </w:rPr>
      </w:pPr>
      <w:r>
        <w:rPr>
          <w:rFonts w:hint="eastAsia" w:eastAsia="仿宋_GB2312"/>
          <w:sz w:val="32"/>
          <w:szCs w:val="32"/>
        </w:rPr>
        <w:t>附件：1.合水县水土保持工程建设以奖代补试点工作领导</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小</w:t>
      </w:r>
      <w:r>
        <w:rPr>
          <w:rFonts w:hint="eastAsia" w:eastAsia="仿宋_GB2312"/>
          <w:spacing w:val="-7"/>
          <w:sz w:val="32"/>
          <w:szCs w:val="32"/>
        </w:rPr>
        <w:t>组</w:t>
      </w:r>
      <w:r>
        <w:rPr>
          <w:rFonts w:hint="eastAsia" w:eastAsia="仿宋_GB2312"/>
          <w:sz w:val="32"/>
          <w:szCs w:val="32"/>
        </w:rPr>
        <w:t>成员名单</w:t>
      </w:r>
      <w:r>
        <w:rPr>
          <w:rFonts w:hint="eastAsia" w:eastAsia="仿宋_GB2312"/>
          <w:sz w:val="32"/>
          <w:szCs w:val="32"/>
        </w:rPr>
        <w:br w:type="page"/>
      </w:r>
    </w:p>
    <w:p>
      <w:pPr>
        <w:tabs>
          <w:tab w:val="left" w:pos="7596"/>
        </w:tabs>
        <w:spacing w:before="0" w:after="0" w:line="580" w:lineRule="atLeast"/>
        <w:ind w:firstLine="0"/>
        <w:rPr>
          <w:rFonts w:hint="eastAsia" w:eastAsia="黑体"/>
          <w:sz w:val="32"/>
          <w:szCs w:val="32"/>
        </w:rPr>
      </w:pPr>
      <w:r>
        <w:rPr>
          <w:rFonts w:hint="eastAsia" w:ascii="黑体" w:hAnsi="黑体" w:eastAsia="黑体"/>
          <w:sz w:val="32"/>
          <w:szCs w:val="32"/>
        </w:rPr>
        <w:t>附件</w:t>
      </w:r>
      <w:r>
        <w:rPr>
          <w:rFonts w:hint="eastAsia" w:eastAsia="黑体"/>
          <w:sz w:val="32"/>
          <w:szCs w:val="32"/>
        </w:rPr>
        <w:t>1</w:t>
      </w:r>
    </w:p>
    <w:p>
      <w:pPr>
        <w:tabs>
          <w:tab w:val="left" w:pos="7596"/>
        </w:tabs>
        <w:spacing w:before="0" w:after="0" w:line="362" w:lineRule="atLeast"/>
        <w:ind w:firstLine="0"/>
        <w:rPr>
          <w:rFonts w:hint="eastAsia" w:ascii="方正小标宋简体" w:hAnsi="方正小标宋简体" w:eastAsia="方正小标宋简体"/>
          <w:sz w:val="11"/>
          <w:szCs w:val="11"/>
        </w:rPr>
      </w:pPr>
    </w:p>
    <w:p>
      <w:pPr>
        <w:tabs>
          <w:tab w:val="left" w:pos="7596"/>
        </w:tabs>
        <w:spacing w:before="0" w:after="0" w:line="705" w:lineRule="atLeast"/>
        <w:ind w:firstLine="0"/>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合水县水土保持工程建设以奖代补试点工作</w:t>
      </w:r>
    </w:p>
    <w:p>
      <w:pPr>
        <w:tabs>
          <w:tab w:val="left" w:pos="7596"/>
        </w:tabs>
        <w:spacing w:before="0" w:after="0" w:line="705" w:lineRule="atLeast"/>
        <w:ind w:firstLine="0"/>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领导小组成员名单</w:t>
      </w:r>
    </w:p>
    <w:p>
      <w:pPr>
        <w:tabs>
          <w:tab w:val="left" w:pos="7596"/>
        </w:tabs>
        <w:spacing w:before="0" w:after="0" w:line="580" w:lineRule="atLeast"/>
        <w:ind w:firstLine="0"/>
        <w:rPr>
          <w:rFonts w:hint="eastAsia" w:eastAsia="仿宋_GB2312"/>
          <w:sz w:val="32"/>
          <w:szCs w:val="32"/>
        </w:rPr>
      </w:pPr>
    </w:p>
    <w:p>
      <w:pPr>
        <w:tabs>
          <w:tab w:val="left" w:pos="7596"/>
        </w:tabs>
        <w:spacing w:before="0" w:after="0" w:line="580" w:lineRule="atLeast"/>
        <w:rPr>
          <w:rFonts w:hint="eastAsia" w:eastAsia="仿宋_GB2312"/>
          <w:sz w:val="32"/>
          <w:szCs w:val="32"/>
        </w:rPr>
      </w:pPr>
      <w:r>
        <w:rPr>
          <w:rFonts w:hint="eastAsia" w:ascii="黑体" w:hAnsi="黑体" w:eastAsia="黑体"/>
          <w:sz w:val="32"/>
          <w:szCs w:val="32"/>
        </w:rPr>
        <w:t>组 长：</w:t>
      </w:r>
      <w:r>
        <w:rPr>
          <w:rFonts w:hint="eastAsia" w:eastAsia="仿宋_GB2312"/>
          <w:sz w:val="32"/>
          <w:szCs w:val="32"/>
        </w:rPr>
        <w:t>孟永刚  合水县人民政府副县长</w:t>
      </w:r>
    </w:p>
    <w:p>
      <w:pPr>
        <w:tabs>
          <w:tab w:val="left" w:pos="7596"/>
        </w:tabs>
        <w:spacing w:before="0" w:after="0" w:line="580" w:lineRule="atLeast"/>
        <w:rPr>
          <w:rFonts w:hint="eastAsia" w:eastAsia="仿宋_GB2312"/>
          <w:sz w:val="32"/>
          <w:szCs w:val="32"/>
        </w:rPr>
      </w:pPr>
      <w:r>
        <w:rPr>
          <w:rFonts w:hint="eastAsia" w:ascii="黑体" w:hAnsi="黑体" w:eastAsia="黑体"/>
          <w:sz w:val="32"/>
          <w:szCs w:val="32"/>
        </w:rPr>
        <w:t>副组长：</w:t>
      </w:r>
      <w:r>
        <w:rPr>
          <w:rFonts w:hint="eastAsia" w:eastAsia="仿宋_GB2312"/>
          <w:sz w:val="32"/>
          <w:szCs w:val="32"/>
        </w:rPr>
        <w:t>杜海坤  合水县财政局局长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呼保仁  合水县水保局局长</w:t>
      </w:r>
    </w:p>
    <w:p>
      <w:pPr>
        <w:tabs>
          <w:tab w:val="left" w:pos="7596"/>
        </w:tabs>
        <w:spacing w:before="0" w:after="0" w:line="580" w:lineRule="atLeast"/>
        <w:rPr>
          <w:rFonts w:hint="eastAsia" w:eastAsia="仿宋_GB2312"/>
          <w:sz w:val="32"/>
          <w:szCs w:val="32"/>
        </w:rPr>
      </w:pPr>
      <w:r>
        <w:rPr>
          <w:rFonts w:hint="eastAsia" w:ascii="黑体" w:hAnsi="黑体" w:eastAsia="黑体"/>
          <w:sz w:val="32"/>
          <w:szCs w:val="32"/>
        </w:rPr>
        <w:t>成 员：</w:t>
      </w:r>
      <w:r>
        <w:rPr>
          <w:rFonts w:hint="eastAsia" w:eastAsia="仿宋_GB2312"/>
          <w:sz w:val="32"/>
          <w:szCs w:val="32"/>
        </w:rPr>
        <w:t>杨锐龙  合水县发改局局长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周志君  合水县审计局局长  </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王德海  合水县自然资源局局长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严  浩  合水县农业农村局局长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贾振锋  合水县水务局局长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郭小刚  合水县乡村振兴局局长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刘永龙  吉岘镇党委书记</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梁希亮  太莪乡党委书记</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李鹏飞  西华池镇镇长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王小缠  板桥镇镇长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刘继恩  老城镇镇长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史  明  蒿咀铺乡乡长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丑众林  太白镇镇长</w:t>
      </w:r>
    </w:p>
    <w:p>
      <w:pPr>
        <w:tabs>
          <w:tab w:val="left" w:pos="7596"/>
        </w:tabs>
        <w:spacing w:before="0" w:after="0" w:line="580" w:lineRule="atLeast"/>
        <w:rPr>
          <w:rFonts w:hint="eastAsia" w:eastAsia="仿宋_GB2312"/>
          <w:sz w:val="32"/>
          <w:szCs w:val="32"/>
        </w:rPr>
      </w:pPr>
      <w:r>
        <w:rPr>
          <w:rFonts w:hint="eastAsia" w:eastAsia="仿宋_GB2312"/>
          <w:sz w:val="32"/>
          <w:szCs w:val="32"/>
        </w:rPr>
        <w:t xml:space="preserve">        杨晶晶  何家畔镇镇长</w:t>
      </w:r>
    </w:p>
    <w:p>
      <w:pPr>
        <w:tabs>
          <w:tab w:val="left" w:pos="7596"/>
        </w:tabs>
        <w:spacing w:before="0" w:after="0" w:line="580" w:lineRule="atLeast"/>
        <w:ind w:left="0" w:leftChars="0" w:firstLine="1200" w:firstLineChars="375"/>
        <w:rPr>
          <w:rFonts w:hint="eastAsia" w:eastAsia="仿宋_GB2312"/>
          <w:sz w:val="32"/>
          <w:szCs w:val="32"/>
        </w:rPr>
      </w:pPr>
      <w:r>
        <w:rPr>
          <w:rFonts w:hint="eastAsia" w:eastAsia="仿宋_GB2312"/>
          <w:sz w:val="32"/>
          <w:szCs w:val="32"/>
        </w:rPr>
        <w:t xml:space="preserve">    杨  超   固城镇镇长</w:t>
      </w:r>
    </w:p>
    <w:p>
      <w:pPr>
        <w:tabs>
          <w:tab w:val="left" w:pos="7596"/>
        </w:tabs>
        <w:spacing w:before="0" w:after="0" w:line="580" w:lineRule="atLeast"/>
        <w:ind w:left="0" w:leftChars="0" w:firstLine="1200" w:firstLineChars="375"/>
        <w:rPr>
          <w:rFonts w:hint="eastAsia" w:eastAsia="仿宋_GB2312"/>
          <w:sz w:val="32"/>
          <w:szCs w:val="32"/>
        </w:rPr>
      </w:pPr>
      <w:r>
        <w:rPr>
          <w:rFonts w:hint="eastAsia" w:eastAsia="仿宋_GB2312"/>
          <w:sz w:val="32"/>
          <w:szCs w:val="32"/>
        </w:rPr>
        <w:t xml:space="preserve">    张政通   肖咀镇镇长</w:t>
      </w:r>
    </w:p>
    <w:p>
      <w:pPr>
        <w:tabs>
          <w:tab w:val="left" w:pos="7596"/>
        </w:tabs>
        <w:spacing w:before="0" w:after="0" w:line="580" w:lineRule="atLeast"/>
        <w:ind w:left="0" w:leftChars="0" w:firstLine="1200" w:firstLineChars="375"/>
        <w:rPr>
          <w:rFonts w:hint="eastAsia" w:eastAsia="仿宋_GB2312"/>
          <w:sz w:val="32"/>
          <w:szCs w:val="32"/>
        </w:rPr>
      </w:pPr>
      <w:r>
        <w:rPr>
          <w:rFonts w:hint="eastAsia" w:eastAsia="仿宋_GB2312"/>
          <w:sz w:val="32"/>
          <w:szCs w:val="32"/>
        </w:rPr>
        <w:t xml:space="preserve">    王  楠   段家集乡乡长</w:t>
      </w:r>
    </w:p>
    <w:p>
      <w:pPr>
        <w:tabs>
          <w:tab w:val="left" w:pos="7596"/>
        </w:tabs>
        <w:spacing w:before="0" w:after="0" w:line="580" w:lineRule="atLeast"/>
        <w:ind w:left="0" w:leftChars="0" w:firstLine="1200" w:firstLineChars="375"/>
        <w:rPr>
          <w:rFonts w:hint="eastAsia" w:eastAsia="仿宋_GB2312"/>
          <w:sz w:val="32"/>
          <w:szCs w:val="32"/>
        </w:rPr>
      </w:pPr>
      <w:r>
        <w:rPr>
          <w:rFonts w:hint="eastAsia" w:eastAsia="仿宋_GB2312"/>
          <w:sz w:val="32"/>
          <w:szCs w:val="32"/>
        </w:rPr>
        <w:t xml:space="preserve">    段宗仁   店子乡乡长</w:t>
      </w:r>
    </w:p>
    <w:p>
      <w:pPr>
        <w:tabs>
          <w:tab w:val="left" w:pos="7596"/>
        </w:tabs>
        <w:spacing w:before="0" w:after="0" w:line="580" w:lineRule="atLeast"/>
        <w:rPr>
          <w:rFonts w:hint="eastAsia" w:eastAsia="仿宋_GB2312"/>
          <w:sz w:val="32"/>
          <w:szCs w:val="32"/>
        </w:rPr>
      </w:pPr>
      <w:r>
        <w:rPr>
          <w:rFonts w:hint="eastAsia" w:eastAsia="仿宋_GB2312"/>
          <w:sz w:val="32"/>
          <w:szCs w:val="32"/>
        </w:rPr>
        <w:t>领导小组下设办公室，办公室设在县水保局，呼保仁同志担任办公室主任，杨杰同志任办公室副主任。</w:t>
      </w:r>
    </w:p>
    <w:p>
      <w:pPr>
        <w:tabs>
          <w:tab w:val="left" w:pos="7596"/>
        </w:tabs>
        <w:spacing w:before="0" w:after="0" w:line="580" w:lineRule="atLeast"/>
        <w:rPr>
          <w:rFonts w:hint="eastAsia" w:eastAsia="仿宋_GB2312"/>
          <w:sz w:val="32"/>
          <w:szCs w:val="32"/>
        </w:rPr>
      </w:pPr>
      <w:r>
        <w:rPr>
          <w:rFonts w:hint="eastAsia" w:eastAsia="仿宋_GB2312"/>
          <w:sz w:val="32"/>
          <w:szCs w:val="32"/>
        </w:rPr>
        <w:br w:type="page"/>
      </w:r>
    </w:p>
    <w:p>
      <w:pPr>
        <w:widowControl w:val="0"/>
        <w:spacing w:line="705" w:lineRule="atLeast"/>
        <w:ind w:firstLine="880" w:firstLineChars="0"/>
        <w:rPr>
          <w:rFonts w:hint="eastAsia" w:eastAsia="方正小标宋简体"/>
          <w:sz w:val="44"/>
          <w:szCs w:val="44"/>
        </w:rPr>
      </w:pPr>
    </w:p>
    <w:p>
      <w:pPr>
        <w:widowControl w:val="0"/>
        <w:spacing w:line="580" w:lineRule="atLeast"/>
        <w:ind w:left="1" w:firstLine="0" w:firstLineChars="0"/>
        <w:rPr>
          <w:rFonts w:hint="eastAsia" w:eastAsia="仿宋_GB2312"/>
          <w:sz w:val="32"/>
          <w:szCs w:val="32"/>
        </w:rPr>
      </w:pPr>
    </w:p>
    <w:p>
      <w:pPr>
        <w:spacing w:line="580" w:lineRule="atLeast"/>
        <w:ind w:firstLine="639" w:firstLineChars="0"/>
        <w:rPr>
          <w:rFonts w:hint="eastAsia" w:eastAsia="仿宋_GB2312"/>
          <w:spacing w:val="0"/>
          <w:sz w:val="32"/>
          <w:szCs w:val="32"/>
        </w:rPr>
      </w:pPr>
    </w:p>
    <w:p>
      <w:pPr>
        <w:spacing w:line="580" w:lineRule="atLeast"/>
        <w:ind w:firstLine="639" w:firstLineChars="0"/>
        <w:rPr>
          <w:rFonts w:hint="eastAsia" w:eastAsia="仿宋_GB2312"/>
          <w:spacing w:val="0"/>
          <w:sz w:val="32"/>
          <w:szCs w:val="32"/>
        </w:rPr>
      </w:pPr>
    </w:p>
    <w:p>
      <w:pPr>
        <w:spacing w:line="580" w:lineRule="atLeast"/>
        <w:ind w:firstLine="639" w:firstLineChars="0"/>
        <w:rPr>
          <w:rFonts w:hint="eastAsia" w:eastAsia="仿宋_GB2312"/>
          <w:spacing w:val="0"/>
          <w:sz w:val="32"/>
          <w:szCs w:val="32"/>
        </w:rPr>
      </w:pPr>
    </w:p>
    <w:p>
      <w:pPr>
        <w:spacing w:line="580" w:lineRule="atLeast"/>
        <w:ind w:left="1" w:firstLine="0"/>
        <w:jc w:val="left"/>
        <w:rPr>
          <w:rFonts w:hint="eastAsia" w:eastAsia="仿宋_GB2312"/>
          <w:spacing w:val="0"/>
          <w:sz w:val="32"/>
          <w:szCs w:val="32"/>
        </w:rPr>
      </w:pPr>
    </w:p>
    <w:p>
      <w:pPr>
        <w:spacing w:line="580" w:lineRule="atLeast"/>
        <w:ind w:left="1" w:firstLine="0"/>
        <w:jc w:val="left"/>
        <w:rPr>
          <w:rFonts w:hint="eastAsia" w:eastAsia="仿宋_GB2312"/>
          <w:spacing w:val="0"/>
          <w:sz w:val="32"/>
          <w:szCs w:val="32"/>
        </w:rPr>
      </w:pPr>
    </w:p>
    <w:p>
      <w:pPr>
        <w:spacing w:line="580" w:lineRule="atLeast"/>
        <w:ind w:left="1" w:firstLine="0"/>
        <w:jc w:val="left"/>
        <w:rPr>
          <w:rFonts w:hint="eastAsia" w:eastAsia="仿宋_GB2312"/>
          <w:spacing w:val="0"/>
          <w:sz w:val="32"/>
          <w:szCs w:val="32"/>
        </w:rPr>
      </w:pPr>
    </w:p>
    <w:p>
      <w:pPr>
        <w:spacing w:line="580" w:lineRule="atLeast"/>
        <w:ind w:left="1" w:firstLine="0"/>
        <w:jc w:val="left"/>
        <w:rPr>
          <w:rFonts w:hint="eastAsia" w:eastAsia="仿宋_GB2312"/>
          <w:spacing w:val="0"/>
          <w:sz w:val="32"/>
          <w:szCs w:val="32"/>
        </w:rPr>
      </w:pPr>
    </w:p>
    <w:p>
      <w:pPr>
        <w:spacing w:line="580" w:lineRule="atLeast"/>
        <w:ind w:left="1" w:firstLine="0"/>
        <w:jc w:val="left"/>
        <w:rPr>
          <w:rFonts w:hint="eastAsia" w:eastAsia="仿宋_GB2312"/>
          <w:spacing w:val="0"/>
          <w:sz w:val="32"/>
          <w:szCs w:val="32"/>
        </w:rPr>
      </w:pPr>
    </w:p>
    <w:p>
      <w:pPr>
        <w:spacing w:line="788" w:lineRule="atLeast"/>
        <w:ind w:firstLine="0"/>
        <w:jc w:val="left"/>
        <w:rPr>
          <w:rFonts w:hint="eastAsia" w:eastAsia="仿宋_GB2312"/>
          <w:color w:val="000000"/>
          <w:sz w:val="52"/>
          <w:szCs w:val="52"/>
          <w:u w:val="single" w:color="auto"/>
        </w:rPr>
      </w:pPr>
    </w:p>
    <w:p>
      <w:pPr>
        <w:spacing w:line="788" w:lineRule="atLeast"/>
        <w:ind w:firstLine="0"/>
        <w:jc w:val="left"/>
        <w:rPr>
          <w:rFonts w:hint="eastAsia" w:eastAsia="仿宋_GB2312"/>
          <w:color w:val="000000"/>
          <w:sz w:val="52"/>
          <w:szCs w:val="52"/>
          <w:u w:val="single" w:color="auto"/>
        </w:rPr>
      </w:pPr>
    </w:p>
    <w:p>
      <w:pPr>
        <w:spacing w:line="1131" w:lineRule="atLeast"/>
        <w:ind w:firstLine="0"/>
        <w:jc w:val="left"/>
        <w:rPr>
          <w:rFonts w:hint="eastAsia" w:eastAsia="仿宋_GB2312"/>
          <w:color w:val="000000"/>
          <w:sz w:val="52"/>
          <w:szCs w:val="52"/>
          <w:u w:val="single" w:color="auto"/>
        </w:rPr>
      </w:pPr>
    </w:p>
    <w:p>
      <w:pPr>
        <w:spacing w:line="788" w:lineRule="atLeast"/>
        <w:ind w:firstLine="0"/>
        <w:jc w:val="left"/>
        <w:rPr>
          <w:rFonts w:hint="eastAsia" w:eastAsia="仿宋_GB2312"/>
          <w:color w:val="000000"/>
          <w:sz w:val="52"/>
          <w:szCs w:val="52"/>
          <w:u w:val="single" w:color="auto"/>
        </w:rPr>
      </w:pPr>
    </w:p>
    <w:p>
      <w:pPr>
        <w:spacing w:line="788" w:lineRule="atLeast"/>
        <w:ind w:left="0" w:leftChars="0" w:firstLine="0" w:firstLineChars="0"/>
        <w:jc w:val="left"/>
        <w:rPr>
          <w:rFonts w:hint="eastAsia" w:eastAsia="仿宋_GB2312"/>
          <w:color w:val="000000"/>
          <w:sz w:val="52"/>
          <w:szCs w:val="52"/>
          <w:u w:val="single" w:color="auto"/>
        </w:rPr>
      </w:pPr>
      <w:r>
        <w:rPr>
          <w:rFonts w:hint="eastAsia" w:eastAsia="仿宋_GB2312"/>
          <w:color w:val="000000"/>
          <w:sz w:val="52"/>
          <w:szCs w:val="52"/>
          <w:u w:val="single" w:color="auto"/>
        </w:rPr>
        <w:t xml:space="preserve">                            </w:t>
      </w:r>
      <w:r>
        <w:rPr>
          <w:rFonts w:hint="eastAsia" w:eastAsia="仿宋_GB2312"/>
          <w:color w:val="000000"/>
          <w:sz w:val="52"/>
          <w:szCs w:val="52"/>
          <w:u w:val="single" w:color="auto"/>
          <w:lang w:val="en-US" w:eastAsia="zh-CN"/>
        </w:rPr>
        <w:t xml:space="preserve">  </w:t>
      </w:r>
      <w:r>
        <w:rPr>
          <w:rFonts w:hint="eastAsia" w:eastAsia="仿宋_GB2312"/>
          <w:color w:val="000000"/>
          <w:sz w:val="52"/>
          <w:szCs w:val="52"/>
          <w:u w:val="single" w:color="auto"/>
        </w:rPr>
        <w:t xml:space="preserve">    </w:t>
      </w:r>
    </w:p>
    <w:p>
      <w:pPr>
        <w:spacing w:line="539" w:lineRule="atLeast"/>
        <w:ind w:left="0" w:leftChars="0" w:firstLine="0" w:firstLineChars="0"/>
        <w:rPr>
          <w:rFonts w:hint="eastAsia" w:eastAsia="仿宋_GB2312"/>
          <w:sz w:val="28"/>
          <w:szCs w:val="28"/>
          <w:u w:val="single" w:color="auto"/>
        </w:rPr>
      </w:pPr>
      <w:r>
        <w:rPr>
          <w:rFonts w:hint="eastAsia" w:eastAsia="仿宋_GB2312"/>
          <w:sz w:val="28"/>
          <w:szCs w:val="28"/>
          <w:u w:val="single" w:color="auto"/>
        </w:rPr>
        <w:t xml:space="preserve">  抄送：县委办，县人大办，县政协办。                           </w:t>
      </w:r>
    </w:p>
    <w:p>
      <w:pPr>
        <w:spacing w:line="539" w:lineRule="atLeast"/>
        <w:ind w:left="0" w:leftChars="0" w:firstLine="0" w:firstLineChars="0"/>
        <w:rPr>
          <w:rFonts w:hint="eastAsia" w:eastAsia="仿宋_GB2312"/>
          <w:sz w:val="28"/>
          <w:szCs w:val="28"/>
          <w:u w:val="single" w:color="auto"/>
        </w:rPr>
      </w:pPr>
      <w:r>
        <w:rPr>
          <w:rFonts w:hint="eastAsia" w:eastAsia="仿宋_GB2312"/>
          <w:sz w:val="28"/>
          <w:szCs w:val="28"/>
          <w:u w:val="single" w:color="auto"/>
        </w:rPr>
        <w:t xml:space="preserve">  公开属性：主动公开。                                         </w:t>
      </w:r>
    </w:p>
    <w:p>
      <w:pPr>
        <w:spacing w:line="539" w:lineRule="atLeast"/>
        <w:ind w:left="0" w:leftChars="0" w:firstLine="0" w:firstLineChars="0"/>
        <w:rPr>
          <w:rFonts w:hint="eastAsia" w:eastAsia="仿宋_GB2312"/>
          <w:sz w:val="28"/>
          <w:szCs w:val="28"/>
          <w:u w:val="single" w:color="auto"/>
        </w:rPr>
      </w:pPr>
      <w:r>
        <w:rPr>
          <w:rFonts w:hint="eastAsia" w:eastAsia="仿宋_GB2312"/>
          <w:sz w:val="28"/>
          <w:szCs w:val="28"/>
          <w:u w:val="single" w:color="auto"/>
        </w:rPr>
        <w:t xml:space="preserve">  合水县人民政府办公室                     2022年10月28日印发  </w:t>
      </w:r>
    </w:p>
    <w:p>
      <w:pPr>
        <w:spacing w:line="539" w:lineRule="atLeast"/>
        <w:ind w:left="1" w:firstLine="0"/>
        <w:rPr>
          <w:rFonts w:hint="eastAsia" w:eastAsia="仿宋_GB2312"/>
          <w:sz w:val="28"/>
          <w:szCs w:val="28"/>
        </w:rPr>
      </w:pPr>
      <w:r>
        <w:rPr>
          <w:rFonts w:hint="eastAsia" w:eastAsia="仿宋_GB2312"/>
          <w:sz w:val="28"/>
          <w:szCs w:val="28"/>
        </w:rPr>
        <w:t xml:space="preserve">                                               共印30份</w:t>
      </w:r>
      <w:bookmarkStart w:id="0" w:name="_GoBack"/>
      <w:bookmarkEnd w:id="0"/>
    </w:p>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97" w:right="1474" w:bottom="1984" w:left="1587" w:header="566" w:footer="56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3360" behindDoc="0" locked="1" layoutInCell="1" allowOverlap="1">
              <wp:simplePos x="0" y="0"/>
              <wp:positionH relativeFrom="column">
                <wp:posOffset>0</wp:posOffset>
              </wp:positionH>
              <wp:positionV relativeFrom="paragraph">
                <wp:posOffset>0</wp:posOffset>
              </wp:positionV>
              <wp:extent cx="5615940" cy="899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w="7200">
                        <a:noFill/>
                      </a:ln>
                    </wps:spPr>
                    <wps:txbx>
                      <w:txbxContent>
                        <w:p>
                          <w:pPr>
                            <w:widowControl w:val="0"/>
                            <w:spacing w:line="439" w:lineRule="atLeast"/>
                            <w:ind w:right="340" w:firstLine="420"/>
                            <w:jc w:val="righ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Arabic \* MERGEFORMAT </w:instrText>
                          </w:r>
                          <w:r>
                            <w:rPr>
                              <w:rFonts w:hint="eastAsia" w:ascii="宋体" w:hAnsi="宋体"/>
                              <w:sz w:val="28"/>
                              <w:szCs w:val="28"/>
                            </w:rPr>
                            <w:fldChar w:fldCharType="separate"/>
                          </w:r>
                          <w:r>
                            <w:rPr>
                              <w:rFonts w:hint="eastAsia" w:ascii="宋体" w:hAnsi="宋体"/>
                              <w:sz w:val="28"/>
                              <w:szCs w:val="28"/>
                            </w:rPr>
                            <w:t>?</w:t>
                          </w:r>
                          <w:r>
                            <w:rPr>
                              <w:rFonts w:hint="eastAsia" w:ascii="宋体" w:hAnsi="宋体"/>
                              <w:sz w:val="28"/>
                              <w:szCs w:val="28"/>
                            </w:rPr>
                            <w:fldChar w:fldCharType="end"/>
                          </w:r>
                          <w:r>
                            <w:rPr>
                              <w:rFonts w:hint="eastAsia" w:ascii="宋体" w:hAnsi="宋体"/>
                              <w:sz w:val="28"/>
                              <w:szCs w:val="28"/>
                            </w:rPr>
                            <w:t>-</w:t>
                          </w:r>
                        </w:p>
                      </w:txbxContent>
                    </wps:txbx>
                    <wps:bodyPr wrap="square" lIns="0" tIns="0" rIns="0" bIns="0" upright="1"/>
                  </wps:wsp>
                </a:graphicData>
              </a:graphic>
            </wp:anchor>
          </w:drawing>
        </mc:Choice>
        <mc:Fallback>
          <w:pict>
            <v:shape id="_x0000_s1026" o:spid="_x0000_s1026" o:spt="202" type="#_x0000_t202" style="position:absolute;left:0pt;margin-left:0pt;margin-top:0pt;height:70.85pt;width:442.2pt;z-index:251663360;mso-width-relative:page;mso-height-relative:page;" filled="f" stroked="f" coordsize="21600,21600" o:gfxdata="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&#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Z9uYtYAAAAFAQAADwAAAAAAAAABACAAAAAiAAAAZHJz&#10;L2Rvd25yZXYueG1sUEsBAhQAFAAAAAgAh07iQFIoqLbNAQAAiQMAAA4AAAAAAAAAAQAgAAAAJQEA&#10;AGRycy9lMm9Eb2MueG1sUEsFBgAAAAAGAAYAWQEAAGQFAAAAAA==&#10;">
              <v:fill on="f" focussize="0,0"/>
              <v:stroke on="f" weight="0.566929133858268pt"/>
              <v:imagedata o:title=""/>
              <o:lock v:ext="edit" aspectratio="f"/>
              <v:textbox inset="0mm,0mm,0mm,0mm">
                <w:txbxContent>
                  <w:p>
                    <w:pPr>
                      <w:widowControl w:val="0"/>
                      <w:spacing w:line="439" w:lineRule="atLeast"/>
                      <w:ind w:right="340" w:firstLine="420"/>
                      <w:jc w:val="righ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Arabic \* MERGEFORMAT </w:instrText>
                    </w:r>
                    <w:r>
                      <w:rPr>
                        <w:rFonts w:hint="eastAsia" w:ascii="宋体" w:hAnsi="宋体"/>
                        <w:sz w:val="28"/>
                        <w:szCs w:val="28"/>
                      </w:rPr>
                      <w:fldChar w:fldCharType="separate"/>
                    </w:r>
                    <w:r>
                      <w:rPr>
                        <w:rFonts w:hint="eastAsia" w:ascii="宋体" w:hAnsi="宋体"/>
                        <w:sz w:val="28"/>
                        <w:szCs w:val="28"/>
                      </w:rPr>
                      <w:t>?</w:t>
                    </w:r>
                    <w:r>
                      <w:rPr>
                        <w:rFonts w:hint="eastAsia" w:ascii="宋体" w:hAnsi="宋体"/>
                        <w:sz w:val="28"/>
                        <w:szCs w:val="28"/>
                      </w:rPr>
                      <w:fldChar w:fldCharType="end"/>
                    </w:r>
                    <w:r>
                      <w:rPr>
                        <w:rFonts w:hint="eastAsia" w:ascii="宋体" w:hAnsi="宋体"/>
                        <w:sz w:val="28"/>
                        <w:szCs w:val="28"/>
                      </w:rPr>
                      <w:t>-</w:t>
                    </w:r>
                  </w:p>
                </w:txbxContent>
              </v:textbox>
              <w10:anchorlock/>
            </v:shape>
          </w:pict>
        </mc:Fallback>
      </mc:AlternateContent>
    </w:r>
    <w:r>
      <mc:AlternateContent>
        <mc:Choice Requires="wps">
          <w:drawing>
            <wp:inline distT="0" distB="0" distL="114300" distR="114300">
              <wp:extent cx="5615940" cy="899795"/>
              <wp:effectExtent l="0" t="0" r="0" b="0"/>
              <wp:docPr id="8"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899795"/>
                      </a:xfrm>
                      <a:prstGeom prst="rect">
                        <a:avLst/>
                      </a:prstGeom>
                      <a:noFill/>
                      <a:ln>
                        <a:noFill/>
                      </a:ln>
                    </wps:spPr>
                    <wps:bodyPr wrap="square" upright="1"/>
                  </wps:wsp>
                </a:graphicData>
              </a:graphic>
            </wp:inline>
          </w:drawing>
        </mc:Choice>
        <mc:Fallback>
          <w:pict>
            <v:rect id="图片 4" o:spid="_x0000_s1026" o:spt="1" style="height:70.85pt;width:442.2pt;" filled="f" stroked="f" coordsize="21600,21600" o:gfxdata="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xKst1gAAAAUBAAAPAAAAAAAAAAEAIAAAACIAAABkcnMvZG93bnJldi54bWxQSwEC&#10;FAAUAAAACACHTuJAsp/8XL0BAABwAwAADgAAAAAAAAABACAAAAAlAQAAZHJzL2Uyb0RvYy54bWxQ&#10;SwUGAAAAAAYABgBZAQAAVAU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2336" behindDoc="0" locked="1" layoutInCell="1" allowOverlap="1">
              <wp:simplePos x="0" y="0"/>
              <wp:positionH relativeFrom="column">
                <wp:posOffset>0</wp:posOffset>
              </wp:positionH>
              <wp:positionV relativeFrom="paragraph">
                <wp:posOffset>0</wp:posOffset>
              </wp:positionV>
              <wp:extent cx="5615940" cy="899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w="7200">
                        <a:noFill/>
                      </a:ln>
                    </wps:spPr>
                    <wps:txbx>
                      <w:txbxContent>
                        <w:p>
                          <w:pPr>
                            <w:widowControl w:val="0"/>
                            <w:spacing w:line="439" w:lineRule="atLeast"/>
                            <w:ind w:firstLine="0"/>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Arabic \* MERGEFORMAT </w:instrText>
                          </w:r>
                          <w:r>
                            <w:rPr>
                              <w:rFonts w:hint="eastAsia" w:ascii="宋体" w:hAnsi="宋体"/>
                              <w:sz w:val="28"/>
                              <w:szCs w:val="28"/>
                            </w:rPr>
                            <w:fldChar w:fldCharType="separate"/>
                          </w:r>
                          <w:r>
                            <w:rPr>
                              <w:rFonts w:hint="eastAsia" w:ascii="宋体" w:hAnsi="宋体"/>
                              <w:sz w:val="28"/>
                              <w:szCs w:val="28"/>
                            </w:rPr>
                            <w:t>?</w:t>
                          </w:r>
                          <w:r>
                            <w:rPr>
                              <w:rFonts w:hint="eastAsia" w:ascii="宋体" w:hAnsi="宋体"/>
                              <w:sz w:val="28"/>
                              <w:szCs w:val="28"/>
                            </w:rPr>
                            <w:fldChar w:fldCharType="end"/>
                          </w:r>
                          <w:r>
                            <w:rPr>
                              <w:rFonts w:hint="eastAsia" w:ascii="宋体" w:hAnsi="宋体"/>
                              <w:sz w:val="28"/>
                              <w:szCs w:val="28"/>
                            </w:rPr>
                            <w:t>-</w:t>
                          </w:r>
                        </w:p>
                      </w:txbxContent>
                    </wps:txbx>
                    <wps:bodyPr wrap="square" lIns="0" tIns="0" rIns="0" bIns="0" upright="1"/>
                  </wps:wsp>
                </a:graphicData>
              </a:graphic>
            </wp:anchor>
          </w:drawing>
        </mc:Choice>
        <mc:Fallback>
          <w:pict>
            <v:shape id="_x0000_s1026" o:spid="_x0000_s1026" o:spt="202" type="#_x0000_t202" style="position:absolute;left:0pt;margin-left:0pt;margin-top:0pt;height:70.85pt;width:442.2pt;z-index:251662336;mso-width-relative:page;mso-height-relative:page;" filled="f" stroked="f" coordsize="21600,21600" o:gfxdata="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Z9uYtYAAAAFAQAADwAAAAAAAAABACAAAAAiAAAAZHJz&#10;L2Rvd25yZXYueG1sUEsBAhQAFAAAAAgAh07iQMIC62vNAQAAiQMAAA4AAAAAAAAAAQAgAAAAJQEA&#10;AGRycy9lMm9Eb2MueG1sUEsFBgAAAAAGAAYAWQEAAGQFAAAAAA==&#10;">
              <v:fill on="f" focussize="0,0"/>
              <v:stroke on="f" weight="0.566929133858268pt"/>
              <v:imagedata o:title=""/>
              <o:lock v:ext="edit" aspectratio="f"/>
              <v:textbox inset="0mm,0mm,0mm,0mm">
                <w:txbxContent>
                  <w:p>
                    <w:pPr>
                      <w:widowControl w:val="0"/>
                      <w:spacing w:line="439" w:lineRule="atLeast"/>
                      <w:ind w:firstLine="0"/>
                      <w:jc w:val="lef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Arabic \* MERGEFORMAT </w:instrText>
                    </w:r>
                    <w:r>
                      <w:rPr>
                        <w:rFonts w:hint="eastAsia" w:ascii="宋体" w:hAnsi="宋体"/>
                        <w:sz w:val="28"/>
                        <w:szCs w:val="28"/>
                      </w:rPr>
                      <w:fldChar w:fldCharType="separate"/>
                    </w:r>
                    <w:r>
                      <w:rPr>
                        <w:rFonts w:hint="eastAsia" w:ascii="宋体" w:hAnsi="宋体"/>
                        <w:sz w:val="28"/>
                        <w:szCs w:val="28"/>
                      </w:rPr>
                      <w:t>?</w:t>
                    </w:r>
                    <w:r>
                      <w:rPr>
                        <w:rFonts w:hint="eastAsia" w:ascii="宋体" w:hAnsi="宋体"/>
                        <w:sz w:val="28"/>
                        <w:szCs w:val="28"/>
                      </w:rPr>
                      <w:fldChar w:fldCharType="end"/>
                    </w:r>
                    <w:r>
                      <w:rPr>
                        <w:rFonts w:hint="eastAsia" w:ascii="宋体" w:hAnsi="宋体"/>
                        <w:sz w:val="28"/>
                        <w:szCs w:val="28"/>
                      </w:rPr>
                      <w:t>-</w:t>
                    </w:r>
                  </w:p>
                </w:txbxContent>
              </v:textbox>
              <w10:anchorlock/>
            </v:shape>
          </w:pict>
        </mc:Fallback>
      </mc:AlternateContent>
    </w:r>
    <w:r>
      <mc:AlternateContent>
        <mc:Choice Requires="wps">
          <w:drawing>
            <wp:inline distT="0" distB="0" distL="114300" distR="114300">
              <wp:extent cx="5615940" cy="899795"/>
              <wp:effectExtent l="0" t="0" r="0" b="0"/>
              <wp:docPr id="7"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899795"/>
                      </a:xfrm>
                      <a:prstGeom prst="rect">
                        <a:avLst/>
                      </a:prstGeom>
                      <a:noFill/>
                      <a:ln>
                        <a:noFill/>
                      </a:ln>
                    </wps:spPr>
                    <wps:bodyPr wrap="square" upright="1"/>
                  </wps:wsp>
                </a:graphicData>
              </a:graphic>
            </wp:inline>
          </w:drawing>
        </mc:Choice>
        <mc:Fallback>
          <w:pict>
            <v:rect id="图片 3" o:spid="_x0000_s1026" o:spt="1" style="height:70.85pt;width:442.2pt;" filled="f" stroked="f" coordsize="21600,21600" o:gfxdata="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xKst1gAAAAUBAAAPAAAAAAAAAAEAIAAAACIAAABkcnMvZG93bnJldi54bWxQSwEC&#10;FAAUAAAACACHTuJAOJ4b2r0BAABwAwAADgAAAAAAAAABACAAAAAlAQAAZHJzL2Uyb0RvYy54bWxQ&#10;SwUGAAAAAAYABgBZAQAAVAUAAAAA&#10;">
              <v:fill on="f" focussize="0,0"/>
              <v:stroke on="f"/>
              <v:imagedata o:title=""/>
              <o:lock v:ext="edit" aspectratio="t"/>
              <w10:wrap type="non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1312" behindDoc="0" locked="1" layoutInCell="1" allowOverlap="1">
              <wp:simplePos x="0" y="0"/>
              <wp:positionH relativeFrom="column">
                <wp:posOffset>0</wp:posOffset>
              </wp:positionH>
              <wp:positionV relativeFrom="paragraph">
                <wp:posOffset>0</wp:posOffset>
              </wp:positionV>
              <wp:extent cx="5615940" cy="971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w="7200">
                        <a:noFill/>
                      </a:ln>
                    </wps:spPr>
                    <wps:txbx>
                      <w:txbxContent>
                        <w:p>
                          <w:pPr>
                            <w:widowControl w:val="0"/>
                            <w:spacing w:line="334" w:lineRule="atLeast"/>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76.5pt;width:442.2pt;z-index:251661312;mso-width-relative:page;mso-height-relative:page;" filled="f" stroked="f" coordsize="21600,21600" o:gfxdata="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OFEfdYAAAAFAQAADwAAAAAAAAABACAAAAAiAAAAZHJz&#10;L2Rvd25yZXYueG1sUEsBAhQAFAAAAAgAh07iQAuaPLjNAQAAiQMAAA4AAAAAAAAAAQAgAAAAJQEA&#10;AGRycy9lMm9Eb2MueG1sUEsFBgAAAAAGAAYAWQEAAGQFA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6"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971550"/>
                      </a:xfrm>
                      <a:prstGeom prst="rect">
                        <a:avLst/>
                      </a:prstGeom>
                      <a:noFill/>
                      <a:ln>
                        <a:noFill/>
                      </a:ln>
                    </wps:spPr>
                    <wps:bodyPr wrap="square" upright="1"/>
                  </wps:wsp>
                </a:graphicData>
              </a:graphic>
            </wp:inline>
          </w:drawing>
        </mc:Choice>
        <mc:Fallback>
          <w:pict>
            <v:rect id="图片 2" o:spid="_x0000_s1026" o:spt="1" style="height:76.5pt;width:442.2pt;" filled="f" stroked="f" coordsize="21600,21600" o:gfxdata="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qBMtcAAAAFAQAADwAAAAAAAAABACAAAAAiAAAAZHJzL2Rvd25yZXYueG1sUEsB&#10;AhQAFAAAAAgAh07iQJHCAN29AQAAcAMAAA4AAAAAAAAAAQAgAAAAJgEAAGRycy9lMm9Eb2MueG1s&#10;UEsFBgAAAAAGAAYAWQEAAFUFA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0288" behindDoc="0" locked="1" layoutInCell="1" allowOverlap="1">
              <wp:simplePos x="0" y="0"/>
              <wp:positionH relativeFrom="column">
                <wp:posOffset>0</wp:posOffset>
              </wp:positionH>
              <wp:positionV relativeFrom="paragraph">
                <wp:posOffset>0</wp:posOffset>
              </wp:positionV>
              <wp:extent cx="5615940" cy="971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w="7200">
                        <a:noFill/>
                      </a:ln>
                    </wps:spPr>
                    <wps:txbx>
                      <w:txbxContent>
                        <w:p>
                          <w:pPr>
                            <w:widowControl w:val="0"/>
                            <w:spacing w:line="334" w:lineRule="atLeast"/>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76.5pt;width:442.2pt;z-index:251660288;mso-width-relative:page;mso-height-relative:page;" filled="f" stroked="f" coordsize="21600,21600" o:gfxdata="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4UR91gAAAAUBAAAPAAAAAAAAAAEAIAAAACIAAABkcnMv&#10;ZG93bnJldi54bWxQSwECFAAUAAAACACHTuJAduZNDcwBAACJAwAADgAAAAAAAAABACAAAAAlAQAA&#10;ZHJzL2Uyb0RvYy54bWxQSwUGAAAAAAYABgBZAQAAYwU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971550"/>
              <wp:effectExtent l="0" t="0" r="0" b="0"/>
              <wp:docPr id="5"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971550"/>
                      </a:xfrm>
                      <a:prstGeom prst="rect">
                        <a:avLst/>
                      </a:prstGeom>
                      <a:noFill/>
                      <a:ln>
                        <a:noFill/>
                      </a:ln>
                    </wps:spPr>
                    <wps:bodyPr wrap="square" upright="1"/>
                  </wps:wsp>
                </a:graphicData>
              </a:graphic>
            </wp:inline>
          </w:drawing>
        </mc:Choice>
        <mc:Fallback>
          <w:pict>
            <v:rect id="图片 1" o:spid="_x0000_s1026" o:spt="1" style="height:76.5pt;width:442.2pt;" filled="f" stroked="f" coordsize="21600,21600" o:gfxdata="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qBMtcAAAAFAQAADwAAAAAAAAABACAAAAAiAAAAZHJzL2Rvd25yZXYueG1sUEsB&#10;AhQAFAAAAAgAh07iQBEDpjW9AQAAcAMAAA4AAAAAAAAAAQAgAAAAJgEAAGRycy9lMm9Eb2MueG1s&#10;UEsFBgAAAAAGAAYAWQEAAFUFAAAAAA==&#10;">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evenAndOddHeaders w:val="1"/>
  <w:displayHorizontalDrawingGridEvery w:val="0"/>
  <w:displayVerticalDrawingGridEvery w:val="0"/>
  <w:doNotUseMarginsForDrawingGridOrigin w:val="1"/>
  <w:drawingGridHorizontalOrigin w:val="0"/>
  <w:drawingGridVerticalOrigin w:val="0"/>
  <w:doNotShadeFormData w:val="1"/>
  <w:characterSpacingControl w:val="compressPunctuation"/>
  <w:doNotValidateAgainstSchema/>
  <w:doNotDemarcateInvalidXml/>
  <w:hdrShapeDefaults>
    <o:shapelayout v:ext="edit">
      <o:idmap v:ext="edit" data="1"/>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YzNmMzEyNWQ1NjU4ZDVhNDkyZTA2MmIzNTJmMWIifQ=="/>
  </w:docVars>
  <w:rsids>
    <w:rsidRoot w:val="00172A27"/>
    <w:rsid w:val="02355E3D"/>
    <w:rsid w:val="514428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21" w:firstLineChars="200"/>
    </w:pPr>
    <w:rPr>
      <w:rFonts w:ascii="Times New Roman" w:hAnsi="Times New Roman" w:eastAsia="宋体" w:cs="Times New Roman"/>
    </w:rPr>
  </w:style>
  <w:style w:type="paragraph" w:styleId="2">
    <w:name w:val="heading 1"/>
    <w:basedOn w:val="1"/>
    <w:next w:val="1"/>
    <w:uiPriority w:val="0"/>
    <w:pPr>
      <w:spacing w:before="104" w:beforeLines="0" w:after="104" w:afterLines="0" w:line="0" w:lineRule="atLeast"/>
      <w:ind w:firstLine="0" w:firstLineChars="0"/>
      <w:jc w:val="center"/>
    </w:pPr>
    <w:rPr>
      <w:rFonts w:ascii="Arial" w:hAnsi="Arial" w:eastAsia="黑体"/>
      <w:sz w:val="32"/>
      <w:szCs w:val="32"/>
    </w:rPr>
  </w:style>
  <w:style w:type="paragraph" w:styleId="3">
    <w:name w:val="heading 2"/>
    <w:basedOn w:val="1"/>
    <w:next w:val="1"/>
    <w:uiPriority w:val="0"/>
    <w:pPr>
      <w:spacing w:line="0" w:lineRule="atLeast"/>
      <w:ind w:firstLine="0" w:firstLineChars="0"/>
      <w:jc w:val="center"/>
    </w:pPr>
    <w:rPr>
      <w:rFonts w:ascii="Times New Roman" w:hAnsi="Times New Roman"/>
      <w:sz w:val="28"/>
      <w:szCs w:val="28"/>
    </w:rPr>
  </w:style>
  <w:style w:type="paragraph" w:styleId="4">
    <w:name w:val="heading 3"/>
    <w:basedOn w:val="1"/>
    <w:next w:val="1"/>
    <w:uiPriority w:val="0"/>
    <w:pPr>
      <w:spacing w:before="104" w:beforeLines="0" w:after="104" w:afterLines="0"/>
      <w:ind w:firstLine="0" w:firstLineChars="0"/>
    </w:pPr>
    <w:rPr>
      <w:rFonts w:eastAsia="黑体"/>
    </w:rPr>
  </w:style>
  <w:style w:type="character" w:default="1" w:styleId="11">
    <w:name w:val="Default Paragraph Font"/>
    <w:uiPriority w:val="0"/>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toc 3"/>
    <w:basedOn w:val="1"/>
    <w:next w:val="1"/>
    <w:uiPriority w:val="0"/>
    <w:pPr>
      <w:spacing w:line="306" w:lineRule="auto"/>
    </w:pPr>
  </w:style>
  <w:style w:type="paragraph" w:styleId="6">
    <w:name w:val="toc 1"/>
    <w:basedOn w:val="1"/>
    <w:next w:val="1"/>
    <w:uiPriority w:val="0"/>
    <w:pPr>
      <w:spacing w:after="104" w:afterLines="0" w:line="0" w:lineRule="atLeast"/>
      <w:ind w:firstLine="0" w:firstLineChars="0"/>
      <w:jc w:val="left"/>
    </w:pPr>
    <w:rPr>
      <w:rFonts w:ascii="Arial" w:hAnsi="Arial" w:eastAsia="黑体"/>
      <w:sz w:val="28"/>
      <w:szCs w:val="28"/>
    </w:rPr>
  </w:style>
  <w:style w:type="paragraph" w:styleId="7">
    <w:name w:val="toc 4"/>
    <w:basedOn w:val="1"/>
    <w:next w:val="1"/>
    <w:uiPriority w:val="0"/>
    <w:pPr>
      <w:spacing w:line="306" w:lineRule="auto"/>
      <w:ind w:firstLine="629" w:firstLineChars="0"/>
    </w:pPr>
  </w:style>
  <w:style w:type="paragraph" w:styleId="8">
    <w:name w:val="toc 2"/>
    <w:basedOn w:val="1"/>
    <w:next w:val="1"/>
    <w:uiPriority w:val="0"/>
    <w:pPr>
      <w:spacing w:line="306" w:lineRule="auto"/>
      <w:ind w:firstLine="209" w:firstLineChars="0"/>
    </w:pPr>
  </w:style>
  <w:style w:type="paragraph" w:styleId="9">
    <w:name w:val="Title"/>
    <w:basedOn w:val="1"/>
    <w:uiPriority w:val="0"/>
    <w:pPr>
      <w:spacing w:before="209" w:beforeLines="0" w:after="209" w:afterLines="0" w:line="0" w:lineRule="atLeast"/>
      <w:ind w:firstLine="0" w:firstLineChars="0"/>
      <w:jc w:val="center"/>
    </w:pPr>
    <w:rPr>
      <w:rFonts w:ascii="Arial" w:hAnsi="Arial" w:eastAsia="黑体"/>
      <w:sz w:val="52"/>
      <w:szCs w:val="52"/>
    </w:rPr>
  </w:style>
  <w:style w:type="paragraph" w:customStyle="1" w:styleId="12">
    <w:name w:val="目录标题"/>
    <w:basedOn w:val="1"/>
    <w:uiPriority w:val="0"/>
    <w:pPr>
      <w:spacing w:before="209" w:beforeLines="0" w:after="209" w:afterLines="0" w:line="0" w:lineRule="atLeast"/>
      <w:jc w:val="center"/>
    </w:pPr>
    <w:rPr>
      <w:rFonts w:ascii="Arial" w:hAnsi="Arial" w:eastAsia="黑体"/>
      <w:spacing w:val="209"/>
      <w:sz w:val="52"/>
      <w:szCs w:val="52"/>
    </w:rPr>
  </w:style>
  <w:style w:type="paragraph" w:customStyle="1" w:styleId="13">
    <w:name w:val="文章附标题"/>
    <w:basedOn w:val="1"/>
    <w:uiPriority w:val="0"/>
    <w:pPr>
      <w:spacing w:before="104" w:beforeLines="0" w:after="104" w:afterLines="0" w:line="0" w:lineRule="atLeast"/>
      <w:ind w:firstLine="0" w:firstLineChars="0"/>
      <w:jc w:val="center"/>
    </w:pPr>
    <w:rPr>
      <w:sz w:val="36"/>
      <w:szCs w:val="36"/>
    </w:rPr>
  </w:style>
  <w:style w:type="paragraph" w:customStyle="1" w:styleId="14">
    <w:name w:val="WPS Plain"/>
    <w:uiPriority w:val="0"/>
    <w:rPr>
      <w:rFonts w:ascii="Times New Roman" w:hAnsi="Times New Roman" w:eastAsia="宋体" w:cs="Times New Roman"/>
    </w:rPr>
  </w:style>
  <w:style w:type="character" w:customStyle="1" w:styleId="15">
    <w:name w:val="链接"/>
    <w:basedOn w:val="11"/>
    <w:qFormat/>
    <w:uiPriority w:val="0"/>
    <w:rPr>
      <w:color w:val="0000FF"/>
      <w:u w:val="single" w:color="0000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5761</Words>
  <Characters>5822</Characters>
  <TotalTime>1</TotalTime>
  <ScaleCrop>false</ScaleCrop>
  <LinksUpToDate>false</LinksUpToDate>
  <CharactersWithSpaces>6297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2022-11-08T03:30:00Z</dcterms:created>
  <dc:creator>叶子</dc:creator>
  <cp:lastModifiedBy>叶子</cp:lastModifiedBy>
  <dcterms:modified xsi:type="dcterms:W3CDTF">2022-11-08T03:33:47Z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8048B65150DB48DD809814F9491D2389</vt:lpwstr>
  </property>
</Properties>
</file>