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86"/>
        <w:ind w:right="491" w:firstLine="1044"/>
        <w:jc w:val="center"/>
        <w:rPr>
          <w:b/>
          <w:sz w:val="52"/>
        </w:rPr>
      </w:pPr>
      <w:r>
        <w:rPr>
          <w:rFonts w:hint="eastAsia"/>
          <w:b/>
          <w:sz w:val="52"/>
        </w:rPr>
        <w:t>合水县何家畔镇何家畔村</w:t>
      </w:r>
    </w:p>
    <w:p>
      <w:pPr>
        <w:spacing w:before="186"/>
        <w:ind w:right="491" w:firstLine="1044"/>
        <w:jc w:val="center"/>
        <w:rPr>
          <w:b/>
          <w:sz w:val="52"/>
        </w:rPr>
      </w:pPr>
      <w:r>
        <w:rPr>
          <w:rFonts w:hint="eastAsia"/>
          <w:b/>
          <w:sz w:val="52"/>
        </w:rPr>
        <w:t>截污控源工程</w:t>
      </w:r>
    </w:p>
    <w:p>
      <w:pPr>
        <w:spacing w:before="186"/>
        <w:ind w:right="491" w:firstLine="1044"/>
        <w:jc w:val="center"/>
        <w:rPr>
          <w:b/>
          <w:sz w:val="52"/>
        </w:rPr>
      </w:pPr>
      <w:r>
        <w:rPr>
          <w:b/>
          <w:sz w:val="52"/>
        </w:rPr>
        <w:t>入河排污口</w:t>
      </w:r>
      <w:r>
        <w:rPr>
          <w:rFonts w:hint="eastAsia"/>
          <w:b/>
          <w:sz w:val="52"/>
        </w:rPr>
        <w:t>设置分析报告</w:t>
      </w:r>
    </w:p>
    <w:p>
      <w:pPr>
        <w:spacing w:before="51"/>
        <w:ind w:left="623" w:right="785" w:firstLine="883"/>
        <w:jc w:val="center"/>
        <w:rPr>
          <w:b/>
          <w:sz w:val="44"/>
        </w:rPr>
      </w:pPr>
      <w:r>
        <w:rPr>
          <w:b/>
          <w:sz w:val="44"/>
        </w:rPr>
        <w:t>（</w:t>
      </w:r>
      <w:r>
        <w:rPr>
          <w:rFonts w:hint="eastAsia"/>
          <w:b/>
          <w:sz w:val="44"/>
        </w:rPr>
        <w:t>报批</w:t>
      </w:r>
      <w:r>
        <w:rPr>
          <w:b/>
          <w:sz w:val="44"/>
        </w:rPr>
        <w:t>稿）</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199" w:firstLineChars="83"/>
      </w:pPr>
    </w:p>
    <w:p>
      <w:pPr>
        <w:spacing w:before="88"/>
        <w:ind w:right="792" w:firstLine="199" w:firstLineChars="66"/>
        <w:jc w:val="center"/>
        <w:rPr>
          <w:rFonts w:eastAsia="Times New Roman"/>
          <w:b/>
          <w:sz w:val="30"/>
        </w:rPr>
      </w:pPr>
      <w:r>
        <w:rPr>
          <w:rFonts w:hint="eastAsia"/>
          <w:b/>
          <w:sz w:val="30"/>
        </w:rPr>
        <w:t>陕西优和安环工程咨询有限公司</w:t>
      </w:r>
    </w:p>
    <w:p>
      <w:pPr>
        <w:spacing w:before="88"/>
        <w:ind w:right="792" w:firstLineChars="0"/>
        <w:jc w:val="center"/>
        <w:rPr>
          <w:b/>
          <w:sz w:val="30"/>
        </w:rPr>
      </w:pPr>
      <w:r>
        <w:rPr>
          <w:rFonts w:hint="eastAsia"/>
          <w:b/>
          <w:sz w:val="30"/>
        </w:rPr>
        <w:t>2020</w:t>
      </w:r>
      <w:r>
        <w:rPr>
          <w:b/>
          <w:sz w:val="30"/>
        </w:rPr>
        <w:t>年</w:t>
      </w:r>
      <w:r>
        <w:rPr>
          <w:rFonts w:hint="eastAsia" w:eastAsiaTheme="minorEastAsia"/>
          <w:b/>
          <w:sz w:val="30"/>
        </w:rPr>
        <w:t>1</w:t>
      </w:r>
      <w:r>
        <w:rPr>
          <w:rFonts w:hint="eastAsia" w:eastAsiaTheme="minorEastAsia"/>
          <w:b/>
          <w:sz w:val="30"/>
          <w:lang w:val="en-US"/>
        </w:rPr>
        <w:t>2</w:t>
      </w:r>
      <w:r>
        <w:rPr>
          <w:b/>
          <w:sz w:val="30"/>
        </w:rPr>
        <w:t>月</w:t>
      </w:r>
    </w:p>
    <w:p>
      <w:pPr>
        <w:widowControl/>
        <w:autoSpaceDE/>
        <w:autoSpaceDN/>
        <w:ind w:firstLine="0" w:firstLineChars="0"/>
        <w:rPr>
          <w:b/>
          <w:sz w:val="30"/>
        </w:rPr>
      </w:pPr>
    </w:p>
    <w:p>
      <w:pPr>
        <w:spacing w:before="88"/>
        <w:ind w:left="457" w:right="792" w:firstLine="602"/>
        <w:jc w:val="center"/>
        <w:rPr>
          <w:rFonts w:eastAsiaTheme="minorEastAsia"/>
          <w:b/>
          <w:sz w:val="30"/>
        </w:rPr>
        <w:sectPr>
          <w:headerReference r:id="rId7" w:type="first"/>
          <w:footerReference r:id="rId10" w:type="first"/>
          <w:headerReference r:id="rId5" w:type="default"/>
          <w:footerReference r:id="rId8" w:type="default"/>
          <w:headerReference r:id="rId6" w:type="even"/>
          <w:footerReference r:id="rId9" w:type="even"/>
          <w:pgSz w:w="11910" w:h="16840"/>
          <w:pgMar w:top="1661" w:right="1321" w:bottom="1361" w:left="1338" w:header="1086" w:footer="1164" w:gutter="0"/>
          <w:cols w:space="720" w:num="1"/>
        </w:sectPr>
      </w:pPr>
    </w:p>
    <w:p>
      <w:pPr>
        <w:spacing w:before="88"/>
        <w:ind w:left="457" w:right="792" w:firstLine="602"/>
        <w:jc w:val="center"/>
        <w:rPr>
          <w:rFonts w:hint="eastAsia" w:eastAsiaTheme="minorEastAsia"/>
          <w:b/>
          <w:sz w:val="30"/>
        </w:rPr>
      </w:pPr>
      <w:r>
        <w:rPr>
          <w:rFonts w:hint="eastAsia" w:eastAsiaTheme="minorEastAsia"/>
          <w:b/>
          <w:sz w:val="30"/>
        </w:rPr>
        <w:t>目 录</w:t>
      </w:r>
    </w:p>
    <w:p>
      <w:pPr>
        <w:pStyle w:val="14"/>
        <w:tabs>
          <w:tab w:val="right" w:leader="dot" w:pos="9241"/>
        </w:tabs>
        <w:ind w:firstLine="482"/>
        <w:rPr>
          <w:rFonts w:asciiTheme="minorHAnsi" w:hAnsiTheme="minorHAnsi" w:eastAsiaTheme="minorEastAsia" w:cstheme="minorBidi"/>
          <w:kern w:val="2"/>
          <w:sz w:val="21"/>
          <w:lang w:val="en-US" w:bidi="ar-SA"/>
        </w:rPr>
      </w:pPr>
      <w:r>
        <w:rPr>
          <w:rFonts w:eastAsiaTheme="minorEastAsia"/>
          <w:b/>
          <w:szCs w:val="24"/>
        </w:rPr>
        <w:fldChar w:fldCharType="begin"/>
      </w:r>
      <w:r>
        <w:rPr>
          <w:rFonts w:eastAsiaTheme="minorEastAsia"/>
          <w:b/>
          <w:szCs w:val="24"/>
        </w:rPr>
        <w:instrText xml:space="preserve"> TOC \o "1-2" \h \z \u </w:instrText>
      </w:r>
      <w:r>
        <w:rPr>
          <w:rFonts w:eastAsiaTheme="minorEastAsia"/>
          <w:b/>
          <w:szCs w:val="24"/>
        </w:rPr>
        <w:fldChar w:fldCharType="separate"/>
      </w:r>
      <w:r>
        <w:fldChar w:fldCharType="begin"/>
      </w:r>
      <w:r>
        <w:instrText xml:space="preserve"> HYPERLINK \l "_Toc57964341" </w:instrText>
      </w:r>
      <w:r>
        <w:fldChar w:fldCharType="separate"/>
      </w:r>
      <w:r>
        <w:rPr>
          <w:rStyle w:val="21"/>
        </w:rPr>
        <w:t xml:space="preserve">1 </w:t>
      </w:r>
      <w:r>
        <w:rPr>
          <w:rStyle w:val="21"/>
          <w:rFonts w:hint="eastAsia"/>
        </w:rPr>
        <w:t>总</w:t>
      </w:r>
      <w:r>
        <w:rPr>
          <w:rStyle w:val="21"/>
        </w:rPr>
        <w:t xml:space="preserve"> </w:t>
      </w:r>
      <w:r>
        <w:rPr>
          <w:rStyle w:val="21"/>
          <w:rFonts w:hint="eastAsia"/>
        </w:rPr>
        <w:t>则</w:t>
      </w:r>
      <w:r>
        <w:tab/>
      </w:r>
      <w:r>
        <w:fldChar w:fldCharType="begin"/>
      </w:r>
      <w:r>
        <w:instrText xml:space="preserve"> PAGEREF _Toc57964341 \h </w:instrText>
      </w:r>
      <w:r>
        <w:fldChar w:fldCharType="separate"/>
      </w:r>
      <w:r>
        <w:t>1</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"_Toc57964342" </w:instrText>
      </w:r>
      <w:r>
        <w:fldChar w:fldCharType="separate"/>
      </w:r>
      <w:r>
        <w:rPr>
          <w:rStyle w:val="21"/>
        </w:rPr>
        <w:t xml:space="preserve">1.1 </w:t>
      </w:r>
      <w:r>
        <w:rPr>
          <w:rStyle w:val="21"/>
          <w:rFonts w:hint="eastAsia"/>
        </w:rPr>
        <w:t>项目背景</w:t>
      </w:r>
      <w:r>
        <w:tab/>
      </w:r>
      <w:r>
        <w:fldChar w:fldCharType="begin"/>
      </w:r>
      <w:r>
        <w:instrText xml:space="preserve"> PAGEREF _Toc57964342 \h </w:instrText>
      </w:r>
      <w:r>
        <w:fldChar w:fldCharType="separate"/>
      </w:r>
      <w:r>
        <w:t>1</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"_Toc57964343" </w:instrText>
      </w:r>
      <w:r>
        <w:fldChar w:fldCharType="separate"/>
      </w:r>
      <w:r>
        <w:rPr>
          <w:rStyle w:val="21"/>
        </w:rPr>
        <w:t xml:space="preserve">1.2 </w:t>
      </w:r>
      <w:r>
        <w:rPr>
          <w:rStyle w:val="21"/>
          <w:rFonts w:hint="eastAsia"/>
        </w:rPr>
        <w:t>论证目的</w:t>
      </w:r>
      <w:r>
        <w:tab/>
      </w:r>
      <w:r>
        <w:fldChar w:fldCharType="begin"/>
      </w:r>
      <w:r>
        <w:instrText xml:space="preserve"> PAGEREF _Toc57964343 \h </w:instrText>
      </w:r>
      <w:r>
        <w:fldChar w:fldCharType="separate"/>
      </w:r>
      <w:r>
        <w:t>3</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"_Toc57964344" </w:instrText>
      </w:r>
      <w:r>
        <w:fldChar w:fldCharType="separate"/>
      </w:r>
      <w:r>
        <w:rPr>
          <w:rStyle w:val="21"/>
        </w:rPr>
        <w:t xml:space="preserve">1.3 </w:t>
      </w:r>
      <w:r>
        <w:rPr>
          <w:rStyle w:val="21"/>
          <w:rFonts w:hint="eastAsia"/>
        </w:rPr>
        <w:t>论证原则与依据</w:t>
      </w:r>
      <w:r>
        <w:tab/>
      </w:r>
      <w:r>
        <w:fldChar w:fldCharType="begin"/>
      </w:r>
      <w:r>
        <w:instrText xml:space="preserve"> PAGEREF _Toc57964344 \h </w:instrText>
      </w:r>
      <w:r>
        <w:fldChar w:fldCharType="separate"/>
      </w:r>
      <w:r>
        <w:t>3</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"_Toc57964345" </w:instrText>
      </w:r>
      <w:r>
        <w:fldChar w:fldCharType="separate"/>
      </w:r>
      <w:r>
        <w:rPr>
          <w:rStyle w:val="21"/>
        </w:rPr>
        <w:t xml:space="preserve">1.4 </w:t>
      </w:r>
      <w:r>
        <w:rPr>
          <w:rStyle w:val="21"/>
          <w:rFonts w:hint="eastAsia"/>
        </w:rPr>
        <w:t>论证范围</w:t>
      </w:r>
      <w:r>
        <w:tab/>
      </w:r>
      <w:r>
        <w:fldChar w:fldCharType="begin"/>
      </w:r>
      <w:r>
        <w:instrText xml:space="preserve"> PAGEREF _Toc57964345 \h </w:instrText>
      </w:r>
      <w:r>
        <w:fldChar w:fldCharType="separate"/>
      </w:r>
      <w:r>
        <w:t>5</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"_Toc57964346" </w:instrText>
      </w:r>
      <w:r>
        <w:fldChar w:fldCharType="separate"/>
      </w:r>
      <w:r>
        <w:rPr>
          <w:rStyle w:val="21"/>
        </w:rPr>
        <w:t>1.5</w:t>
      </w:r>
      <w:r>
        <w:rPr>
          <w:rStyle w:val="21"/>
          <w:rFonts w:hint="eastAsia"/>
        </w:rPr>
        <w:t>论证水平年</w:t>
      </w:r>
      <w:r>
        <w:tab/>
      </w:r>
      <w:r>
        <w:fldChar w:fldCharType="begin"/>
      </w:r>
      <w:r>
        <w:instrText xml:space="preserve"> PAGEREF _Toc57964346 \h </w:instrText>
      </w:r>
      <w:r>
        <w:fldChar w:fldCharType="separate"/>
      </w:r>
      <w:r>
        <w:t>5</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"_Toc57964347" </w:instrText>
      </w:r>
      <w:r>
        <w:fldChar w:fldCharType="separate"/>
      </w:r>
      <w:r>
        <w:rPr>
          <w:rStyle w:val="21"/>
        </w:rPr>
        <w:t>1.6</w:t>
      </w:r>
      <w:r>
        <w:rPr>
          <w:rStyle w:val="21"/>
          <w:rFonts w:hint="eastAsia"/>
        </w:rPr>
        <w:t>论证工作程序</w:t>
      </w:r>
      <w:r>
        <w:tab/>
      </w:r>
      <w:r>
        <w:fldChar w:fldCharType="begin"/>
      </w:r>
      <w:r>
        <w:instrText xml:space="preserve"> PAGEREF _Toc57964347 \h </w:instrText>
      </w:r>
      <w:r>
        <w:fldChar w:fldCharType="separate"/>
      </w:r>
      <w:r>
        <w:t>6</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"_Toc57964348" </w:instrText>
      </w:r>
      <w:r>
        <w:fldChar w:fldCharType="separate"/>
      </w:r>
      <w:r>
        <w:rPr>
          <w:rStyle w:val="21"/>
        </w:rPr>
        <w:t xml:space="preserve">1.7 </w:t>
      </w:r>
      <w:r>
        <w:rPr>
          <w:rStyle w:val="21"/>
          <w:rFonts w:hint="eastAsia"/>
        </w:rPr>
        <w:t>论证的主要内容</w:t>
      </w:r>
      <w:r>
        <w:tab/>
      </w:r>
      <w:r>
        <w:fldChar w:fldCharType="begin"/>
      </w:r>
      <w:r>
        <w:instrText xml:space="preserve"> PAGEREF _Toc57964348 \h </w:instrText>
      </w:r>
      <w:r>
        <w:fldChar w:fldCharType="separate"/>
      </w:r>
      <w:r>
        <w:t>7</w:t>
      </w:r>
      <w:r>
        <w:fldChar w:fldCharType="end"/>
      </w:r>
      <w:r>
        <w:fldChar w:fldCharType="end"/>
      </w:r>
    </w:p>
    <w:p>
      <w:pPr>
        <w:pStyle w:val="14"/>
        <w:tabs>
          <w:tab w:val="right" w:leader="dot" w:pos="9241"/>
        </w:tabs>
        <w:ind w:firstLine="480"/>
        <w:rPr>
          <w:rFonts w:asciiTheme="minorHAnsi" w:hAnsiTheme="minorHAnsi" w:eastAsiaTheme="minorEastAsia" w:cstheme="minorBidi"/>
          <w:kern w:val="2"/>
          <w:sz w:val="21"/>
          <w:lang w:val="en-US" w:bidi="ar-SA"/>
        </w:rPr>
      </w:pPr>
      <w:r>
        <w:fldChar w:fldCharType="begin"/>
      </w:r>
      <w:r>
        <w:instrText xml:space="preserve"> HYPERLINK \l "_Toc57964349" </w:instrText>
      </w:r>
      <w:r>
        <w:fldChar w:fldCharType="separate"/>
      </w:r>
      <w:r>
        <w:rPr>
          <w:rStyle w:val="21"/>
        </w:rPr>
        <w:t xml:space="preserve">2 </w:t>
      </w:r>
      <w:r>
        <w:rPr>
          <w:rStyle w:val="21"/>
          <w:rFonts w:hint="eastAsia"/>
        </w:rPr>
        <w:t>项目概况</w:t>
      </w:r>
      <w:r>
        <w:tab/>
      </w:r>
      <w:r>
        <w:fldChar w:fldCharType="begin"/>
      </w:r>
      <w:r>
        <w:instrText xml:space="preserve"> PAGEREF _Toc57964349 \h </w:instrText>
      </w:r>
      <w:r>
        <w:fldChar w:fldCharType="separate"/>
      </w:r>
      <w:r>
        <w:t>9</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"_Toc57964350" </w:instrText>
      </w:r>
      <w:r>
        <w:fldChar w:fldCharType="separate"/>
      </w:r>
      <w:r>
        <w:rPr>
          <w:rStyle w:val="21"/>
        </w:rPr>
        <w:t xml:space="preserve">2.1 </w:t>
      </w:r>
      <w:r>
        <w:rPr>
          <w:rStyle w:val="21"/>
          <w:rFonts w:hint="eastAsia"/>
        </w:rPr>
        <w:t>工程概况</w:t>
      </w:r>
      <w:r>
        <w:tab/>
      </w:r>
      <w:r>
        <w:fldChar w:fldCharType="begin"/>
      </w:r>
      <w:r>
        <w:instrText xml:space="preserve"> PAGEREF _Toc57964350 \h </w:instrText>
      </w:r>
      <w:r>
        <w:fldChar w:fldCharType="separate"/>
      </w:r>
      <w:r>
        <w:t>9</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"_Toc57964351" </w:instrText>
      </w:r>
      <w:r>
        <w:fldChar w:fldCharType="separate"/>
      </w:r>
      <w:r>
        <w:rPr>
          <w:rStyle w:val="21"/>
        </w:rPr>
        <w:t xml:space="preserve">2.2 </w:t>
      </w:r>
      <w:r>
        <w:rPr>
          <w:rStyle w:val="21"/>
          <w:rFonts w:hint="eastAsia"/>
        </w:rPr>
        <w:t>区域概况</w:t>
      </w:r>
      <w:r>
        <w:tab/>
      </w:r>
      <w:r>
        <w:fldChar w:fldCharType="begin"/>
      </w:r>
      <w:r>
        <w:instrText xml:space="preserve"> PAGEREF _Toc57964351 \h </w:instrText>
      </w:r>
      <w:r>
        <w:fldChar w:fldCharType="separate"/>
      </w:r>
      <w:r>
        <w:t>15</w:t>
      </w:r>
      <w:r>
        <w:fldChar w:fldCharType="end"/>
      </w:r>
      <w:r>
        <w:fldChar w:fldCharType="end"/>
      </w:r>
    </w:p>
    <w:p>
      <w:pPr>
        <w:pStyle w:val="14"/>
        <w:tabs>
          <w:tab w:val="right" w:leader="dot" w:pos="9241"/>
        </w:tabs>
        <w:ind w:firstLine="480"/>
        <w:rPr>
          <w:rFonts w:asciiTheme="minorHAnsi" w:hAnsiTheme="minorHAnsi" w:eastAsiaTheme="minorEastAsia" w:cstheme="minorBidi"/>
          <w:kern w:val="2"/>
          <w:sz w:val="21"/>
          <w:lang w:val="en-US" w:bidi="ar-SA"/>
        </w:rPr>
      </w:pPr>
      <w:r>
        <w:fldChar w:fldCharType="begin"/>
      </w:r>
      <w:r>
        <w:instrText xml:space="preserve"> HYPERLINK \l "_Toc57964352" </w:instrText>
      </w:r>
      <w:r>
        <w:fldChar w:fldCharType="separate"/>
      </w:r>
      <w:r>
        <w:rPr>
          <w:rStyle w:val="21"/>
        </w:rPr>
        <w:t>3</w:t>
      </w:r>
      <w:r>
        <w:rPr>
          <w:rStyle w:val="21"/>
          <w:rFonts w:hint="eastAsia"/>
        </w:rPr>
        <w:t>分析范围内水功能区（水域）状况</w:t>
      </w:r>
      <w:r>
        <w:tab/>
      </w:r>
      <w:r>
        <w:fldChar w:fldCharType="begin"/>
      </w:r>
      <w:r>
        <w:instrText xml:space="preserve"> PAGEREF _Toc57964352 \h </w:instrText>
      </w:r>
      <w:r>
        <w:fldChar w:fldCharType="separate"/>
      </w:r>
      <w:r>
        <w:t>26</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"_Toc57964353" </w:instrText>
      </w:r>
      <w:r>
        <w:fldChar w:fldCharType="separate"/>
      </w:r>
      <w:r>
        <w:rPr>
          <w:rStyle w:val="21"/>
        </w:rPr>
        <w:t xml:space="preserve">3.1 </w:t>
      </w:r>
      <w:r>
        <w:rPr>
          <w:rStyle w:val="21"/>
          <w:rFonts w:hint="eastAsia"/>
        </w:rPr>
        <w:t>水功能区（水域）保护水质管理目标与要求</w:t>
      </w:r>
      <w:r>
        <w:tab/>
      </w:r>
      <w:r>
        <w:fldChar w:fldCharType="begin"/>
      </w:r>
      <w:r>
        <w:instrText xml:space="preserve"> PAGEREF _Toc57964353 \h </w:instrText>
      </w:r>
      <w:r>
        <w:fldChar w:fldCharType="separate"/>
      </w:r>
      <w:r>
        <w:t>26</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"_Toc57964354" </w:instrText>
      </w:r>
      <w:r>
        <w:fldChar w:fldCharType="separate"/>
      </w:r>
      <w:r>
        <w:rPr>
          <w:rStyle w:val="21"/>
        </w:rPr>
        <w:t xml:space="preserve">3.2 </w:t>
      </w:r>
      <w:r>
        <w:rPr>
          <w:rStyle w:val="21"/>
          <w:rFonts w:hint="eastAsia"/>
        </w:rPr>
        <w:t>水功能区现有取排水状况</w:t>
      </w:r>
      <w:r>
        <w:tab/>
      </w:r>
      <w:r>
        <w:fldChar w:fldCharType="begin"/>
      </w:r>
      <w:r>
        <w:instrText xml:space="preserve"> PAGEREF _Toc57964354 \h </w:instrText>
      </w:r>
      <w:r>
        <w:fldChar w:fldCharType="separate"/>
      </w:r>
      <w:r>
        <w:t>27</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"_Toc57964355" </w:instrText>
      </w:r>
      <w:r>
        <w:fldChar w:fldCharType="separate"/>
      </w:r>
      <w:r>
        <w:rPr>
          <w:rStyle w:val="21"/>
        </w:rPr>
        <w:t xml:space="preserve">3.3 </w:t>
      </w:r>
      <w:r>
        <w:rPr>
          <w:rStyle w:val="21"/>
          <w:rFonts w:hint="eastAsia"/>
        </w:rPr>
        <w:t>水功能区（水域）水质现状</w:t>
      </w:r>
      <w:r>
        <w:tab/>
      </w:r>
      <w:r>
        <w:fldChar w:fldCharType="begin"/>
      </w:r>
      <w:r>
        <w:instrText xml:space="preserve"> PAGEREF _Toc57964355 \h </w:instrText>
      </w:r>
      <w:r>
        <w:fldChar w:fldCharType="separate"/>
      </w:r>
      <w:r>
        <w:t>29</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"_Toc57964356" </w:instrText>
      </w:r>
      <w:r>
        <w:fldChar w:fldCharType="separate"/>
      </w:r>
      <w:r>
        <w:rPr>
          <w:rStyle w:val="21"/>
        </w:rPr>
        <w:t xml:space="preserve">3.4 </w:t>
      </w:r>
      <w:r>
        <w:rPr>
          <w:rStyle w:val="21"/>
          <w:rFonts w:hint="eastAsia"/>
        </w:rPr>
        <w:t>小结</w:t>
      </w:r>
      <w:r>
        <w:tab/>
      </w:r>
      <w:r>
        <w:fldChar w:fldCharType="begin"/>
      </w:r>
      <w:r>
        <w:instrText xml:space="preserve"> PAGEREF _Toc57964356 \h </w:instrText>
      </w:r>
      <w:r>
        <w:fldChar w:fldCharType="separate"/>
      </w:r>
      <w:r>
        <w:t>42</w:t>
      </w:r>
      <w:r>
        <w:fldChar w:fldCharType="end"/>
      </w:r>
      <w:r>
        <w:fldChar w:fldCharType="end"/>
      </w:r>
    </w:p>
    <w:p>
      <w:pPr>
        <w:pStyle w:val="14"/>
        <w:tabs>
          <w:tab w:val="right" w:leader="dot" w:pos="9241"/>
        </w:tabs>
        <w:ind w:firstLine="480"/>
        <w:rPr>
          <w:rFonts w:asciiTheme="minorHAnsi" w:hAnsiTheme="minorHAnsi" w:eastAsiaTheme="minorEastAsia" w:cstheme="minorBidi"/>
          <w:kern w:val="2"/>
          <w:sz w:val="21"/>
          <w:lang w:val="en-US" w:bidi="ar-SA"/>
        </w:rPr>
      </w:pPr>
      <w:r>
        <w:fldChar w:fldCharType="begin"/>
      </w:r>
      <w:r>
        <w:instrText xml:space="preserve"> HYPERLINK \l "_Toc57964357" </w:instrText>
      </w:r>
      <w:r>
        <w:fldChar w:fldCharType="separate"/>
      </w:r>
      <w:r>
        <w:rPr>
          <w:rStyle w:val="21"/>
        </w:rPr>
        <w:t xml:space="preserve">4 </w:t>
      </w:r>
      <w:r>
        <w:rPr>
          <w:rStyle w:val="21"/>
          <w:rFonts w:hint="eastAsia"/>
        </w:rPr>
        <w:t>拟建入河排污口情况</w:t>
      </w:r>
      <w:r>
        <w:tab/>
      </w:r>
      <w:r>
        <w:fldChar w:fldCharType="begin"/>
      </w:r>
      <w:r>
        <w:instrText xml:space="preserve"> PAGEREF _Toc57964357 \h </w:instrText>
      </w:r>
      <w:r>
        <w:fldChar w:fldCharType="separate"/>
      </w:r>
      <w:r>
        <w:t>43</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"_Toc57964358" </w:instrText>
      </w:r>
      <w:r>
        <w:fldChar w:fldCharType="separate"/>
      </w:r>
      <w:r>
        <w:rPr>
          <w:rStyle w:val="21"/>
        </w:rPr>
        <w:t>4.1</w:t>
      </w:r>
      <w:r>
        <w:rPr>
          <w:rStyle w:val="21"/>
          <w:rFonts w:hint="eastAsia"/>
        </w:rPr>
        <w:t>废污水来源及构成</w:t>
      </w:r>
      <w:r>
        <w:tab/>
      </w:r>
      <w:r>
        <w:fldChar w:fldCharType="begin"/>
      </w:r>
      <w:r>
        <w:instrText xml:space="preserve"> PAGEREF _Toc57964358 \h </w:instrText>
      </w:r>
      <w:r>
        <w:fldChar w:fldCharType="separate"/>
      </w:r>
      <w:r>
        <w:t>43</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"_Toc57964359" </w:instrText>
      </w:r>
      <w:r>
        <w:fldChar w:fldCharType="separate"/>
      </w:r>
      <w:r>
        <w:rPr>
          <w:rStyle w:val="21"/>
        </w:rPr>
        <w:t xml:space="preserve">4.2 </w:t>
      </w:r>
      <w:r>
        <w:rPr>
          <w:rStyle w:val="21"/>
          <w:rFonts w:hint="eastAsia"/>
        </w:rPr>
        <w:t>废污水所含主要污染物种类及其排放浓度、总量</w:t>
      </w:r>
      <w:r>
        <w:tab/>
      </w:r>
      <w:r>
        <w:fldChar w:fldCharType="begin"/>
      </w:r>
      <w:r>
        <w:instrText xml:space="preserve"> PAGEREF _Toc57964359 \h </w:instrText>
      </w:r>
      <w:r>
        <w:fldChar w:fldCharType="separate"/>
      </w:r>
      <w:r>
        <w:t>43</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"_Toc57964360" </w:instrText>
      </w:r>
      <w:r>
        <w:fldChar w:fldCharType="separate"/>
      </w:r>
      <w:r>
        <w:rPr>
          <w:rStyle w:val="21"/>
        </w:rPr>
        <w:t xml:space="preserve">4.3 </w:t>
      </w:r>
      <w:r>
        <w:rPr>
          <w:rStyle w:val="21"/>
          <w:rFonts w:hint="eastAsia"/>
        </w:rPr>
        <w:t>污水产生关键环节分析</w:t>
      </w:r>
      <w:r>
        <w:tab/>
      </w:r>
      <w:r>
        <w:fldChar w:fldCharType="begin"/>
      </w:r>
      <w:r>
        <w:instrText xml:space="preserve"> PAGEREF _Toc57964360 \h </w:instrText>
      </w:r>
      <w:r>
        <w:fldChar w:fldCharType="separate"/>
      </w:r>
      <w:r>
        <w:t>44</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"_Toc57964361" </w:instrText>
      </w:r>
      <w:r>
        <w:fldChar w:fldCharType="separate"/>
      </w:r>
      <w:r>
        <w:rPr>
          <w:rStyle w:val="21"/>
        </w:rPr>
        <w:t xml:space="preserve">4.4 </w:t>
      </w:r>
      <w:r>
        <w:rPr>
          <w:rStyle w:val="21"/>
          <w:rFonts w:hint="eastAsia"/>
        </w:rPr>
        <w:t>污水处理措施施及效果</w:t>
      </w:r>
      <w:r>
        <w:tab/>
      </w:r>
      <w:r>
        <w:fldChar w:fldCharType="begin"/>
      </w:r>
      <w:r>
        <w:instrText xml:space="preserve"> PAGEREF _Toc57964361 \h </w:instrText>
      </w:r>
      <w:r>
        <w:fldChar w:fldCharType="separate"/>
      </w:r>
      <w:r>
        <w:t>46</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"_Toc57964362" </w:instrText>
      </w:r>
      <w:r>
        <w:fldChar w:fldCharType="separate"/>
      </w:r>
      <w:r>
        <w:rPr>
          <w:rStyle w:val="21"/>
        </w:rPr>
        <w:t xml:space="preserve">4.5 </w:t>
      </w:r>
      <w:r>
        <w:rPr>
          <w:rStyle w:val="21"/>
          <w:rFonts w:hint="eastAsia"/>
        </w:rPr>
        <w:t>入河排污口设置方案</w:t>
      </w:r>
      <w:r>
        <w:tab/>
      </w:r>
      <w:r>
        <w:fldChar w:fldCharType="begin"/>
      </w:r>
      <w:r>
        <w:instrText xml:space="preserve"> PAGEREF _Toc57964362 \h </w:instrText>
      </w:r>
      <w:r>
        <w:fldChar w:fldCharType="separate"/>
      </w:r>
      <w:r>
        <w:t>47</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"_Toc57964363" </w:instrText>
      </w:r>
      <w:r>
        <w:fldChar w:fldCharType="separate"/>
      </w:r>
      <w:r>
        <w:rPr>
          <w:rStyle w:val="21"/>
        </w:rPr>
        <w:t>4.6</w:t>
      </w:r>
      <w:r>
        <w:rPr>
          <w:rStyle w:val="21"/>
          <w:rFonts w:hint="eastAsia"/>
        </w:rPr>
        <w:t>小结</w:t>
      </w:r>
      <w:r>
        <w:tab/>
      </w:r>
      <w:r>
        <w:fldChar w:fldCharType="begin"/>
      </w:r>
      <w:r>
        <w:instrText xml:space="preserve"> PAGEREF _Toc57964363 \h </w:instrText>
      </w:r>
      <w:r>
        <w:fldChar w:fldCharType="separate"/>
      </w:r>
      <w:r>
        <w:t>48</w:t>
      </w:r>
      <w:r>
        <w:fldChar w:fldCharType="end"/>
      </w:r>
      <w:r>
        <w:fldChar w:fldCharType="end"/>
      </w:r>
    </w:p>
    <w:p>
      <w:pPr>
        <w:pStyle w:val="14"/>
        <w:tabs>
          <w:tab w:val="right" w:leader="dot" w:pos="9241"/>
        </w:tabs>
        <w:ind w:firstLine="480"/>
        <w:rPr>
          <w:rFonts w:asciiTheme="minorHAnsi" w:hAnsiTheme="minorHAnsi" w:eastAsiaTheme="minorEastAsia" w:cstheme="minorBidi"/>
          <w:kern w:val="2"/>
          <w:sz w:val="21"/>
          <w:lang w:val="en-US" w:bidi="ar-SA"/>
        </w:rPr>
      </w:pPr>
      <w:r>
        <w:fldChar w:fldCharType="begin"/>
      </w:r>
      <w:r>
        <w:instrText xml:space="preserve"> HYPERLINK \l "_Toc57964364" </w:instrText>
      </w:r>
      <w:r>
        <w:fldChar w:fldCharType="separate"/>
      </w:r>
      <w:r>
        <w:rPr>
          <w:rStyle w:val="21"/>
        </w:rPr>
        <w:t xml:space="preserve">5 </w:t>
      </w:r>
      <w:r>
        <w:rPr>
          <w:rStyle w:val="21"/>
          <w:rFonts w:hint="eastAsia"/>
        </w:rPr>
        <w:t>入河排污口设置可行性分析</w:t>
      </w:r>
      <w:r>
        <w:tab/>
      </w:r>
      <w:r>
        <w:fldChar w:fldCharType="begin"/>
      </w:r>
      <w:r>
        <w:instrText xml:space="preserve"> PAGEREF _Toc57964364 \h </w:instrText>
      </w:r>
      <w:r>
        <w:fldChar w:fldCharType="separate"/>
      </w:r>
      <w:r>
        <w:t>49</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"_Toc57964365" </w:instrText>
      </w:r>
      <w:r>
        <w:fldChar w:fldCharType="separate"/>
      </w:r>
      <w:r>
        <w:rPr>
          <w:rStyle w:val="21"/>
        </w:rPr>
        <w:t xml:space="preserve">5.1 </w:t>
      </w:r>
      <w:r>
        <w:rPr>
          <w:rStyle w:val="21"/>
          <w:rFonts w:hint="eastAsia"/>
        </w:rPr>
        <w:t>水功能区（水域）对入河排污口设置基本要求</w:t>
      </w:r>
      <w:r>
        <w:tab/>
      </w:r>
      <w:r>
        <w:fldChar w:fldCharType="begin"/>
      </w:r>
      <w:r>
        <w:instrText xml:space="preserve"> PAGEREF _Toc57964365 \h </w:instrText>
      </w:r>
      <w:r>
        <w:fldChar w:fldCharType="separate"/>
      </w:r>
      <w:r>
        <w:t>49</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"_Toc57964366" </w:instrText>
      </w:r>
      <w:r>
        <w:fldChar w:fldCharType="separate"/>
      </w:r>
      <w:r>
        <w:rPr>
          <w:rStyle w:val="21"/>
        </w:rPr>
        <w:t xml:space="preserve">5.2 </w:t>
      </w:r>
      <w:r>
        <w:rPr>
          <w:rStyle w:val="21"/>
          <w:rFonts w:hint="eastAsia"/>
        </w:rPr>
        <w:t>水功能区纳污能力及限制排放总量</w:t>
      </w:r>
      <w:r>
        <w:tab/>
      </w:r>
      <w:r>
        <w:fldChar w:fldCharType="begin"/>
      </w:r>
      <w:r>
        <w:instrText xml:space="preserve"> PAGEREF _Toc57964366 \h </w:instrText>
      </w:r>
      <w:r>
        <w:fldChar w:fldCharType="separate"/>
      </w:r>
      <w:r>
        <w:t>53</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"_Toc57964367" </w:instrText>
      </w:r>
      <w:r>
        <w:fldChar w:fldCharType="separate"/>
      </w:r>
      <w:r>
        <w:rPr>
          <w:rStyle w:val="21"/>
        </w:rPr>
        <w:t xml:space="preserve">5.3 </w:t>
      </w:r>
      <w:r>
        <w:rPr>
          <w:rStyle w:val="21"/>
          <w:rFonts w:hint="eastAsia"/>
        </w:rPr>
        <w:t>所在水功能区纳污状况</w:t>
      </w:r>
      <w:r>
        <w:tab/>
      </w:r>
      <w:r>
        <w:fldChar w:fldCharType="begin"/>
      </w:r>
      <w:r>
        <w:instrText xml:space="preserve"> PAGEREF _Toc57964367 \h </w:instrText>
      </w:r>
      <w:r>
        <w:fldChar w:fldCharType="separate"/>
      </w:r>
      <w:r>
        <w:t>55</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"_Toc57964368" </w:instrText>
      </w:r>
      <w:r>
        <w:fldChar w:fldCharType="separate"/>
      </w:r>
      <w:r>
        <w:rPr>
          <w:rStyle w:val="21"/>
        </w:rPr>
        <w:t xml:space="preserve">5.4 </w:t>
      </w:r>
      <w:r>
        <w:rPr>
          <w:rStyle w:val="21"/>
          <w:rFonts w:hint="eastAsia"/>
        </w:rPr>
        <w:t>入河排污口设置可行性分析</w:t>
      </w:r>
      <w:r>
        <w:tab/>
      </w:r>
      <w:r>
        <w:fldChar w:fldCharType="begin"/>
      </w:r>
      <w:r>
        <w:instrText xml:space="preserve"> PAGEREF _Toc57964368 \h </w:instrText>
      </w:r>
      <w:r>
        <w:fldChar w:fldCharType="separate"/>
      </w:r>
      <w:r>
        <w:t>57</w:t>
      </w:r>
      <w:r>
        <w:fldChar w:fldCharType="end"/>
      </w:r>
      <w:r>
        <w:fldChar w:fldCharType="end"/>
      </w:r>
    </w:p>
    <w:p>
      <w:pPr>
        <w:pStyle w:val="14"/>
        <w:tabs>
          <w:tab w:val="right" w:leader="dot" w:pos="9241"/>
        </w:tabs>
        <w:ind w:firstLine="480"/>
        <w:rPr>
          <w:rFonts w:asciiTheme="minorHAnsi" w:hAnsiTheme="minorHAnsi" w:eastAsiaTheme="minorEastAsia" w:cstheme="minorBidi"/>
          <w:kern w:val="2"/>
          <w:sz w:val="21"/>
          <w:lang w:val="en-US" w:bidi="ar-SA"/>
        </w:rPr>
      </w:pPr>
      <w:r>
        <w:fldChar w:fldCharType="begin"/>
      </w:r>
      <w:r>
        <w:instrText xml:space="preserve"> HYPERLINK \l "_Toc57964369" </w:instrText>
      </w:r>
      <w:r>
        <w:fldChar w:fldCharType="separate"/>
      </w:r>
      <w:r>
        <w:rPr>
          <w:rStyle w:val="21"/>
        </w:rPr>
        <w:t xml:space="preserve">6 </w:t>
      </w:r>
      <w:r>
        <w:rPr>
          <w:rStyle w:val="21"/>
          <w:rFonts w:hint="eastAsia"/>
        </w:rPr>
        <w:t>入河排污口设置合理性分析</w:t>
      </w:r>
      <w:r>
        <w:tab/>
      </w:r>
      <w:r>
        <w:fldChar w:fldCharType="begin"/>
      </w:r>
      <w:r>
        <w:instrText xml:space="preserve"> PAGEREF _Toc57964369 \h </w:instrText>
      </w:r>
      <w:r>
        <w:fldChar w:fldCharType="separate"/>
      </w:r>
      <w:r>
        <w:t>59</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"_Toc57964370" </w:instrText>
      </w:r>
      <w:r>
        <w:fldChar w:fldCharType="separate"/>
      </w:r>
      <w:r>
        <w:rPr>
          <w:rStyle w:val="21"/>
        </w:rPr>
        <w:t xml:space="preserve">6.1 </w:t>
      </w:r>
      <w:r>
        <w:rPr>
          <w:rStyle w:val="21"/>
          <w:rFonts w:hint="eastAsia"/>
        </w:rPr>
        <w:t>入河排污口设置影响范围</w:t>
      </w:r>
      <w:r>
        <w:tab/>
      </w:r>
      <w:r>
        <w:fldChar w:fldCharType="begin"/>
      </w:r>
      <w:r>
        <w:instrText xml:space="preserve"> PAGEREF _Toc57964370 \h </w:instrText>
      </w:r>
      <w:r>
        <w:fldChar w:fldCharType="separate"/>
      </w:r>
      <w:r>
        <w:t>59</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"_Toc57964371" </w:instrText>
      </w:r>
      <w:r>
        <w:fldChar w:fldCharType="separate"/>
      </w:r>
      <w:r>
        <w:rPr>
          <w:rStyle w:val="21"/>
        </w:rPr>
        <w:t xml:space="preserve">6.2 </w:t>
      </w:r>
      <w:r>
        <w:rPr>
          <w:rStyle w:val="21"/>
          <w:rFonts w:hint="eastAsia"/>
        </w:rPr>
        <w:t>位置与排放方式分析</w:t>
      </w:r>
      <w:r>
        <w:tab/>
      </w:r>
      <w:r>
        <w:fldChar w:fldCharType="begin"/>
      </w:r>
      <w:r>
        <w:instrText xml:space="preserve"> PAGEREF _Toc57964371 \h </w:instrText>
      </w:r>
      <w:r>
        <w:fldChar w:fldCharType="separate"/>
      </w:r>
      <w:r>
        <w:t>62</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"_Toc57964372" </w:instrText>
      </w:r>
      <w:r>
        <w:fldChar w:fldCharType="separate"/>
      </w:r>
      <w:r>
        <w:rPr>
          <w:rStyle w:val="21"/>
        </w:rPr>
        <w:t>6.3</w:t>
      </w:r>
      <w:r>
        <w:rPr>
          <w:rStyle w:val="21"/>
          <w:rFonts w:hint="eastAsia"/>
        </w:rPr>
        <w:t>排放时期分析</w:t>
      </w:r>
      <w:r>
        <w:tab/>
      </w:r>
      <w:r>
        <w:fldChar w:fldCharType="begin"/>
      </w:r>
      <w:r>
        <w:instrText xml:space="preserve"> PAGEREF _Toc57964372 \h </w:instrText>
      </w:r>
      <w:r>
        <w:fldChar w:fldCharType="separate"/>
      </w:r>
      <w:r>
        <w:t>62</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"_Toc57964373" </w:instrText>
      </w:r>
      <w:r>
        <w:fldChar w:fldCharType="separate"/>
      </w:r>
      <w:r>
        <w:rPr>
          <w:rStyle w:val="21"/>
        </w:rPr>
        <w:t xml:space="preserve">6.4 </w:t>
      </w:r>
      <w:r>
        <w:rPr>
          <w:rStyle w:val="21"/>
          <w:rFonts w:hint="eastAsia"/>
        </w:rPr>
        <w:t>对水功能区水质影响分析</w:t>
      </w:r>
      <w:r>
        <w:tab/>
      </w:r>
      <w:r>
        <w:fldChar w:fldCharType="begin"/>
      </w:r>
      <w:r>
        <w:instrText xml:space="preserve"> PAGEREF _Toc57964373 \h </w:instrText>
      </w:r>
      <w:r>
        <w:fldChar w:fldCharType="separate"/>
      </w:r>
      <w:r>
        <w:t>62</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"_Toc57964374" </w:instrText>
      </w:r>
      <w:r>
        <w:fldChar w:fldCharType="separate"/>
      </w:r>
      <w:r>
        <w:rPr>
          <w:rStyle w:val="21"/>
        </w:rPr>
        <w:t xml:space="preserve">6.5 </w:t>
      </w:r>
      <w:r>
        <w:rPr>
          <w:rStyle w:val="21"/>
          <w:rFonts w:hint="eastAsia"/>
        </w:rPr>
        <w:t>对水生态的影响分析</w:t>
      </w:r>
      <w:r>
        <w:tab/>
      </w:r>
      <w:r>
        <w:fldChar w:fldCharType="begin"/>
      </w:r>
      <w:r>
        <w:instrText xml:space="preserve"> PAGEREF _Toc57964374 \h </w:instrText>
      </w:r>
      <w:r>
        <w:fldChar w:fldCharType="separate"/>
      </w:r>
      <w:r>
        <w:t>68</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"_Toc57964375" </w:instrText>
      </w:r>
      <w:r>
        <w:fldChar w:fldCharType="separate"/>
      </w:r>
      <w:r>
        <w:rPr>
          <w:rStyle w:val="21"/>
        </w:rPr>
        <w:t>6.6</w:t>
      </w:r>
      <w:r>
        <w:rPr>
          <w:rStyle w:val="21"/>
          <w:rFonts w:hint="eastAsia"/>
        </w:rPr>
        <w:t>对地下水影响分析</w:t>
      </w:r>
      <w:r>
        <w:tab/>
      </w:r>
      <w:r>
        <w:fldChar w:fldCharType="begin"/>
      </w:r>
      <w:r>
        <w:instrText xml:space="preserve"> PAGEREF _Toc57964375 \h </w:instrText>
      </w:r>
      <w:r>
        <w:fldChar w:fldCharType="separate"/>
      </w:r>
      <w:r>
        <w:t>69</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"_Toc57964376" </w:instrText>
      </w:r>
      <w:r>
        <w:fldChar w:fldCharType="separate"/>
      </w:r>
      <w:r>
        <w:rPr>
          <w:rStyle w:val="21"/>
        </w:rPr>
        <w:t xml:space="preserve">6.7 </w:t>
      </w:r>
      <w:r>
        <w:rPr>
          <w:rStyle w:val="21"/>
          <w:rFonts w:hint="eastAsia"/>
        </w:rPr>
        <w:t>对重要第三方影响分析</w:t>
      </w:r>
      <w:r>
        <w:tab/>
      </w:r>
      <w:r>
        <w:fldChar w:fldCharType="begin"/>
      </w:r>
      <w:r>
        <w:instrText xml:space="preserve"> PAGEREF _Toc57964376 \h </w:instrText>
      </w:r>
      <w:r>
        <w:fldChar w:fldCharType="separate"/>
      </w:r>
      <w:r>
        <w:t>69</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"_Toc57964377" </w:instrText>
      </w:r>
      <w:r>
        <w:fldChar w:fldCharType="separate"/>
      </w:r>
      <w:r>
        <w:rPr>
          <w:rStyle w:val="21"/>
        </w:rPr>
        <w:t xml:space="preserve">6.8 </w:t>
      </w:r>
      <w:r>
        <w:rPr>
          <w:rStyle w:val="21"/>
          <w:rFonts w:hint="eastAsia"/>
        </w:rPr>
        <w:t>排污口设置合理性分析</w:t>
      </w:r>
      <w:r>
        <w:tab/>
      </w:r>
      <w:r>
        <w:fldChar w:fldCharType="begin"/>
      </w:r>
      <w:r>
        <w:instrText xml:space="preserve"> PAGEREF _Toc57964377 \h </w:instrText>
      </w:r>
      <w:r>
        <w:fldChar w:fldCharType="separate"/>
      </w:r>
      <w:r>
        <w:t>69</w:t>
      </w:r>
      <w:r>
        <w:fldChar w:fldCharType="end"/>
      </w:r>
      <w:r>
        <w:fldChar w:fldCharType="end"/>
      </w:r>
    </w:p>
    <w:p>
      <w:pPr>
        <w:pStyle w:val="14"/>
        <w:tabs>
          <w:tab w:val="right" w:leader="dot" w:pos="9241"/>
        </w:tabs>
        <w:ind w:firstLine="480"/>
        <w:rPr>
          <w:rFonts w:asciiTheme="minorHAnsi" w:hAnsiTheme="minorHAnsi" w:eastAsiaTheme="minorEastAsia" w:cstheme="minorBidi"/>
          <w:kern w:val="2"/>
          <w:sz w:val="21"/>
          <w:lang w:val="en-US" w:bidi="ar-SA"/>
        </w:rPr>
      </w:pPr>
      <w:r>
        <w:fldChar w:fldCharType="begin"/>
      </w:r>
      <w:r>
        <w:instrText xml:space="preserve"> HYPERLINK \l "_Toc57964378" </w:instrText>
      </w:r>
      <w:r>
        <w:fldChar w:fldCharType="separate"/>
      </w:r>
      <w:r>
        <w:rPr>
          <w:rStyle w:val="21"/>
        </w:rPr>
        <w:t xml:space="preserve">7 </w:t>
      </w:r>
      <w:r>
        <w:rPr>
          <w:rStyle w:val="21"/>
          <w:rFonts w:hint="eastAsia"/>
        </w:rPr>
        <w:t>水资源保护措施</w:t>
      </w:r>
      <w:r>
        <w:tab/>
      </w:r>
      <w:r>
        <w:fldChar w:fldCharType="begin"/>
      </w:r>
      <w:r>
        <w:instrText xml:space="preserve"> PAGEREF _Toc57964378 \h </w:instrText>
      </w:r>
      <w:r>
        <w:fldChar w:fldCharType="separate"/>
      </w:r>
      <w:r>
        <w:t>70</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"_Toc57964379" </w:instrText>
      </w:r>
      <w:r>
        <w:fldChar w:fldCharType="separate"/>
      </w:r>
      <w:r>
        <w:rPr>
          <w:rStyle w:val="21"/>
        </w:rPr>
        <w:t xml:space="preserve">7.1 </w:t>
      </w:r>
      <w:r>
        <w:rPr>
          <w:rStyle w:val="21"/>
          <w:rFonts w:hint="eastAsia"/>
        </w:rPr>
        <w:t>常规措施</w:t>
      </w:r>
      <w:r>
        <w:tab/>
      </w:r>
      <w:r>
        <w:fldChar w:fldCharType="begin"/>
      </w:r>
      <w:r>
        <w:instrText xml:space="preserve"> PAGEREF _Toc57964379 \h </w:instrText>
      </w:r>
      <w:r>
        <w:fldChar w:fldCharType="separate"/>
      </w:r>
      <w:r>
        <w:t>70</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"_Toc57964380" </w:instrText>
      </w:r>
      <w:r>
        <w:fldChar w:fldCharType="separate"/>
      </w:r>
      <w:r>
        <w:rPr>
          <w:rStyle w:val="21"/>
        </w:rPr>
        <w:t xml:space="preserve">7.2 </w:t>
      </w:r>
      <w:r>
        <w:rPr>
          <w:rStyle w:val="21"/>
          <w:rFonts w:hint="eastAsia"/>
        </w:rPr>
        <w:t>应急措施</w:t>
      </w:r>
      <w:r>
        <w:tab/>
      </w:r>
      <w:r>
        <w:fldChar w:fldCharType="begin"/>
      </w:r>
      <w:r>
        <w:instrText xml:space="preserve"> PAGEREF _Toc57964380 \h </w:instrText>
      </w:r>
      <w:r>
        <w:fldChar w:fldCharType="separate"/>
      </w:r>
      <w:r>
        <w:t>73</w:t>
      </w:r>
      <w:r>
        <w:fldChar w:fldCharType="end"/>
      </w:r>
      <w:r>
        <w:fldChar w:fldCharType="end"/>
      </w:r>
    </w:p>
    <w:p>
      <w:pPr>
        <w:pStyle w:val="14"/>
        <w:tabs>
          <w:tab w:val="right" w:leader="dot" w:pos="9241"/>
        </w:tabs>
        <w:ind w:firstLine="480"/>
        <w:rPr>
          <w:rFonts w:asciiTheme="minorHAnsi" w:hAnsiTheme="minorHAnsi" w:eastAsiaTheme="minorEastAsia" w:cstheme="minorBidi"/>
          <w:kern w:val="2"/>
          <w:sz w:val="21"/>
          <w:lang w:val="en-US" w:bidi="ar-SA"/>
        </w:rPr>
      </w:pPr>
      <w:r>
        <w:fldChar w:fldCharType="begin"/>
      </w:r>
      <w:r>
        <w:instrText xml:space="preserve"> HYPERLINK \l "_Toc57964381" </w:instrText>
      </w:r>
      <w:r>
        <w:fldChar w:fldCharType="separate"/>
      </w:r>
      <w:r>
        <w:rPr>
          <w:rStyle w:val="21"/>
        </w:rPr>
        <w:t xml:space="preserve">8 </w:t>
      </w:r>
      <w:r>
        <w:rPr>
          <w:rStyle w:val="21"/>
          <w:rFonts w:hint="eastAsia"/>
        </w:rPr>
        <w:t>论证结论与建议</w:t>
      </w:r>
      <w:r>
        <w:tab/>
      </w:r>
      <w:r>
        <w:fldChar w:fldCharType="begin"/>
      </w:r>
      <w:r>
        <w:instrText xml:space="preserve"> PAGEREF _Toc57964381 \h </w:instrText>
      </w:r>
      <w:r>
        <w:fldChar w:fldCharType="separate"/>
      </w:r>
      <w:r>
        <w:t>75</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"_Toc57964382" </w:instrText>
      </w:r>
      <w:r>
        <w:fldChar w:fldCharType="separate"/>
      </w:r>
      <w:r>
        <w:rPr>
          <w:rStyle w:val="21"/>
        </w:rPr>
        <w:t xml:space="preserve">8.1 </w:t>
      </w:r>
      <w:r>
        <w:rPr>
          <w:rStyle w:val="21"/>
          <w:rFonts w:hint="eastAsia"/>
        </w:rPr>
        <w:t>论证结论</w:t>
      </w:r>
      <w:r>
        <w:tab/>
      </w:r>
      <w:r>
        <w:fldChar w:fldCharType="begin"/>
      </w:r>
      <w:r>
        <w:instrText xml:space="preserve"> PAGEREF _Toc57964382 \h </w:instrText>
      </w:r>
      <w:r>
        <w:fldChar w:fldCharType="separate"/>
      </w:r>
      <w:r>
        <w:t>75</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"_Toc57964383" </w:instrText>
      </w:r>
      <w:r>
        <w:fldChar w:fldCharType="separate"/>
      </w:r>
      <w:r>
        <w:rPr>
          <w:rStyle w:val="21"/>
        </w:rPr>
        <w:t xml:space="preserve">8.2 </w:t>
      </w:r>
      <w:r>
        <w:rPr>
          <w:rStyle w:val="21"/>
          <w:rFonts w:hint="eastAsia"/>
        </w:rPr>
        <w:t>建议</w:t>
      </w:r>
      <w:r>
        <w:tab/>
      </w:r>
      <w:r>
        <w:fldChar w:fldCharType="begin"/>
      </w:r>
      <w:r>
        <w:instrText xml:space="preserve"> PAGEREF _Toc57964383 \h </w:instrText>
      </w:r>
      <w:r>
        <w:fldChar w:fldCharType="separate"/>
      </w:r>
      <w:r>
        <w:t>77</w:t>
      </w:r>
      <w:r>
        <w:fldChar w:fldCharType="end"/>
      </w:r>
      <w:r>
        <w:fldChar w:fldCharType="end"/>
      </w:r>
    </w:p>
    <w:p>
      <w:pPr>
        <w:pStyle w:val="16"/>
        <w:tabs>
          <w:tab w:val="right" w:leader="dot" w:pos="9241"/>
        </w:tabs>
        <w:ind w:left="480" w:firstLine="480"/>
        <w:rPr>
          <w:rFonts w:asciiTheme="minorHAnsi" w:hAnsiTheme="minorHAnsi" w:eastAsiaTheme="minorEastAsia" w:cstheme="minorBidi"/>
          <w:kern w:val="2"/>
          <w:sz w:val="21"/>
          <w:lang w:val="en-US" w:bidi="ar-SA"/>
        </w:rPr>
      </w:pPr>
      <w:r>
        <w:fldChar w:fldCharType="begin"/>
      </w:r>
      <w:r>
        <w:instrText xml:space="preserve"> HYPERLINK \l "_Toc57964384" </w:instrText>
      </w:r>
      <w:r>
        <w:fldChar w:fldCharType="separate"/>
      </w:r>
      <w:r>
        <w:rPr>
          <w:rStyle w:val="21"/>
        </w:rPr>
        <w:t xml:space="preserve">8.3 </w:t>
      </w:r>
      <w:r>
        <w:rPr>
          <w:rStyle w:val="21"/>
          <w:rFonts w:hint="eastAsia"/>
        </w:rPr>
        <w:t>要求</w:t>
      </w:r>
      <w:r>
        <w:tab/>
      </w:r>
      <w:r>
        <w:fldChar w:fldCharType="begin"/>
      </w:r>
      <w:r>
        <w:instrText xml:space="preserve"> PAGEREF _Toc57964384 \h </w:instrText>
      </w:r>
      <w:r>
        <w:fldChar w:fldCharType="separate"/>
      </w:r>
      <w:r>
        <w:t>78</w:t>
      </w:r>
      <w:r>
        <w:fldChar w:fldCharType="end"/>
      </w:r>
      <w:r>
        <w:fldChar w:fldCharType="end"/>
      </w:r>
    </w:p>
    <w:p>
      <w:pPr>
        <w:pStyle w:val="14"/>
        <w:tabs>
          <w:tab w:val="right" w:leader="dot" w:pos="9241"/>
        </w:tabs>
        <w:ind w:firstLine="480"/>
        <w:rPr>
          <w:rFonts w:asciiTheme="minorHAnsi" w:hAnsiTheme="minorHAnsi" w:eastAsiaTheme="minorEastAsia" w:cstheme="minorBidi"/>
          <w:kern w:val="2"/>
          <w:sz w:val="21"/>
          <w:lang w:val="en-US" w:bidi="ar-SA"/>
        </w:rPr>
      </w:pPr>
      <w:r>
        <w:fldChar w:fldCharType="begin"/>
      </w:r>
      <w:r>
        <w:instrText xml:space="preserve"> HYPERLINK \l "_Toc57964385" </w:instrText>
      </w:r>
      <w:r>
        <w:fldChar w:fldCharType="separate"/>
      </w:r>
      <w:r>
        <w:rPr>
          <w:rStyle w:val="21"/>
        </w:rPr>
        <w:t xml:space="preserve">9 </w:t>
      </w:r>
      <w:r>
        <w:rPr>
          <w:rStyle w:val="21"/>
          <w:rFonts w:hint="eastAsia"/>
        </w:rPr>
        <w:t>附图与附件</w:t>
      </w:r>
      <w:r>
        <w:tab/>
      </w:r>
      <w:r>
        <w:fldChar w:fldCharType="begin"/>
      </w:r>
      <w:r>
        <w:instrText xml:space="preserve"> PAGEREF _Toc57964385 \h </w:instrText>
      </w:r>
      <w:r>
        <w:fldChar w:fldCharType="separate"/>
      </w:r>
      <w:r>
        <w:t>79</w:t>
      </w:r>
      <w:r>
        <w:fldChar w:fldCharType="end"/>
      </w:r>
      <w:r>
        <w:fldChar w:fldCharType="end"/>
      </w:r>
    </w:p>
    <w:p>
      <w:pPr>
        <w:spacing w:before="88" w:after="240"/>
        <w:ind w:left="457" w:right="792" w:firstLine="482"/>
        <w:jc w:val="center"/>
        <w:rPr>
          <w:rFonts w:eastAsiaTheme="minorEastAsia"/>
          <w:b/>
          <w:szCs w:val="24"/>
        </w:rPr>
      </w:pPr>
      <w:r>
        <w:rPr>
          <w:rFonts w:eastAsiaTheme="minorEastAsia"/>
          <w:b/>
          <w:szCs w:val="24"/>
        </w:rPr>
        <w:fldChar w:fldCharType="end"/>
      </w:r>
    </w:p>
    <w:p>
      <w:pPr>
        <w:widowControl/>
        <w:autoSpaceDE/>
        <w:autoSpaceDN/>
        <w:spacing w:line="240" w:lineRule="auto"/>
        <w:ind w:firstLine="0" w:firstLineChars="0"/>
        <w:rPr>
          <w:rFonts w:eastAsiaTheme="minorEastAsia"/>
          <w:b/>
          <w:sz w:val="30"/>
        </w:rPr>
        <w:sectPr>
          <w:footerReference r:id="rId11" w:type="default"/>
          <w:pgSz w:w="11910" w:h="16840"/>
          <w:pgMar w:top="1661" w:right="1321" w:bottom="1361" w:left="1338" w:header="1086" w:footer="1164" w:gutter="0"/>
          <w:cols w:space="720" w:num="1"/>
        </w:sectPr>
      </w:pPr>
      <w:r>
        <w:rPr>
          <w:rFonts w:eastAsiaTheme="minorEastAsia"/>
          <w:b/>
          <w:sz w:val="30"/>
        </w:rPr>
        <w:br w:type="page"/>
      </w:r>
    </w:p>
    <w:p>
      <w:pPr>
        <w:pStyle w:val="2"/>
      </w:pPr>
      <w:bookmarkStart w:id="0" w:name="_Toc57964341"/>
      <w:r>
        <w:rPr>
          <w:rFonts w:hint="eastAsia"/>
        </w:rPr>
        <w:t xml:space="preserve">1 </w:t>
      </w:r>
      <w:r>
        <w:t>总 则</w:t>
      </w:r>
      <w:bookmarkEnd w:id="0"/>
    </w:p>
    <w:p>
      <w:pPr>
        <w:pStyle w:val="3"/>
      </w:pPr>
      <w:bookmarkStart w:id="1" w:name="_Toc57964342"/>
      <w:r>
        <w:rPr>
          <w:rFonts w:hint="eastAsia"/>
        </w:rPr>
        <w:t>1</w:t>
      </w:r>
      <w:r>
        <w:t>.1 项目背景</w:t>
      </w:r>
      <w:bookmarkEnd w:id="1"/>
    </w:p>
    <w:p>
      <w:pPr>
        <w:pStyle w:val="7"/>
        <w:spacing w:before="139" w:line="369" w:lineRule="auto"/>
        <w:ind w:left="220" w:right="382" w:firstLine="480"/>
        <w:jc w:val="both"/>
      </w:pPr>
      <w:r>
        <w:t>随着我国经济社会的快速发展，水资源短缺、水污染严重、水生态环境恶化等问题日益突出，已成为制约我国经济社会可持续发展的主要瓶颈，党的十八大、十九大以来，中央先后印发了《关于加快推进生态文明建设的意见》（中发〔</w:t>
      </w:r>
      <w:r>
        <w:rPr>
          <w:rFonts w:eastAsia="Times New Roman"/>
        </w:rPr>
        <w:t>2015</w:t>
      </w:r>
      <w:r>
        <w:t>〕</w:t>
      </w:r>
      <w:r>
        <w:rPr>
          <w:rFonts w:eastAsia="Times New Roman"/>
        </w:rPr>
        <w:t xml:space="preserve">12 </w:t>
      </w:r>
      <w:r>
        <w:t>号</w:t>
      </w:r>
      <w:r>
        <w:rPr>
          <w:spacing w:val="-12"/>
        </w:rPr>
        <w:t>）</w:t>
      </w:r>
      <w:r>
        <w:rPr>
          <w:spacing w:val="-7"/>
        </w:rPr>
        <w:t>、《水污染防治行动计划》</w:t>
      </w:r>
      <w:r>
        <w:t>（</w:t>
      </w:r>
      <w:r>
        <w:rPr>
          <w:spacing w:val="-4"/>
        </w:rPr>
        <w:t>国发〔</w:t>
      </w:r>
      <w:r>
        <w:rPr>
          <w:rFonts w:eastAsia="Times New Roman"/>
        </w:rPr>
        <w:t>2015</w:t>
      </w:r>
      <w:r>
        <w:rPr>
          <w:spacing w:val="-12"/>
        </w:rPr>
        <w:t>〕</w:t>
      </w:r>
      <w:r>
        <w:rPr>
          <w:rFonts w:eastAsia="Times New Roman"/>
        </w:rPr>
        <w:t xml:space="preserve">17 </w:t>
      </w:r>
      <w:r>
        <w:t>号</w:t>
      </w:r>
      <w:r>
        <w:rPr>
          <w:spacing w:val="-12"/>
        </w:rPr>
        <w:t>）</w:t>
      </w:r>
      <w:r>
        <w:rPr>
          <w:spacing w:val="-6"/>
        </w:rPr>
        <w:t>、《全面推行河长制的意</w:t>
      </w:r>
      <w:r>
        <w:rPr>
          <w:spacing w:val="-10"/>
        </w:rPr>
        <w:t>见》</w:t>
      </w:r>
      <w:r>
        <w:t>（</w:t>
      </w:r>
      <w:r>
        <w:rPr>
          <w:spacing w:val="-4"/>
        </w:rPr>
        <w:t>厅字〔</w:t>
      </w:r>
      <w:r>
        <w:rPr>
          <w:rFonts w:eastAsia="Times New Roman"/>
        </w:rPr>
        <w:t>2016</w:t>
      </w:r>
      <w:r>
        <w:rPr>
          <w:spacing w:val="-10"/>
        </w:rPr>
        <w:t>〕</w:t>
      </w:r>
      <w:r>
        <w:rPr>
          <w:rFonts w:eastAsia="Times New Roman"/>
        </w:rPr>
        <w:t xml:space="preserve">42 </w:t>
      </w:r>
      <w:r>
        <w:t>号</w:t>
      </w:r>
      <w:r>
        <w:rPr>
          <w:spacing w:val="-10"/>
        </w:rPr>
        <w:t>）</w:t>
      </w:r>
      <w:r>
        <w:rPr>
          <w:spacing w:val="-2"/>
        </w:rPr>
        <w:t>等一系列关于生态文件建设的文件。提出了加快生态文</w:t>
      </w:r>
      <w:r>
        <w:rPr>
          <w:spacing w:val="-9"/>
        </w:rPr>
        <w:t>明体制改革，建设美丽中国，紧紧围绕统筹推进</w:t>
      </w:r>
      <w:r>
        <w:rPr>
          <w:rFonts w:eastAsia="Times New Roman"/>
        </w:rPr>
        <w:t>“</w:t>
      </w:r>
      <w:r>
        <w:t>五位一体</w:t>
      </w:r>
      <w:r>
        <w:rPr>
          <w:rFonts w:eastAsia="Times New Roman"/>
        </w:rPr>
        <w:t>”</w:t>
      </w:r>
      <w:r>
        <w:t>总体布局和协调推进</w:t>
      </w:r>
      <w:r>
        <w:rPr>
          <w:rFonts w:eastAsia="Times New Roman"/>
        </w:rPr>
        <w:t>“</w:t>
      </w:r>
      <w:r>
        <w:rPr>
          <w:spacing w:val="-15"/>
        </w:rPr>
        <w:t>四</w:t>
      </w:r>
      <w:r>
        <w:t>个全面</w:t>
      </w:r>
      <w:r>
        <w:rPr>
          <w:rFonts w:eastAsia="Times New Roman"/>
        </w:rPr>
        <w:t>”</w:t>
      </w:r>
      <w:r>
        <w:t>战略布局，牢固树立创新、协调、绿色、开放、共享的发展理念。</w:t>
      </w:r>
    </w:p>
    <w:p>
      <w:pPr>
        <w:pStyle w:val="7"/>
        <w:spacing w:line="369" w:lineRule="auto"/>
        <w:ind w:left="220" w:right="262" w:firstLine="480"/>
        <w:jc w:val="both"/>
      </w:pPr>
      <w:r>
        <w:t>甘肃省高度重视生态文明建设，《甘肃省人民政府办公厅关于印发甘肃省实行</w:t>
      </w:r>
      <w:r>
        <w:rPr>
          <w:spacing w:val="-1"/>
        </w:rPr>
        <w:t>最严格的水资源管理制度办法的通知》</w:t>
      </w:r>
      <w:r>
        <w:rPr>
          <w:rFonts w:eastAsia="Times New Roman"/>
        </w:rPr>
        <w:t>(</w:t>
      </w:r>
      <w:r>
        <w:rPr>
          <w:spacing w:val="-4"/>
        </w:rPr>
        <w:t>甘政办发〔</w:t>
      </w:r>
      <w:r>
        <w:rPr>
          <w:rFonts w:eastAsia="Times New Roman"/>
          <w:spacing w:val="-3"/>
        </w:rPr>
        <w:t>2011</w:t>
      </w:r>
      <w:r>
        <w:rPr>
          <w:spacing w:val="-17"/>
        </w:rPr>
        <w:t>〕</w:t>
      </w:r>
      <w:r>
        <w:rPr>
          <w:rFonts w:eastAsia="Times New Roman"/>
        </w:rPr>
        <w:t>155</w:t>
      </w:r>
      <w:r>
        <w:t>号</w:t>
      </w:r>
      <w:r>
        <w:rPr>
          <w:rFonts w:eastAsia="Times New Roman"/>
        </w:rPr>
        <w:t>)</w:t>
      </w:r>
      <w:r>
        <w:rPr>
          <w:spacing w:val="-6"/>
        </w:rPr>
        <w:t>、《甘肃省人民政府关于印发甘肃省水污染防治工作方案的通知》甘政发（〔</w:t>
      </w:r>
      <w:r>
        <w:rPr>
          <w:rFonts w:eastAsia="Times New Roman"/>
          <w:spacing w:val="-6"/>
        </w:rPr>
        <w:t>2015</w:t>
      </w:r>
      <w:r>
        <w:rPr>
          <w:spacing w:val="-6"/>
        </w:rPr>
        <w:t>〕</w:t>
      </w:r>
      <w:r>
        <w:rPr>
          <w:rFonts w:eastAsia="Times New Roman"/>
          <w:spacing w:val="-6"/>
        </w:rPr>
        <w:t xml:space="preserve">103 </w:t>
      </w:r>
      <w:r>
        <w:rPr>
          <w:spacing w:val="-6"/>
        </w:rPr>
        <w:t>号）、《甘</w:t>
      </w:r>
      <w:r>
        <w:rPr>
          <w:spacing w:val="-8"/>
        </w:rPr>
        <w:t>肃省全面推行河长制工作方案》</w:t>
      </w:r>
      <w:r>
        <w:t>（</w:t>
      </w:r>
      <w:r>
        <w:rPr>
          <w:spacing w:val="-3"/>
        </w:rPr>
        <w:t>甘办发〔</w:t>
      </w:r>
      <w:r>
        <w:rPr>
          <w:rFonts w:eastAsia="Times New Roman"/>
        </w:rPr>
        <w:t>2017</w:t>
      </w:r>
      <w:r>
        <w:rPr>
          <w:spacing w:val="-12"/>
        </w:rPr>
        <w:t>〕</w:t>
      </w:r>
      <w:r>
        <w:rPr>
          <w:rFonts w:eastAsia="Times New Roman"/>
        </w:rPr>
        <w:t xml:space="preserve">44 </w:t>
      </w:r>
      <w:r>
        <w:t>号</w:t>
      </w:r>
      <w:r>
        <w:rPr>
          <w:spacing w:val="-12"/>
        </w:rPr>
        <w:t>）</w:t>
      </w:r>
      <w:r>
        <w:t>等文件对改善河流水环境</w:t>
      </w:r>
      <w:r>
        <w:rPr>
          <w:spacing w:val="-7"/>
        </w:rPr>
        <w:t xml:space="preserve">质量提出了明确的要求，到 </w:t>
      </w:r>
      <w:r>
        <w:rPr>
          <w:rFonts w:eastAsia="Times New Roman"/>
        </w:rPr>
        <w:t>2020</w:t>
      </w:r>
      <w:r>
        <w:rPr>
          <w:spacing w:val="-3"/>
        </w:rPr>
        <w:t xml:space="preserve">年甘肃省国家重要水功能区水质达标率达到 </w:t>
      </w:r>
      <w:r>
        <w:rPr>
          <w:rFonts w:eastAsia="Times New Roman"/>
          <w:spacing w:val="-6"/>
        </w:rPr>
        <w:t>82%</w:t>
      </w:r>
      <w:r>
        <w:rPr>
          <w:spacing w:val="-6"/>
        </w:rPr>
        <w:t xml:space="preserve">； </w:t>
      </w:r>
      <w:r>
        <w:rPr>
          <w:spacing w:val="-14"/>
        </w:rPr>
        <w:t xml:space="preserve">到 </w:t>
      </w:r>
      <w:r>
        <w:rPr>
          <w:rFonts w:eastAsia="Times New Roman"/>
        </w:rPr>
        <w:t>2030</w:t>
      </w:r>
      <w:r>
        <w:rPr>
          <w:spacing w:val="-2"/>
        </w:rPr>
        <w:t>年甘肃省国家重要水功能区水质达标率达到</w:t>
      </w:r>
      <w:r>
        <w:rPr>
          <w:rFonts w:eastAsia="Times New Roman"/>
        </w:rPr>
        <w:t>95%</w:t>
      </w:r>
      <w:r>
        <w:t>；《甘肃省水污染防治工</w:t>
      </w:r>
      <w:r>
        <w:rPr>
          <w:spacing w:val="-6"/>
        </w:rPr>
        <w:t>作方案》</w:t>
      </w:r>
      <w:r>
        <w:t>（</w:t>
      </w:r>
      <w:r>
        <w:rPr>
          <w:rFonts w:eastAsia="Times New Roman"/>
        </w:rPr>
        <w:t xml:space="preserve">2015—2050 </w:t>
      </w:r>
      <w:r>
        <w:t>年</w:t>
      </w:r>
      <w:r>
        <w:rPr>
          <w:spacing w:val="-12"/>
        </w:rPr>
        <w:t xml:space="preserve">）明确要求，到 </w:t>
      </w:r>
      <w:r>
        <w:rPr>
          <w:rFonts w:eastAsia="Times New Roman"/>
        </w:rPr>
        <w:t xml:space="preserve">2020 </w:t>
      </w:r>
      <w:r>
        <w:rPr>
          <w:spacing w:val="-4"/>
        </w:rPr>
        <w:t>年，全省地表水环境质量稳中趋好，</w:t>
      </w:r>
      <w:r>
        <w:t>饮用水环境安全保障能力与水平明显提高，地下水环境质量基本保持稳定，地级城</w:t>
      </w:r>
      <w:r>
        <w:rPr>
          <w:spacing w:val="-9"/>
        </w:rPr>
        <w:t>市建成区黑臭水体基本消除，水资源消耗得到有效控制，水生态环境得到逐步改善。</w:t>
      </w:r>
      <w:r>
        <w:rPr>
          <w:spacing w:val="-30"/>
        </w:rPr>
        <w:t xml:space="preserve">到 </w:t>
      </w:r>
      <w:r>
        <w:rPr>
          <w:rFonts w:eastAsia="Times New Roman"/>
        </w:rPr>
        <w:t>2030</w:t>
      </w:r>
      <w:r>
        <w:rPr>
          <w:spacing w:val="-1"/>
        </w:rPr>
        <w:t>年，全省水环境质量总体改善，水生态系统功能基本恢复。到本世纪中叶，</w:t>
      </w:r>
      <w:r>
        <w:rPr>
          <w:spacing w:val="-9"/>
        </w:rPr>
        <w:t>生态环境质量全面改善，生态系统实现良性循环。到</w:t>
      </w:r>
      <w:r>
        <w:rPr>
          <w:rFonts w:eastAsia="Times New Roman"/>
        </w:rPr>
        <w:t>2020</w:t>
      </w:r>
      <w:r>
        <w:rPr>
          <w:spacing w:val="-8"/>
        </w:rPr>
        <w:t>年，境内黄河流域考核断</w:t>
      </w:r>
      <w:r>
        <w:t>面水质优良（达到或优于Ⅲ类）</w:t>
      </w:r>
      <w:r>
        <w:rPr>
          <w:spacing w:val="-7"/>
        </w:rPr>
        <w:t xml:space="preserve">比例分别达到 </w:t>
      </w:r>
      <w:r>
        <w:rPr>
          <w:rFonts w:eastAsia="Times New Roman"/>
        </w:rPr>
        <w:t>89.74%</w:t>
      </w:r>
      <w:r>
        <w:rPr>
          <w:spacing w:val="-16"/>
        </w:rPr>
        <w:t>；到</w:t>
      </w:r>
      <w:r>
        <w:rPr>
          <w:rFonts w:eastAsia="Times New Roman"/>
        </w:rPr>
        <w:t>2030</w:t>
      </w:r>
      <w:r>
        <w:rPr>
          <w:spacing w:val="-4"/>
        </w:rPr>
        <w:t>年，境内黄河考核</w:t>
      </w:r>
      <w:r>
        <w:rPr>
          <w:spacing w:val="17"/>
        </w:rPr>
        <w:t xml:space="preserve">断面水质优良比例分别达到 </w:t>
      </w:r>
      <w:r>
        <w:rPr>
          <w:rFonts w:eastAsia="Times New Roman"/>
          <w:spacing w:val="3"/>
        </w:rPr>
        <w:t>92.31%</w:t>
      </w:r>
      <w:r>
        <w:rPr>
          <w:spacing w:val="17"/>
        </w:rPr>
        <w:t>。马莲河水系考核断面水质优良比例达到</w:t>
      </w:r>
      <w:r>
        <w:rPr>
          <w:rFonts w:eastAsia="Times New Roman"/>
        </w:rPr>
        <w:t>84.62%</w:t>
      </w:r>
      <w:r>
        <w:t xml:space="preserve">；县级及以上城市集中式饮用水水源地水质优良比例达到 </w:t>
      </w:r>
      <w:r>
        <w:rPr>
          <w:rFonts w:eastAsia="Times New Roman"/>
        </w:rPr>
        <w:t>100%</w:t>
      </w:r>
      <w:r>
        <w:t>；地下水质</w:t>
      </w:r>
      <w:r>
        <w:rPr>
          <w:spacing w:val="-1"/>
        </w:rPr>
        <w:t>量考核点位水质级别保持稳定；地级城市建成区黑臭水体基本消除。为进一步加强入河排污口监督管理，落实河长制主要工作任务，促进全省河流水质持续改善，维护河流健康生命，甘肃省水利厅印发了《甘肃省水利厅关于进一步加强入河排污口</w:t>
      </w:r>
      <w:r>
        <w:t>监督管理工作的通知》（甘水资源发〔</w:t>
      </w:r>
      <w:r>
        <w:rPr>
          <w:rFonts w:eastAsia="Times New Roman"/>
        </w:rPr>
        <w:t>2017</w:t>
      </w:r>
      <w:r>
        <w:t>〕</w:t>
      </w:r>
      <w:r>
        <w:rPr>
          <w:rFonts w:eastAsia="Times New Roman"/>
        </w:rPr>
        <w:t xml:space="preserve">329 </w:t>
      </w:r>
      <w:r>
        <w:t>号），</w:t>
      </w:r>
      <w:r>
        <w:rPr>
          <w:spacing w:val="-2"/>
        </w:rPr>
        <w:t>甘肃省河长办印发了《甘</w:t>
      </w:r>
      <w:r>
        <w:rPr>
          <w:spacing w:val="1"/>
        </w:rPr>
        <w:t>肃省河长制办公室关于入河排污口调查摸底和规范化整治专项的通知》</w:t>
      </w:r>
      <w:r>
        <w:rPr>
          <w:rFonts w:eastAsia="Times New Roman"/>
          <w:spacing w:val="4"/>
        </w:rPr>
        <w:t>(</w:t>
      </w:r>
      <w:r>
        <w:rPr>
          <w:spacing w:val="4"/>
        </w:rPr>
        <w:t>甘河办发</w:t>
      </w:r>
      <w:r>
        <w:t>〔</w:t>
      </w:r>
      <w:r>
        <w:rPr>
          <w:rFonts w:eastAsia="Times New Roman"/>
        </w:rPr>
        <w:t>2018</w:t>
      </w:r>
      <w:r>
        <w:t>〕</w:t>
      </w:r>
      <w:r>
        <w:rPr>
          <w:rFonts w:eastAsia="Times New Roman"/>
        </w:rPr>
        <w:t xml:space="preserve">23 </w:t>
      </w:r>
      <w:r>
        <w:t>号</w:t>
      </w:r>
      <w:r>
        <w:rPr>
          <w:rFonts w:eastAsia="Times New Roman"/>
        </w:rPr>
        <w:t>)</w:t>
      </w:r>
      <w:r>
        <w:t>。</w:t>
      </w:r>
    </w:p>
    <w:p>
      <w:pPr>
        <w:adjustRightInd w:val="0"/>
        <w:ind w:firstLine="480"/>
        <w:rPr>
          <w:bCs/>
          <w:szCs w:val="28"/>
        </w:rPr>
      </w:pPr>
      <w:r>
        <w:rPr>
          <w:rFonts w:hint="eastAsia"/>
          <w:szCs w:val="28"/>
        </w:rPr>
        <w:t>合水县何家畔镇排污方式目前采用雨污合流，旱天污水收集到污水池中，雨天排入山沟，收集到的污水经吸污车抽吸运往县城污水处理厂处理，主街道（纬三路）现有管网长度约900m，年久失修且管径偏小，主街道往东及其余街道均无排水管网，无法满足城镇规划发展需要。因此，</w:t>
      </w:r>
      <w:r>
        <w:rPr>
          <w:rFonts w:hint="eastAsia"/>
          <w:bCs/>
          <w:szCs w:val="28"/>
        </w:rPr>
        <w:t>合水县环境保护局投资建设合水县何家畔镇何家畔村截污控源工程建设项目，解决何家畔镇何家畔村污水问题，保护生态环境。</w:t>
      </w:r>
    </w:p>
    <w:p>
      <w:pPr>
        <w:snapToGrid w:val="0"/>
        <w:spacing w:line="370" w:lineRule="auto"/>
        <w:ind w:left="200" w:firstLine="480"/>
        <w:rPr>
          <w:szCs w:val="24"/>
        </w:rPr>
      </w:pPr>
      <w:r>
        <w:rPr>
          <w:szCs w:val="24"/>
        </w:rPr>
        <w:t>201</w:t>
      </w:r>
      <w:r>
        <w:rPr>
          <w:rFonts w:hint="eastAsia"/>
          <w:szCs w:val="24"/>
        </w:rPr>
        <w:t>8</w:t>
      </w:r>
      <w:r>
        <w:rPr>
          <w:szCs w:val="24"/>
        </w:rPr>
        <w:t>年</w:t>
      </w:r>
      <w:r>
        <w:rPr>
          <w:rFonts w:hint="eastAsia"/>
          <w:szCs w:val="24"/>
        </w:rPr>
        <w:t>5</w:t>
      </w:r>
      <w:r>
        <w:rPr>
          <w:szCs w:val="24"/>
        </w:rPr>
        <w:t>月</w:t>
      </w:r>
      <w:r>
        <w:rPr>
          <w:rFonts w:hint="eastAsia"/>
          <w:szCs w:val="24"/>
        </w:rPr>
        <w:t>18</w:t>
      </w:r>
      <w:r>
        <w:rPr>
          <w:szCs w:val="24"/>
        </w:rPr>
        <w:t>日，</w:t>
      </w:r>
      <w:r>
        <w:rPr>
          <w:rFonts w:hint="eastAsia"/>
          <w:szCs w:val="24"/>
        </w:rPr>
        <w:t>合水</w:t>
      </w:r>
      <w:r>
        <w:rPr>
          <w:szCs w:val="24"/>
        </w:rPr>
        <w:t>县发展和改革局</w:t>
      </w:r>
      <w:r>
        <w:rPr>
          <w:rFonts w:hint="eastAsia"/>
          <w:szCs w:val="24"/>
        </w:rPr>
        <w:t>以合发改发［</w:t>
      </w:r>
      <w:r>
        <w:rPr>
          <w:szCs w:val="24"/>
        </w:rPr>
        <w:t>201</w:t>
      </w:r>
      <w:r>
        <w:rPr>
          <w:rFonts w:hint="eastAsia"/>
          <w:szCs w:val="24"/>
        </w:rPr>
        <w:t>8］68</w:t>
      </w:r>
      <w:r>
        <w:rPr>
          <w:szCs w:val="24"/>
        </w:rPr>
        <w:t>号</w:t>
      </w:r>
      <w:r>
        <w:rPr>
          <w:rFonts w:hint="eastAsia"/>
          <w:szCs w:val="24"/>
        </w:rPr>
        <w:t>批复了《</w:t>
      </w:r>
      <w:r>
        <w:rPr>
          <w:szCs w:val="24"/>
        </w:rPr>
        <w:t>关于</w:t>
      </w:r>
      <w:r>
        <w:rPr>
          <w:rFonts w:hint="eastAsia"/>
          <w:szCs w:val="24"/>
        </w:rPr>
        <w:t>合水县六乡镇截污控源工程</w:t>
      </w:r>
      <w:r>
        <w:rPr>
          <w:szCs w:val="24"/>
        </w:rPr>
        <w:t>可行性研究报告的批复</w:t>
      </w:r>
      <w:r>
        <w:rPr>
          <w:rFonts w:hint="eastAsia"/>
          <w:szCs w:val="24"/>
        </w:rPr>
        <w:t>》（</w:t>
      </w:r>
      <w:r>
        <w:rPr>
          <w:szCs w:val="24"/>
        </w:rPr>
        <w:t>见附件</w:t>
      </w:r>
      <w:r>
        <w:rPr>
          <w:rFonts w:hint="eastAsia"/>
          <w:szCs w:val="24"/>
        </w:rPr>
        <w:t>1</w:t>
      </w:r>
      <w:r>
        <w:rPr>
          <w:szCs w:val="24"/>
        </w:rPr>
        <w:t>）。</w:t>
      </w:r>
      <w:r>
        <w:rPr>
          <w:rFonts w:hint="eastAsia"/>
          <w:szCs w:val="24"/>
        </w:rPr>
        <w:t>2018年2月9日，合水县规划局签发了选字第2018008号《建设项目选址意见书》（见附件2）。2018年2月11日，合水县国土资源局以合国土预［2018］10号签发了《项目建设用地预审意见书》（见附件3）。2018年7月25日，合水县环境保护局以合环审字［2018］11号发布了《关于合水县何家畔镇何家畔村截污控源工程环境影响报告表的批复》（见附件4）。</w:t>
      </w:r>
    </w:p>
    <w:p>
      <w:pPr>
        <w:pStyle w:val="7"/>
        <w:spacing w:line="370" w:lineRule="auto"/>
        <w:ind w:left="220" w:right="262" w:firstLine="480"/>
        <w:jc w:val="both"/>
      </w:pPr>
      <w:r>
        <w:rPr>
          <w:rFonts w:hint="eastAsia"/>
        </w:rPr>
        <w:t>合水</w:t>
      </w:r>
      <w:r>
        <w:t>县</w:t>
      </w:r>
      <w:r>
        <w:rPr>
          <w:rFonts w:hint="eastAsia"/>
        </w:rPr>
        <w:t>何家畔镇何家畔村截污控源工程</w:t>
      </w:r>
      <w:r>
        <w:rPr>
          <w:rFonts w:hint="eastAsia"/>
          <w:color w:val="000000" w:themeColor="text1"/>
        </w:rPr>
        <w:t>建成后</w:t>
      </w:r>
      <w:r>
        <w:t>，通过</w:t>
      </w:r>
      <w:r>
        <w:rPr>
          <w:color w:val="000000" w:themeColor="text1"/>
        </w:rPr>
        <w:t>D</w:t>
      </w:r>
      <w:r>
        <w:rPr>
          <w:rFonts w:hint="eastAsia"/>
          <w:color w:val="000000" w:themeColor="text1"/>
        </w:rPr>
        <w:t>N100</w:t>
      </w:r>
      <w:r>
        <w:t>管道排放污水，属新建入河排污口，规范入河排污口设置是提高水环境质量的重要手段。根据《中华人民共和国水法》、《中华人民共和国水污染防治法》，在江河、湖泊设置入河排污口，需经水行政主管部门或流域管理机构同意。为做好入河排污口监督管理工作，水利部和甘肃省水利厅发布了《水功能区监督管理办法》《入河排污口监督管理办法》《入河排污口管理技术导则》（SL532-2011）及《甘肃省甘肃省水污染防治工作方案》《甘肃省水利厅关于进一步加强入河排污口监督管理工作的通知》（甘水资源发〔2017〕329 号）等一系列技术标准和</w:t>
      </w:r>
      <w:bookmarkStart w:id="74" w:name="_GoBack"/>
      <w:bookmarkEnd w:id="74"/>
      <w:r>
        <w:rPr>
          <w:rFonts w:hint="eastAsia"/>
          <w:lang w:val="en-US" w:eastAsia="zh-CN"/>
        </w:rPr>
        <w:t>规范化</w:t>
      </w:r>
      <w:r>
        <w:t>文件。需编制入河排污口设置</w:t>
      </w:r>
      <w:r>
        <w:rPr>
          <w:rFonts w:hint="eastAsia"/>
        </w:rPr>
        <w:t>论证分析说明</w:t>
      </w:r>
      <w:r>
        <w:t>。</w:t>
      </w:r>
    </w:p>
    <w:p>
      <w:pPr>
        <w:pStyle w:val="7"/>
        <w:spacing w:line="370" w:lineRule="auto"/>
        <w:ind w:left="220" w:right="262" w:firstLine="480"/>
        <w:jc w:val="both"/>
        <w:rPr>
          <w:color w:val="000000" w:themeColor="text1"/>
        </w:rPr>
      </w:pPr>
      <w:r>
        <w:rPr>
          <w:rFonts w:hint="eastAsia"/>
        </w:rPr>
        <w:t>2020年9月，受合水县环境保护局委托，陕西优和安环工程咨询有限公司（以下简称陕西优和）承担合水县何家畔镇何家畔村截污控源工程入河排污口设置论证分析说明工作。接受委托后，陕西优和成立项目组，组织有关技术人员进行了实地查勘。在</w:t>
      </w:r>
      <w:r>
        <w:t>充分收集污水处理厂、相关企业及区域基础资料，开展排污和纳污水域水质补充调查监测、河道地形勘测等工作的基础上，项目组对</w:t>
      </w:r>
      <w:r>
        <w:rPr>
          <w:rFonts w:hint="eastAsia"/>
        </w:rPr>
        <w:t>合水县何家畔镇何家畔村截污控源工程入河排污口设置的</w:t>
      </w:r>
      <w:r>
        <w:rPr>
          <w:spacing w:val="-7"/>
        </w:rPr>
        <w:t>影响及其合理性进行了充分分析与论证，</w:t>
      </w:r>
      <w:r>
        <w:rPr>
          <w:rFonts w:hint="eastAsia"/>
          <w:spacing w:val="-7"/>
        </w:rPr>
        <w:t>与</w:t>
      </w:r>
      <w:r>
        <w:rPr>
          <w:rFonts w:hint="eastAsia"/>
          <w:color w:val="000000" w:themeColor="text1"/>
          <w:spacing w:val="-7"/>
        </w:rPr>
        <w:t>2020年10月完成《</w:t>
      </w:r>
      <w:r>
        <w:rPr>
          <w:rFonts w:hint="eastAsia"/>
        </w:rPr>
        <w:t>合水县何家畔镇何家畔村截污控源工程</w:t>
      </w:r>
      <w:r>
        <w:rPr>
          <w:rFonts w:hint="eastAsia"/>
          <w:color w:val="000000" w:themeColor="text1"/>
          <w:spacing w:val="-7"/>
        </w:rPr>
        <w:t>入河排污口设置论证分析说明》。</w:t>
      </w:r>
    </w:p>
    <w:p>
      <w:pPr>
        <w:pStyle w:val="3"/>
      </w:pPr>
      <w:bookmarkStart w:id="2" w:name="_Toc57964343"/>
      <w:r>
        <w:rPr>
          <w:rFonts w:hint="eastAsia"/>
        </w:rPr>
        <w:t>1</w:t>
      </w:r>
      <w:r>
        <w:t xml:space="preserve">.2 </w:t>
      </w:r>
      <w:r>
        <w:rPr>
          <w:rFonts w:hint="eastAsia"/>
        </w:rPr>
        <w:t>论证目的</w:t>
      </w:r>
      <w:bookmarkEnd w:id="2"/>
    </w:p>
    <w:p>
      <w:pPr>
        <w:ind w:firstLine="480"/>
      </w:pPr>
      <w:r>
        <w:t>根据入河排污口所在河段水功能区水质目标、入河排污</w:t>
      </w:r>
      <w:r>
        <w:rPr>
          <w:color w:val="000000" w:themeColor="text1"/>
        </w:rPr>
        <w:t>总量</w:t>
      </w:r>
      <w:r>
        <w:t>控制等水资源保护管理要求，论证</w:t>
      </w:r>
      <w:r>
        <w:rPr>
          <w:rFonts w:hint="eastAsia"/>
        </w:rPr>
        <w:t>合水县</w:t>
      </w:r>
      <w:r>
        <w:rPr>
          <w:rFonts w:hint="eastAsia"/>
          <w:szCs w:val="24"/>
        </w:rPr>
        <w:t>何家畔镇何家畔村截污控源工程</w:t>
      </w:r>
      <w:r>
        <w:t>入河排污口设置对相关水功能区、水生态和第三者权益等的影响，分析其合理性，提出相应水资源保护措施建议，为当地监督管理机关审批入河排污口设置及污水处理厂排污管理提供科学依据，保障入河排污涉及的水功能区及下游地区生活、生产和生态用水安全。</w:t>
      </w:r>
    </w:p>
    <w:p>
      <w:pPr>
        <w:pStyle w:val="3"/>
      </w:pPr>
      <w:bookmarkStart w:id="3" w:name="_Toc57964344"/>
      <w:r>
        <w:rPr>
          <w:rFonts w:hint="eastAsia"/>
        </w:rPr>
        <w:t xml:space="preserve">1.3 </w:t>
      </w:r>
      <w:r>
        <w:t>论证原则与依据</w:t>
      </w:r>
      <w:bookmarkEnd w:id="3"/>
    </w:p>
    <w:p>
      <w:pPr>
        <w:pStyle w:val="4"/>
      </w:pPr>
      <w:r>
        <w:rPr>
          <w:rFonts w:hint="eastAsia"/>
        </w:rPr>
        <w:t>1.3.1</w:t>
      </w:r>
      <w:r>
        <w:t>论证原则</w:t>
      </w:r>
    </w:p>
    <w:p>
      <w:pPr>
        <w:ind w:firstLine="480"/>
      </w:pPr>
      <w:r>
        <w:t>本论证遵循以下基本原则：</w:t>
      </w:r>
    </w:p>
    <w:p>
      <w:pPr>
        <w:ind w:firstLine="480"/>
      </w:pPr>
      <w:r>
        <w:rPr>
          <w:rFonts w:hint="eastAsia"/>
        </w:rPr>
        <w:t>（1）</w:t>
      </w:r>
      <w:r>
        <w:t>符合国家法律、法规及相关政策的要求和规定；</w:t>
      </w:r>
    </w:p>
    <w:p>
      <w:pPr>
        <w:ind w:firstLine="480"/>
      </w:pPr>
      <w:r>
        <w:rPr>
          <w:rFonts w:hint="eastAsia"/>
        </w:rPr>
        <w:t>（2）</w:t>
      </w:r>
      <w:r>
        <w:t>符合国家和行业有关技术标准与规范、规程；</w:t>
      </w:r>
    </w:p>
    <w:p>
      <w:pPr>
        <w:ind w:firstLine="480"/>
      </w:pPr>
      <w:r>
        <w:rPr>
          <w:rFonts w:hint="eastAsia"/>
        </w:rPr>
        <w:t>（3）</w:t>
      </w:r>
      <w:r>
        <w:t>符合流域或区域的综合规划及水资源保护等专业规划；</w:t>
      </w:r>
    </w:p>
    <w:p>
      <w:pPr>
        <w:ind w:firstLine="480"/>
      </w:pPr>
      <w:r>
        <w:rPr>
          <w:rFonts w:hint="eastAsia"/>
        </w:rPr>
        <w:t>（4）</w:t>
      </w:r>
      <w:r>
        <w:t>符合流域或区域水功能区管理要求。</w:t>
      </w:r>
    </w:p>
    <w:p>
      <w:pPr>
        <w:pStyle w:val="4"/>
      </w:pPr>
      <w:r>
        <w:rPr>
          <w:rFonts w:hint="eastAsia"/>
        </w:rPr>
        <w:t>1.3.</w:t>
      </w:r>
      <w:r>
        <w:t>2 论证</w:t>
      </w:r>
      <w:r>
        <w:rPr>
          <w:rFonts w:hint="eastAsia"/>
        </w:rPr>
        <w:t>依据</w:t>
      </w:r>
    </w:p>
    <w:p>
      <w:pPr>
        <w:pStyle w:val="5"/>
      </w:pPr>
      <w:r>
        <w:rPr>
          <w:rFonts w:hint="eastAsia"/>
        </w:rPr>
        <w:t>1.3.2.1</w:t>
      </w:r>
      <w:r>
        <w:t xml:space="preserve"> 法律法规及有关规定</w:t>
      </w:r>
    </w:p>
    <w:p>
      <w:pPr>
        <w:ind w:firstLine="480"/>
      </w:pPr>
      <w:r>
        <w:t>（1）《中华人民共和国水法》（2002.10施行，2016.07 修改）</w:t>
      </w:r>
    </w:p>
    <w:p>
      <w:pPr>
        <w:ind w:firstLine="480"/>
      </w:pPr>
      <w:r>
        <w:rPr>
          <w:rFonts w:hint="eastAsia"/>
        </w:rPr>
        <w:t>（2）</w:t>
      </w:r>
      <w:r>
        <w:t>《中华人民共和国环境保护法》（2015.01施行）</w:t>
      </w:r>
    </w:p>
    <w:p>
      <w:pPr>
        <w:ind w:firstLine="480"/>
      </w:pPr>
      <w:r>
        <w:rPr>
          <w:rFonts w:hint="eastAsia"/>
        </w:rPr>
        <w:t>（3）</w:t>
      </w:r>
      <w:r>
        <w:t>《中华人民共和国水污染防治法》（2008.06施行，2017.06修正）</w:t>
      </w:r>
    </w:p>
    <w:p>
      <w:pPr>
        <w:ind w:firstLine="480"/>
      </w:pPr>
      <w:r>
        <w:t>（4）《中华人民共和国防洪法》（1998.01施行，2016.07修改）</w:t>
      </w:r>
    </w:p>
    <w:p>
      <w:pPr>
        <w:ind w:firstLine="480"/>
      </w:pPr>
      <w:r>
        <w:rPr>
          <w:rFonts w:hint="eastAsia"/>
        </w:rPr>
        <w:t>（5）</w:t>
      </w:r>
      <w:r>
        <w:t>《中华人民共和国河道管理条例》（1988.06施行，2017.10修改）</w:t>
      </w:r>
    </w:p>
    <w:p>
      <w:pPr>
        <w:ind w:firstLine="480"/>
      </w:pPr>
      <w:r>
        <w:rPr>
          <w:rFonts w:hint="eastAsia"/>
        </w:rPr>
        <w:t>（6）</w:t>
      </w:r>
      <w:r>
        <w:t>《入河排污口监督管理办法》（2005.01施行，2015.12修改）</w:t>
      </w:r>
    </w:p>
    <w:p>
      <w:pPr>
        <w:ind w:firstLine="480"/>
      </w:pPr>
      <w:r>
        <w:rPr>
          <w:rFonts w:hint="eastAsia"/>
        </w:rPr>
        <w:t>（7）</w:t>
      </w:r>
      <w:r>
        <w:t>《城镇排水与污水处理条例》（2014.01施行）</w:t>
      </w:r>
    </w:p>
    <w:p>
      <w:pPr>
        <w:ind w:firstLine="480"/>
      </w:pPr>
      <w:r>
        <w:rPr>
          <w:rFonts w:hint="eastAsia"/>
        </w:rPr>
        <w:t>（8）</w:t>
      </w:r>
      <w:r>
        <w:t>《甘肃省取水许可和水资源费征收的管理办法》（2014.8）</w:t>
      </w:r>
    </w:p>
    <w:p>
      <w:pPr>
        <w:pStyle w:val="5"/>
      </w:pPr>
      <w:r>
        <w:rPr>
          <w:rFonts w:hint="eastAsia"/>
        </w:rPr>
        <w:t>1.3.2.</w:t>
      </w:r>
      <w:r>
        <w:t xml:space="preserve">2 </w:t>
      </w:r>
      <w:r>
        <w:rPr>
          <w:rFonts w:hint="eastAsia"/>
        </w:rPr>
        <w:t>相关规划</w:t>
      </w:r>
    </w:p>
    <w:p>
      <w:pPr>
        <w:ind w:firstLine="480"/>
      </w:pPr>
      <w:r>
        <w:rPr>
          <w:rFonts w:hint="eastAsia"/>
        </w:rPr>
        <w:t>（1）</w:t>
      </w:r>
      <w:r>
        <w:t>《水污染防治计划》（2015.04 施行）</w:t>
      </w:r>
    </w:p>
    <w:p>
      <w:pPr>
        <w:ind w:firstLine="480"/>
      </w:pPr>
      <w:r>
        <w:rPr>
          <w:rFonts w:hint="eastAsia"/>
        </w:rPr>
        <w:t>（2）</w:t>
      </w:r>
      <w:r>
        <w:t>《水功能区监督管理办法》（2017.04 施行）</w:t>
      </w:r>
    </w:p>
    <w:p>
      <w:pPr>
        <w:ind w:firstLine="480"/>
      </w:pPr>
      <w:r>
        <w:t>（3）（全国重要江河湖泊水功能区划（2011-2030 年）2011.12）</w:t>
      </w:r>
    </w:p>
    <w:p>
      <w:pPr>
        <w:ind w:firstLine="480"/>
      </w:pPr>
      <w:r>
        <w:rPr>
          <w:rFonts w:hint="eastAsia"/>
        </w:rPr>
        <w:t>（4）</w:t>
      </w:r>
      <w:r>
        <w:t>《甘肃省水资源综合规划》（2013.05）</w:t>
      </w:r>
    </w:p>
    <w:p>
      <w:pPr>
        <w:ind w:firstLine="480"/>
      </w:pPr>
      <w:r>
        <w:rPr>
          <w:rFonts w:hint="eastAsia"/>
        </w:rPr>
        <w:t>（5）</w:t>
      </w:r>
      <w:r>
        <w:t>《甘肃省水资源保护规划》（2015.05）</w:t>
      </w:r>
    </w:p>
    <w:p>
      <w:pPr>
        <w:ind w:firstLine="480"/>
      </w:pPr>
      <w:r>
        <w:t>（6）《甘肃省地表水功能区划（2012-2030 年）》（2013.01）</w:t>
      </w:r>
    </w:p>
    <w:p>
      <w:pPr>
        <w:ind w:firstLine="480"/>
      </w:pPr>
      <w:r>
        <w:rPr>
          <w:rFonts w:hint="eastAsia"/>
        </w:rPr>
        <w:t>（7）</w:t>
      </w:r>
      <w:r>
        <w:t>《庆阳市水资源综合规划》（2014.06）</w:t>
      </w:r>
    </w:p>
    <w:p>
      <w:pPr>
        <w:ind w:firstLine="480"/>
      </w:pPr>
      <w:r>
        <w:rPr>
          <w:rFonts w:hint="eastAsia"/>
        </w:rPr>
        <w:t>（8）</w:t>
      </w:r>
      <w:r>
        <w:t>《庆阳市水利发展“十三五”规划》（2016.12）</w:t>
      </w:r>
    </w:p>
    <w:p>
      <w:pPr>
        <w:ind w:firstLine="480"/>
      </w:pPr>
      <w:r>
        <w:rPr>
          <w:rFonts w:hint="eastAsia"/>
        </w:rPr>
        <w:t>（9）</w:t>
      </w:r>
      <w:r>
        <w:t>《庆阳十三五环境保护规划》（2017.08）</w:t>
      </w:r>
    </w:p>
    <w:p>
      <w:pPr>
        <w:pStyle w:val="5"/>
      </w:pPr>
      <w:r>
        <w:rPr>
          <w:rFonts w:hint="eastAsia"/>
        </w:rPr>
        <w:t>1.3.2.</w:t>
      </w:r>
      <w:r>
        <w:t xml:space="preserve">3 </w:t>
      </w:r>
      <w:r>
        <w:rPr>
          <w:rFonts w:hint="eastAsia"/>
        </w:rPr>
        <w:t>标准及规范</w:t>
      </w:r>
    </w:p>
    <w:p>
      <w:pPr>
        <w:ind w:firstLine="480"/>
      </w:pPr>
      <w:r>
        <w:rPr>
          <w:rFonts w:hint="eastAsia"/>
        </w:rPr>
        <w:t>（1）</w:t>
      </w:r>
      <w:r>
        <w:t>《入河排污口管理技术导则》（SL 532-2011）</w:t>
      </w:r>
    </w:p>
    <w:p>
      <w:pPr>
        <w:ind w:firstLine="480"/>
      </w:pPr>
      <w:r>
        <w:rPr>
          <w:rFonts w:hint="eastAsia"/>
        </w:rPr>
        <w:t>（2）</w:t>
      </w:r>
      <w:r>
        <w:t>《地表水环境质量标准》（GB 3838-2002）</w:t>
      </w:r>
    </w:p>
    <w:p>
      <w:pPr>
        <w:ind w:firstLine="480"/>
      </w:pPr>
      <w:r>
        <w:t>（3）《地下水质量标准》（GB/T 14848-2017）</w:t>
      </w:r>
    </w:p>
    <w:p>
      <w:pPr>
        <w:ind w:firstLine="480"/>
      </w:pPr>
      <w:r>
        <w:rPr>
          <w:rFonts w:hint="eastAsia"/>
        </w:rPr>
        <w:t>（4）</w:t>
      </w:r>
      <w:r>
        <w:t>《城镇污水处理厂污染物排放标准》（GB 18918-2002）</w:t>
      </w:r>
    </w:p>
    <w:p>
      <w:pPr>
        <w:ind w:firstLine="480"/>
      </w:pPr>
      <w:r>
        <w:rPr>
          <w:rFonts w:hint="eastAsia"/>
        </w:rPr>
        <w:t>（5）</w:t>
      </w:r>
      <w:r>
        <w:t>《污水排入城镇下水道水质标准》（GB/T 31962-2015）</w:t>
      </w:r>
    </w:p>
    <w:p>
      <w:pPr>
        <w:ind w:firstLine="480"/>
      </w:pPr>
      <w:r>
        <w:rPr>
          <w:rFonts w:hint="eastAsia"/>
        </w:rPr>
        <w:t>（6）</w:t>
      </w:r>
      <w:r>
        <w:t>《水环境监测规范》（SL 219-2013）</w:t>
      </w:r>
    </w:p>
    <w:p>
      <w:pPr>
        <w:ind w:firstLine="480"/>
      </w:pPr>
      <w:r>
        <w:rPr>
          <w:rFonts w:hint="eastAsia"/>
        </w:rPr>
        <w:t>（7）</w:t>
      </w:r>
      <w:r>
        <w:t>《地表水资源质量评价技术规程》（SL 395-2007）</w:t>
      </w:r>
    </w:p>
    <w:p>
      <w:pPr>
        <w:ind w:firstLine="480"/>
      </w:pPr>
      <w:r>
        <w:rPr>
          <w:rFonts w:hint="eastAsia"/>
        </w:rPr>
        <w:t>（8）</w:t>
      </w:r>
      <w:r>
        <w:t>《农田灌溉水质标准》（GB 5084-2005）</w:t>
      </w:r>
    </w:p>
    <w:p>
      <w:pPr>
        <w:ind w:firstLine="480"/>
      </w:pPr>
      <w:r>
        <w:rPr>
          <w:rFonts w:hint="eastAsia"/>
        </w:rPr>
        <w:t>（9）</w:t>
      </w:r>
      <w:r>
        <w:t>《污水综合排放标准》（GB 8979-1996）；</w:t>
      </w:r>
    </w:p>
    <w:p>
      <w:pPr>
        <w:ind w:firstLine="480"/>
      </w:pPr>
      <w:r>
        <w:rPr>
          <w:rFonts w:hint="eastAsia"/>
        </w:rPr>
        <w:t>（10）</w:t>
      </w:r>
      <w:r>
        <w:t>《生活饮用水卫生标准》（GB 5749-2006）；</w:t>
      </w:r>
    </w:p>
    <w:p>
      <w:pPr>
        <w:ind w:firstLine="480"/>
      </w:pPr>
      <w:r>
        <w:rPr>
          <w:rFonts w:hint="eastAsia"/>
        </w:rPr>
        <w:t>（11）</w:t>
      </w:r>
      <w:r>
        <w:t>《水域纳污能力计算规程》（GB/T 25173-2010）</w:t>
      </w:r>
    </w:p>
    <w:p>
      <w:pPr>
        <w:ind w:firstLine="480"/>
      </w:pPr>
      <w:r>
        <w:rPr>
          <w:rFonts w:hint="eastAsia"/>
        </w:rPr>
        <w:t>（12）</w:t>
      </w:r>
      <w:r>
        <w:t>《城镇给水排水技术规范》（GB 50788—2012）</w:t>
      </w:r>
    </w:p>
    <w:p>
      <w:pPr>
        <w:ind w:firstLine="480"/>
      </w:pPr>
      <w:r>
        <w:rPr>
          <w:rFonts w:hint="eastAsia"/>
        </w:rPr>
        <w:t>（13）</w:t>
      </w:r>
      <w:r>
        <w:t>《城镇污水处理厂污泥处理技术规程》（CJJ 131-2009）</w:t>
      </w:r>
    </w:p>
    <w:p>
      <w:pPr>
        <w:ind w:firstLine="480"/>
      </w:pPr>
      <w:r>
        <w:rPr>
          <w:rFonts w:hint="eastAsia"/>
        </w:rPr>
        <w:t>（14）</w:t>
      </w:r>
      <w:r>
        <w:t>《水利工程水利计算规范》（SL 104-2015）</w:t>
      </w:r>
    </w:p>
    <w:p>
      <w:pPr>
        <w:ind w:firstLine="480"/>
      </w:pPr>
      <w:r>
        <w:rPr>
          <w:rFonts w:hint="eastAsia"/>
        </w:rPr>
        <w:t>（15）</w:t>
      </w:r>
      <w:r>
        <w:t>《水利水电工程水文计算规范》（SL 278-2002）</w:t>
      </w:r>
    </w:p>
    <w:p>
      <w:pPr>
        <w:ind w:firstLine="480"/>
      </w:pPr>
      <w:r>
        <w:rPr>
          <w:rFonts w:hint="eastAsia"/>
        </w:rPr>
        <w:t>（16）</w:t>
      </w:r>
      <w:r>
        <w:t>《甘肃省行业用水定额》（2017 版）</w:t>
      </w:r>
    </w:p>
    <w:p>
      <w:pPr>
        <w:ind w:firstLine="480"/>
      </w:pPr>
      <w:r>
        <w:rPr>
          <w:rFonts w:hint="eastAsia"/>
        </w:rPr>
        <w:t>（17）</w:t>
      </w:r>
      <w:r>
        <w:t>《城市污水再生利用农田灌溉用水水质》（GB/T20922-2007）</w:t>
      </w:r>
    </w:p>
    <w:p>
      <w:pPr>
        <w:pStyle w:val="5"/>
      </w:pPr>
      <w:r>
        <w:rPr>
          <w:rFonts w:hint="eastAsia"/>
        </w:rPr>
        <w:t>1.3.2.</w:t>
      </w:r>
      <w:r>
        <w:t>4</w:t>
      </w:r>
      <w:r>
        <w:rPr>
          <w:rFonts w:hint="eastAsia"/>
        </w:rPr>
        <w:t>相关文件</w:t>
      </w:r>
    </w:p>
    <w:p>
      <w:pPr>
        <w:ind w:firstLine="480"/>
      </w:pPr>
      <w:r>
        <w:rPr>
          <w:rFonts w:hint="eastAsia"/>
        </w:rPr>
        <w:t>（1）</w:t>
      </w:r>
      <w:r>
        <w:t>国务院《关于印发水污染防治行动计划的通知》（国发〔2015〕17 号）</w:t>
      </w:r>
    </w:p>
    <w:p>
      <w:pPr>
        <w:ind w:firstLine="480"/>
      </w:pPr>
      <w:r>
        <w:rPr>
          <w:rFonts w:hint="eastAsia"/>
        </w:rPr>
        <w:t>（2）</w:t>
      </w:r>
      <w:r>
        <w:t>水利部《关于加强入河排污口监督管理工作的通知》水资源[2017]138 号</w:t>
      </w:r>
    </w:p>
    <w:p>
      <w:pPr>
        <w:ind w:firstLine="480"/>
      </w:pPr>
      <w:r>
        <w:rPr>
          <w:rFonts w:hint="eastAsia"/>
        </w:rPr>
        <w:t>（3）</w:t>
      </w:r>
      <w:r>
        <w:t>中共甘肃省委、甘肃省人民政府关于印发《甘肃省生态文明体制改革实施方案》的通知（甘发〔2016〕14 号）</w:t>
      </w:r>
    </w:p>
    <w:p>
      <w:pPr>
        <w:ind w:firstLine="480"/>
      </w:pPr>
      <w:r>
        <w:rPr>
          <w:rFonts w:hint="eastAsia"/>
        </w:rPr>
        <w:t>（4）</w:t>
      </w:r>
      <w:r>
        <w:t>中共甘肃省委办公厅、甘肃省人民政府办公厅印发《甘肃省全面推行河长制工作方案》（甘办发〔2017〕44 号）</w:t>
      </w:r>
    </w:p>
    <w:p>
      <w:pPr>
        <w:ind w:firstLine="480"/>
      </w:pPr>
      <w:r>
        <w:rPr>
          <w:rFonts w:hint="eastAsia"/>
        </w:rPr>
        <w:t>（5）</w:t>
      </w:r>
      <w:r>
        <w:t>《甘肃省人民政府关于印发甘肃省水污染防治工作方案的通知》（甘政发〔2015〕103 号）</w:t>
      </w:r>
    </w:p>
    <w:p>
      <w:pPr>
        <w:ind w:firstLine="480"/>
      </w:pPr>
      <w:r>
        <w:rPr>
          <w:rFonts w:hint="eastAsia"/>
        </w:rPr>
        <w:t>（6）</w:t>
      </w:r>
      <w:r>
        <w:t>《甘肃省水利厅关于进一步加强入河排污口监督管理工作的通知》（甘水资源发〔2017〕329 号）</w:t>
      </w:r>
    </w:p>
    <w:p>
      <w:pPr>
        <w:ind w:firstLine="480"/>
      </w:pPr>
      <w:r>
        <w:rPr>
          <w:rFonts w:hint="eastAsia"/>
        </w:rPr>
        <w:t>（7）</w:t>
      </w:r>
      <w:r>
        <w:t>甘肃省水利厅、甘肃省环保厅转发《水利部环境保护部贯彻落实《关于全面推行河长制的意见》实施方案的函》（甘水建管函〔2017〕15 号）</w:t>
      </w:r>
    </w:p>
    <w:p>
      <w:pPr>
        <w:ind w:firstLine="480"/>
      </w:pPr>
      <w:r>
        <w:rPr>
          <w:rFonts w:hint="eastAsia"/>
        </w:rPr>
        <w:t>（8）</w:t>
      </w:r>
      <w:r>
        <w:t>《甘肃省河长制办公室关于入河排污口调查摸底和规范化整治专项的通知》(甘河办发〔2018〕23 号)</w:t>
      </w:r>
    </w:p>
    <w:p>
      <w:pPr>
        <w:ind w:firstLine="480"/>
      </w:pPr>
      <w:r>
        <w:rPr>
          <w:rFonts w:hint="eastAsia"/>
        </w:rPr>
        <w:t>（9）</w:t>
      </w:r>
      <w:r>
        <w:t>《甘肃省取水许可和水资源费征收管理办法》（2014.8）</w:t>
      </w:r>
    </w:p>
    <w:p>
      <w:pPr>
        <w:ind w:firstLine="480"/>
      </w:pPr>
      <w:r>
        <w:rPr>
          <w:rFonts w:hint="eastAsia"/>
        </w:rPr>
        <w:t>（10）</w:t>
      </w:r>
      <w:r>
        <w:t>《庆阳市人民政府关于印发庆阳市水污染防治工作方案（2015—2050 年）的通知》（〔2016〕11 号）</w:t>
      </w:r>
    </w:p>
    <w:p>
      <w:pPr>
        <w:pStyle w:val="5"/>
      </w:pPr>
      <w:r>
        <w:rPr>
          <w:rFonts w:hint="eastAsia"/>
        </w:rPr>
        <w:t>1.3.2.</w:t>
      </w:r>
      <w:r>
        <w:t>5 技术报告</w:t>
      </w:r>
    </w:p>
    <w:p>
      <w:pPr>
        <w:ind w:firstLine="460"/>
      </w:pPr>
      <w:r>
        <w:rPr>
          <w:spacing w:val="-5"/>
        </w:rPr>
        <w:t>《甘肃省黄河流域</w:t>
      </w:r>
      <w:r>
        <w:t>（片</w:t>
      </w:r>
      <w:r>
        <w:rPr>
          <w:spacing w:val="-29"/>
        </w:rPr>
        <w:t>）</w:t>
      </w:r>
      <w:r>
        <w:rPr>
          <w:spacing w:val="-2"/>
        </w:rPr>
        <w:t>重要江河湖泊水功能区纳污能力核定和分阶段限</w:t>
      </w:r>
      <w:r>
        <w:t>制排污总量控制方案》，甘肃省水利厅，2013 年。</w:t>
      </w:r>
    </w:p>
    <w:p>
      <w:pPr>
        <w:pStyle w:val="3"/>
      </w:pPr>
      <w:bookmarkStart w:id="4" w:name="_Toc57964345"/>
      <w:r>
        <w:rPr>
          <w:rFonts w:hint="eastAsia"/>
        </w:rPr>
        <w:t xml:space="preserve">1.4 </w:t>
      </w:r>
      <w:r>
        <w:t>论证范围</w:t>
      </w:r>
      <w:bookmarkEnd w:id="4"/>
    </w:p>
    <w:p>
      <w:pPr>
        <w:ind w:firstLine="480"/>
      </w:pPr>
      <w:r>
        <w:t>根据《入河排污口管理技术导则》（SL532-2011）和入河排污口具体设置位置，确定论证范围。</w:t>
      </w:r>
      <w:r>
        <w:rPr>
          <w:rFonts w:hint="eastAsia"/>
        </w:rPr>
        <w:t>合水县何家畔镇何家畔村截污控源工程通过下沟管道接</w:t>
      </w:r>
      <w:r>
        <w:t>入</w:t>
      </w:r>
      <w:r>
        <w:rPr>
          <w:rFonts w:hint="eastAsia"/>
        </w:rPr>
        <w:t>浅水沟，经石桥沟、、聂家川，最终汇入马莲河，本次论证范围确定为马莲河环县、庆城、合水、宁县工业、农业用水区</w:t>
      </w:r>
      <w:r>
        <w:rPr>
          <w:rFonts w:hint="eastAsia"/>
          <w:color w:val="000000" w:themeColor="text1"/>
        </w:rPr>
        <w:t>，起始断面洪德站，终止断面入泾河口，河长275.1km，水质目标为</w:t>
      </w:r>
      <w:r>
        <w:rPr>
          <w:rFonts w:hint="eastAsia"/>
          <w:color w:val="000000" w:themeColor="text1"/>
          <w:szCs w:val="24"/>
        </w:rPr>
        <w:t>Ⅳ</w:t>
      </w:r>
      <w:r>
        <w:rPr>
          <w:rFonts w:hint="eastAsia"/>
          <w:color w:val="000000" w:themeColor="text1"/>
          <w:spacing w:val="-2"/>
        </w:rPr>
        <w:t>类</w:t>
      </w:r>
      <w:r>
        <w:rPr>
          <w:rFonts w:hint="eastAsia"/>
          <w:spacing w:val="-2"/>
        </w:rPr>
        <w:t>，详见表1.4-1</w:t>
      </w:r>
      <w:r>
        <w:t>。</w:t>
      </w:r>
    </w:p>
    <w:p>
      <w:pPr>
        <w:ind w:firstLine="422"/>
        <w:jc w:val="center"/>
        <w:rPr>
          <w:b/>
          <w:bCs/>
          <w:sz w:val="21"/>
          <w:szCs w:val="21"/>
        </w:rPr>
      </w:pPr>
      <w:r>
        <w:rPr>
          <w:rFonts w:hint="eastAsia"/>
          <w:b/>
          <w:bCs/>
          <w:sz w:val="21"/>
          <w:szCs w:val="21"/>
        </w:rPr>
        <w:t xml:space="preserve">表1.4-1  </w:t>
      </w:r>
      <w:r>
        <w:rPr>
          <w:b/>
          <w:bCs/>
          <w:sz w:val="21"/>
          <w:szCs w:val="21"/>
        </w:rPr>
        <w:t>论证范围内水功能区一览表</w:t>
      </w:r>
    </w:p>
    <w:tbl>
      <w:tblPr>
        <w:tblStyle w:val="18"/>
        <w:tblW w:w="0" w:type="auto"/>
        <w:tblInd w:w="2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2599"/>
        <w:gridCol w:w="2246"/>
        <w:gridCol w:w="1158"/>
        <w:gridCol w:w="1077"/>
        <w:gridCol w:w="930"/>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restart"/>
            <w:vAlign w:val="center"/>
          </w:tcPr>
          <w:p>
            <w:pPr>
              <w:tabs>
                <w:tab w:val="left" w:pos="3345"/>
              </w:tabs>
              <w:spacing w:before="79"/>
              <w:ind w:firstLine="0" w:firstLineChars="0"/>
              <w:rPr>
                <w:b/>
                <w:sz w:val="21"/>
              </w:rPr>
            </w:pPr>
            <w:r>
              <w:rPr>
                <w:rFonts w:hint="eastAsia"/>
                <w:b/>
                <w:sz w:val="21"/>
              </w:rPr>
              <w:t>序号</w:t>
            </w:r>
          </w:p>
        </w:tc>
        <w:tc>
          <w:tcPr>
            <w:tcW w:w="0" w:type="auto"/>
            <w:vMerge w:val="restart"/>
            <w:vAlign w:val="center"/>
          </w:tcPr>
          <w:p>
            <w:pPr>
              <w:tabs>
                <w:tab w:val="left" w:pos="3345"/>
              </w:tabs>
              <w:spacing w:before="79"/>
              <w:ind w:firstLine="0" w:firstLineChars="0"/>
              <w:rPr>
                <w:b/>
                <w:sz w:val="21"/>
              </w:rPr>
            </w:pPr>
            <w:r>
              <w:rPr>
                <w:rFonts w:hint="eastAsia"/>
                <w:b/>
                <w:sz w:val="21"/>
              </w:rPr>
              <w:t>二级水功能区</w:t>
            </w:r>
          </w:p>
        </w:tc>
        <w:tc>
          <w:tcPr>
            <w:tcW w:w="2246" w:type="dxa"/>
            <w:vMerge w:val="restart"/>
            <w:vAlign w:val="center"/>
          </w:tcPr>
          <w:p>
            <w:pPr>
              <w:tabs>
                <w:tab w:val="left" w:pos="3345"/>
              </w:tabs>
              <w:spacing w:before="79"/>
              <w:ind w:firstLine="0" w:firstLineChars="0"/>
              <w:rPr>
                <w:b/>
                <w:sz w:val="21"/>
              </w:rPr>
            </w:pPr>
            <w:r>
              <w:rPr>
                <w:rFonts w:hint="eastAsia"/>
                <w:b/>
                <w:sz w:val="21"/>
              </w:rPr>
              <w:t>所在一级水功能区</w:t>
            </w:r>
          </w:p>
        </w:tc>
        <w:tc>
          <w:tcPr>
            <w:tcW w:w="2235" w:type="dxa"/>
            <w:gridSpan w:val="2"/>
          </w:tcPr>
          <w:p>
            <w:pPr>
              <w:tabs>
                <w:tab w:val="left" w:pos="3345"/>
              </w:tabs>
              <w:spacing w:before="79"/>
              <w:ind w:firstLine="422"/>
              <w:jc w:val="center"/>
              <w:rPr>
                <w:b/>
                <w:sz w:val="21"/>
              </w:rPr>
            </w:pPr>
            <w:r>
              <w:rPr>
                <w:rFonts w:hint="eastAsia"/>
                <w:b/>
                <w:sz w:val="21"/>
              </w:rPr>
              <w:t>范围</w:t>
            </w:r>
          </w:p>
        </w:tc>
        <w:tc>
          <w:tcPr>
            <w:tcW w:w="907" w:type="dxa"/>
            <w:vMerge w:val="restart"/>
            <w:vAlign w:val="center"/>
          </w:tcPr>
          <w:p>
            <w:pPr>
              <w:tabs>
                <w:tab w:val="left" w:pos="3345"/>
              </w:tabs>
              <w:spacing w:before="79"/>
              <w:ind w:firstLine="0" w:firstLineChars="0"/>
              <w:jc w:val="center"/>
              <w:rPr>
                <w:b/>
                <w:sz w:val="21"/>
              </w:rPr>
            </w:pPr>
            <w:r>
              <w:rPr>
                <w:rFonts w:hint="eastAsia"/>
                <w:b/>
                <w:sz w:val="21"/>
              </w:rPr>
              <w:t>长度（km</w:t>
            </w:r>
            <w:r>
              <w:rPr>
                <w:b/>
                <w:sz w:val="21"/>
              </w:rPr>
              <w:t>）</w:t>
            </w:r>
          </w:p>
        </w:tc>
        <w:tc>
          <w:tcPr>
            <w:tcW w:w="711" w:type="dxa"/>
            <w:vMerge w:val="restart"/>
            <w:vAlign w:val="center"/>
          </w:tcPr>
          <w:p>
            <w:pPr>
              <w:tabs>
                <w:tab w:val="left" w:pos="3345"/>
              </w:tabs>
              <w:spacing w:before="79"/>
              <w:ind w:firstLine="0" w:firstLineChars="0"/>
              <w:rPr>
                <w:b/>
                <w:sz w:val="21"/>
              </w:rPr>
            </w:pPr>
            <w:r>
              <w:rPr>
                <w:rFonts w:hint="eastAsia"/>
                <w:b/>
                <w:sz w:val="21"/>
              </w:rPr>
              <w:t>水质</w:t>
            </w:r>
          </w:p>
          <w:p>
            <w:pPr>
              <w:tabs>
                <w:tab w:val="left" w:pos="3345"/>
              </w:tabs>
              <w:spacing w:before="79"/>
              <w:ind w:firstLine="0" w:firstLineChars="0"/>
              <w:rPr>
                <w:b/>
                <w:sz w:val="21"/>
              </w:rPr>
            </w:pPr>
            <w:r>
              <w:rPr>
                <w:rFonts w:hint="eastAsia"/>
                <w:b/>
                <w:sz w:val="21"/>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tabs>
                <w:tab w:val="left" w:pos="3345"/>
              </w:tabs>
              <w:spacing w:before="79"/>
              <w:ind w:firstLine="422"/>
              <w:jc w:val="center"/>
              <w:rPr>
                <w:b/>
                <w:sz w:val="21"/>
              </w:rPr>
            </w:pPr>
          </w:p>
        </w:tc>
        <w:tc>
          <w:tcPr>
            <w:tcW w:w="0" w:type="auto"/>
            <w:vMerge w:val="continue"/>
          </w:tcPr>
          <w:p>
            <w:pPr>
              <w:tabs>
                <w:tab w:val="left" w:pos="3345"/>
              </w:tabs>
              <w:spacing w:before="79"/>
              <w:ind w:firstLine="422"/>
              <w:jc w:val="center"/>
              <w:rPr>
                <w:b/>
                <w:sz w:val="21"/>
              </w:rPr>
            </w:pPr>
          </w:p>
        </w:tc>
        <w:tc>
          <w:tcPr>
            <w:tcW w:w="2246" w:type="dxa"/>
            <w:vMerge w:val="continue"/>
          </w:tcPr>
          <w:p>
            <w:pPr>
              <w:tabs>
                <w:tab w:val="left" w:pos="3345"/>
              </w:tabs>
              <w:spacing w:before="79"/>
              <w:ind w:firstLine="422"/>
              <w:jc w:val="center"/>
              <w:rPr>
                <w:b/>
                <w:sz w:val="21"/>
              </w:rPr>
            </w:pPr>
          </w:p>
        </w:tc>
        <w:tc>
          <w:tcPr>
            <w:tcW w:w="1158" w:type="dxa"/>
          </w:tcPr>
          <w:p>
            <w:pPr>
              <w:tabs>
                <w:tab w:val="left" w:pos="3345"/>
              </w:tabs>
              <w:spacing w:before="79"/>
              <w:ind w:firstLine="0" w:firstLineChars="0"/>
              <w:rPr>
                <w:b/>
                <w:sz w:val="21"/>
              </w:rPr>
            </w:pPr>
            <w:r>
              <w:rPr>
                <w:rFonts w:hint="eastAsia"/>
                <w:b/>
                <w:sz w:val="21"/>
              </w:rPr>
              <w:t>起始断面</w:t>
            </w:r>
          </w:p>
        </w:tc>
        <w:tc>
          <w:tcPr>
            <w:tcW w:w="1077" w:type="dxa"/>
          </w:tcPr>
          <w:p>
            <w:pPr>
              <w:tabs>
                <w:tab w:val="left" w:pos="3345"/>
              </w:tabs>
              <w:spacing w:before="79"/>
              <w:ind w:firstLine="0" w:firstLineChars="0"/>
              <w:rPr>
                <w:b/>
                <w:sz w:val="21"/>
              </w:rPr>
            </w:pPr>
            <w:r>
              <w:rPr>
                <w:rFonts w:hint="eastAsia"/>
                <w:b/>
                <w:sz w:val="21"/>
              </w:rPr>
              <w:t>终止断面</w:t>
            </w:r>
          </w:p>
        </w:tc>
        <w:tc>
          <w:tcPr>
            <w:tcW w:w="907" w:type="dxa"/>
            <w:vMerge w:val="continue"/>
          </w:tcPr>
          <w:p>
            <w:pPr>
              <w:tabs>
                <w:tab w:val="left" w:pos="3345"/>
              </w:tabs>
              <w:spacing w:before="79"/>
              <w:ind w:firstLine="422"/>
              <w:jc w:val="center"/>
              <w:rPr>
                <w:b/>
                <w:sz w:val="21"/>
              </w:rPr>
            </w:pPr>
          </w:p>
        </w:tc>
        <w:tc>
          <w:tcPr>
            <w:tcW w:w="711" w:type="dxa"/>
            <w:vMerge w:val="continue"/>
          </w:tcPr>
          <w:p>
            <w:pPr>
              <w:tabs>
                <w:tab w:val="left" w:pos="3345"/>
              </w:tabs>
              <w:spacing w:before="79"/>
              <w:ind w:firstLine="422"/>
              <w:jc w:val="center"/>
              <w:rPr>
                <w:b/>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tabs>
                <w:tab w:val="left" w:pos="3345"/>
              </w:tabs>
              <w:spacing w:before="79"/>
              <w:ind w:firstLine="0" w:firstLineChars="0"/>
              <w:jc w:val="center"/>
              <w:rPr>
                <w:sz w:val="21"/>
              </w:rPr>
            </w:pPr>
            <w:r>
              <w:rPr>
                <w:rFonts w:hint="eastAsia"/>
                <w:sz w:val="21"/>
              </w:rPr>
              <w:t>1</w:t>
            </w:r>
          </w:p>
        </w:tc>
        <w:tc>
          <w:tcPr>
            <w:tcW w:w="0" w:type="auto"/>
          </w:tcPr>
          <w:p>
            <w:pPr>
              <w:tabs>
                <w:tab w:val="left" w:pos="3345"/>
              </w:tabs>
              <w:spacing w:before="79"/>
              <w:ind w:firstLine="0" w:firstLineChars="0"/>
              <w:rPr>
                <w:sz w:val="21"/>
              </w:rPr>
            </w:pPr>
            <w:r>
              <w:rPr>
                <w:rFonts w:hint="eastAsia"/>
                <w:sz w:val="21"/>
              </w:rPr>
              <w:t>马莲河环县、庆城、合水、宁县工业、农业用水区</w:t>
            </w:r>
          </w:p>
        </w:tc>
        <w:tc>
          <w:tcPr>
            <w:tcW w:w="2246" w:type="dxa"/>
          </w:tcPr>
          <w:p>
            <w:pPr>
              <w:tabs>
                <w:tab w:val="left" w:pos="3345"/>
              </w:tabs>
              <w:spacing w:before="79"/>
              <w:ind w:firstLine="0" w:firstLineChars="0"/>
              <w:rPr>
                <w:sz w:val="21"/>
              </w:rPr>
            </w:pPr>
            <w:r>
              <w:rPr>
                <w:rFonts w:hint="eastAsia"/>
                <w:sz w:val="21"/>
              </w:rPr>
              <w:t>马莲河环县、庆城、合水、宁县开发利用区</w:t>
            </w:r>
          </w:p>
        </w:tc>
        <w:tc>
          <w:tcPr>
            <w:tcW w:w="1158" w:type="dxa"/>
            <w:vAlign w:val="center"/>
          </w:tcPr>
          <w:p>
            <w:pPr>
              <w:tabs>
                <w:tab w:val="left" w:pos="3345"/>
              </w:tabs>
              <w:spacing w:before="79"/>
              <w:ind w:firstLine="0" w:firstLineChars="0"/>
              <w:jc w:val="center"/>
              <w:rPr>
                <w:color w:val="000000" w:themeColor="text1"/>
                <w:sz w:val="21"/>
              </w:rPr>
            </w:pPr>
            <w:r>
              <w:rPr>
                <w:rFonts w:hint="eastAsia"/>
                <w:color w:val="000000" w:themeColor="text1"/>
                <w:sz w:val="21"/>
              </w:rPr>
              <w:t>洪德站</w:t>
            </w:r>
          </w:p>
        </w:tc>
        <w:tc>
          <w:tcPr>
            <w:tcW w:w="1077" w:type="dxa"/>
            <w:vAlign w:val="center"/>
          </w:tcPr>
          <w:p>
            <w:pPr>
              <w:tabs>
                <w:tab w:val="left" w:pos="3345"/>
              </w:tabs>
              <w:spacing w:before="79"/>
              <w:ind w:firstLine="0" w:firstLineChars="0"/>
              <w:jc w:val="center"/>
              <w:rPr>
                <w:color w:val="000000" w:themeColor="text1"/>
                <w:sz w:val="21"/>
              </w:rPr>
            </w:pPr>
            <w:r>
              <w:rPr>
                <w:rFonts w:hint="eastAsia"/>
                <w:color w:val="000000" w:themeColor="text1"/>
                <w:sz w:val="21"/>
              </w:rPr>
              <w:t>入泾河口</w:t>
            </w:r>
          </w:p>
        </w:tc>
        <w:tc>
          <w:tcPr>
            <w:tcW w:w="907" w:type="dxa"/>
            <w:vAlign w:val="center"/>
          </w:tcPr>
          <w:p>
            <w:pPr>
              <w:tabs>
                <w:tab w:val="left" w:pos="3345"/>
              </w:tabs>
              <w:spacing w:before="79"/>
              <w:ind w:firstLine="0" w:firstLineChars="0"/>
              <w:jc w:val="center"/>
              <w:rPr>
                <w:color w:val="000000" w:themeColor="text1"/>
                <w:sz w:val="21"/>
              </w:rPr>
            </w:pPr>
            <w:r>
              <w:rPr>
                <w:rFonts w:hint="eastAsia"/>
                <w:color w:val="000000" w:themeColor="text1"/>
                <w:sz w:val="21"/>
              </w:rPr>
              <w:t>275.1</w:t>
            </w:r>
          </w:p>
        </w:tc>
        <w:tc>
          <w:tcPr>
            <w:tcW w:w="711" w:type="dxa"/>
            <w:vAlign w:val="center"/>
          </w:tcPr>
          <w:p>
            <w:pPr>
              <w:tabs>
                <w:tab w:val="left" w:pos="3345"/>
              </w:tabs>
              <w:spacing w:before="79"/>
              <w:ind w:firstLine="0" w:firstLineChars="0"/>
              <w:jc w:val="center"/>
              <w:rPr>
                <w:rFonts w:ascii="宋体" w:hAnsi="宋体"/>
                <w:color w:val="000000" w:themeColor="text1"/>
                <w:sz w:val="21"/>
              </w:rPr>
            </w:pPr>
            <w:r>
              <w:rPr>
                <w:rFonts w:hint="eastAsia"/>
                <w:color w:val="000000" w:themeColor="text1"/>
                <w:sz w:val="21"/>
              </w:rPr>
              <w:t>Ⅳ</w:t>
            </w:r>
          </w:p>
        </w:tc>
      </w:tr>
    </w:tbl>
    <w:p>
      <w:pPr>
        <w:pStyle w:val="3"/>
      </w:pPr>
      <w:bookmarkStart w:id="5" w:name="_Toc57964346"/>
      <w:r>
        <w:rPr>
          <w:rFonts w:hint="eastAsia"/>
        </w:rPr>
        <w:t>1.5</w:t>
      </w:r>
      <w:r>
        <w:t>论证</w:t>
      </w:r>
      <w:r>
        <w:rPr>
          <w:rFonts w:hint="eastAsia"/>
        </w:rPr>
        <w:t>水平年</w:t>
      </w:r>
      <w:bookmarkEnd w:id="5"/>
    </w:p>
    <w:p>
      <w:pPr>
        <w:ind w:firstLine="480"/>
      </w:pPr>
      <w:r>
        <w:t>论证水平年选择主要考虑距论证期较近且区域社会经济资料较为完善的年份，综合考虑选</w:t>
      </w:r>
      <w:r>
        <w:rPr>
          <w:color w:val="000000" w:themeColor="text1"/>
        </w:rPr>
        <w:t xml:space="preserve">择 </w:t>
      </w:r>
      <w:r>
        <w:rPr>
          <w:rFonts w:eastAsia="Times New Roman"/>
          <w:color w:val="000000" w:themeColor="text1"/>
        </w:rPr>
        <w:t>201</w:t>
      </w:r>
      <w:r>
        <w:rPr>
          <w:rFonts w:hint="eastAsia"/>
          <w:color w:val="000000" w:themeColor="text1"/>
          <w:lang w:val="en-US"/>
        </w:rPr>
        <w:t>9</w:t>
      </w:r>
      <w:r>
        <w:rPr>
          <w:rFonts w:eastAsia="Times New Roman"/>
          <w:color w:val="000000" w:themeColor="text1"/>
        </w:rPr>
        <w:t xml:space="preserve"> </w:t>
      </w:r>
      <w:r>
        <w:rPr>
          <w:color w:val="000000" w:themeColor="text1"/>
        </w:rPr>
        <w:t>年作</w:t>
      </w:r>
      <w:r>
        <w:t>为论证水平年，并充分利用已有历史监测资料，以分析</w:t>
      </w:r>
      <w:r>
        <w:rPr>
          <w:rFonts w:hint="eastAsia"/>
        </w:rPr>
        <w:t>合水县何家畔镇何家畔村截污控源工程</w:t>
      </w:r>
      <w:r>
        <w:t>入河排污口设置造成的影响。</w:t>
      </w:r>
    </w:p>
    <w:p>
      <w:pPr>
        <w:pStyle w:val="3"/>
      </w:pPr>
      <w:bookmarkStart w:id="6" w:name="_Toc57964347"/>
      <w:r>
        <w:rPr>
          <w:rFonts w:hint="eastAsia"/>
        </w:rPr>
        <w:t>1.6</w:t>
      </w:r>
      <w:r>
        <w:t>论证工作程序</w:t>
      </w:r>
      <w:bookmarkEnd w:id="6"/>
    </w:p>
    <w:p>
      <w:pPr>
        <w:ind w:firstLine="480"/>
      </w:pPr>
      <w:r>
        <w:t xml:space="preserve">对污水处理厂、入河排污口、入河排污纳污河段进行现场查勘的基础上，重点调查和收集工程设计、区域社会经济、纳污水域纳污能力及限排要求等基础资料， </w:t>
      </w:r>
      <w:r>
        <w:rPr>
          <w:spacing w:val="-9"/>
        </w:rPr>
        <w:t>并进行补充</w:t>
      </w:r>
      <w:r>
        <w:t>调查监测与污染源强分析。在充分考虑现有入河排污口设置河段情况下， 通过现场监测、纳污限排量分析、一维解析模型计算等方法，分析入河排污口设置对纳污水域水功能区水质、水生态、地下水、第三方等的影响，论证入河排污口设</w:t>
      </w:r>
      <w:r>
        <w:rPr>
          <w:spacing w:val="-3"/>
        </w:rPr>
        <w:t>置的合理性，提出设置入河排污口的水环境保护措施建议。见图</w:t>
      </w:r>
      <w:r>
        <w:rPr>
          <w:rFonts w:eastAsia="Times New Roman"/>
        </w:rPr>
        <w:t>1.</w:t>
      </w:r>
      <w:r>
        <w:rPr>
          <w:rFonts w:hint="eastAsia" w:eastAsiaTheme="minorEastAsia"/>
        </w:rPr>
        <w:t>6</w:t>
      </w:r>
      <w:r>
        <w:rPr>
          <w:rFonts w:eastAsia="Times New Roman"/>
        </w:rPr>
        <w:t>-1</w:t>
      </w:r>
      <w:r>
        <w:t>：</w:t>
      </w:r>
    </w:p>
    <w:p>
      <w:pPr>
        <w:pStyle w:val="7"/>
        <w:spacing w:before="142" w:line="369" w:lineRule="auto"/>
        <w:ind w:left="220" w:right="263" w:firstLine="400"/>
      </w:pPr>
      <w:r>
        <w:rPr>
          <w:sz w:val="20"/>
          <w:lang w:val="en-US" w:bidi="ar-SA"/>
        </w:rPr>
        <w:drawing>
          <wp:inline distT="0" distB="0" distL="0" distR="0">
            <wp:extent cx="4942840" cy="617029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21" cstate="print"/>
                    <a:stretch>
                      <a:fillRect/>
                    </a:stretch>
                  </pic:blipFill>
                  <pic:spPr>
                    <a:xfrm>
                      <a:off x="0" y="0"/>
                      <a:ext cx="4943090" cy="6170825"/>
                    </a:xfrm>
                    <a:prstGeom prst="rect">
                      <a:avLst/>
                    </a:prstGeom>
                  </pic:spPr>
                </pic:pic>
              </a:graphicData>
            </a:graphic>
          </wp:inline>
        </w:drawing>
      </w:r>
    </w:p>
    <w:p>
      <w:pPr>
        <w:ind w:firstLine="422"/>
        <w:jc w:val="center"/>
        <w:rPr>
          <w:b/>
          <w:bCs/>
          <w:sz w:val="21"/>
          <w:szCs w:val="21"/>
        </w:rPr>
      </w:pPr>
      <w:r>
        <w:rPr>
          <w:b/>
          <w:bCs/>
          <w:sz w:val="21"/>
          <w:szCs w:val="21"/>
        </w:rPr>
        <w:t>图1.</w:t>
      </w:r>
      <w:r>
        <w:rPr>
          <w:rFonts w:hint="eastAsia"/>
          <w:b/>
          <w:bCs/>
          <w:sz w:val="21"/>
          <w:szCs w:val="21"/>
        </w:rPr>
        <w:t>6</w:t>
      </w:r>
      <w:r>
        <w:rPr>
          <w:b/>
          <w:bCs/>
          <w:sz w:val="21"/>
          <w:szCs w:val="21"/>
        </w:rPr>
        <w:t>-1</w:t>
      </w:r>
      <w:r>
        <w:rPr>
          <w:b/>
          <w:bCs/>
          <w:sz w:val="21"/>
          <w:szCs w:val="21"/>
        </w:rPr>
        <w:tab/>
      </w:r>
      <w:r>
        <w:rPr>
          <w:b/>
          <w:bCs/>
          <w:sz w:val="21"/>
          <w:szCs w:val="21"/>
        </w:rPr>
        <w:t>论证工作程序图</w:t>
      </w:r>
    </w:p>
    <w:p>
      <w:pPr>
        <w:pStyle w:val="3"/>
      </w:pPr>
      <w:bookmarkStart w:id="7" w:name="_Toc57964348"/>
      <w:r>
        <w:rPr>
          <w:rFonts w:hint="eastAsia"/>
        </w:rPr>
        <w:t xml:space="preserve">1.7 </w:t>
      </w:r>
      <w:r>
        <w:t>论证的主要内容</w:t>
      </w:r>
      <w:bookmarkEnd w:id="7"/>
    </w:p>
    <w:p>
      <w:pPr>
        <w:ind w:firstLine="480"/>
      </w:pPr>
      <w:r>
        <w:rPr>
          <w:rFonts w:hint="eastAsia"/>
        </w:rPr>
        <w:t>（1）合水县何家畔镇何家畔村截污控源工程</w:t>
      </w:r>
      <w:r>
        <w:t>基本情况及排污分析；</w:t>
      </w:r>
    </w:p>
    <w:p>
      <w:pPr>
        <w:ind w:firstLine="480"/>
      </w:pPr>
      <w:r>
        <w:rPr>
          <w:rFonts w:hint="eastAsia"/>
        </w:rPr>
        <w:t>（2）</w:t>
      </w:r>
      <w:r>
        <w:t>入河排污口设置现状调查分析；</w:t>
      </w:r>
    </w:p>
    <w:p>
      <w:pPr>
        <w:ind w:firstLine="480"/>
      </w:pPr>
      <w:r>
        <w:rPr>
          <w:rFonts w:hint="eastAsia"/>
        </w:rPr>
        <w:t>（3）</w:t>
      </w:r>
      <w:r>
        <w:t>入河排污口所在水功能区（水域）水质及纳污现状分析；</w:t>
      </w:r>
    </w:p>
    <w:p>
      <w:pPr>
        <w:ind w:firstLine="480"/>
      </w:pPr>
      <w:r>
        <w:rPr>
          <w:rFonts w:hint="eastAsia"/>
        </w:rPr>
        <w:t>（4）</w:t>
      </w:r>
      <w:r>
        <w:t>入河排污口设置对水功能区（水域）水质影响分析；</w:t>
      </w:r>
    </w:p>
    <w:p>
      <w:pPr>
        <w:ind w:firstLine="480"/>
      </w:pPr>
      <w:r>
        <w:rPr>
          <w:rFonts w:hint="eastAsia"/>
        </w:rPr>
        <w:t>（5）</w:t>
      </w:r>
      <w:r>
        <w:t>入河排污口设置对水功能区（水域）水生态、地下水及有利害关系的第三者权益的影响分析；</w:t>
      </w:r>
    </w:p>
    <w:p>
      <w:pPr>
        <w:ind w:firstLine="480"/>
      </w:pPr>
      <w:r>
        <w:rPr>
          <w:rFonts w:hint="eastAsia"/>
        </w:rPr>
        <w:t>（6）</w:t>
      </w:r>
      <w:r>
        <w:t>入河排污口设置合理性分析；</w:t>
      </w:r>
    </w:p>
    <w:p>
      <w:pPr>
        <w:ind w:firstLine="480"/>
      </w:pPr>
      <w:r>
        <w:rPr>
          <w:rFonts w:hint="eastAsia"/>
        </w:rPr>
        <w:t>（7）</w:t>
      </w:r>
      <w:r>
        <w:t>水资源保护措施分析（包括风险控制措施）</w:t>
      </w:r>
      <w:r>
        <w:rPr>
          <w:rFonts w:hint="eastAsia"/>
        </w:rPr>
        <w:t>。</w:t>
      </w:r>
    </w:p>
    <w:p>
      <w:pPr>
        <w:widowControl/>
        <w:autoSpaceDE/>
        <w:autoSpaceDN/>
        <w:ind w:firstLine="480"/>
        <w:rPr>
          <w:szCs w:val="24"/>
        </w:rPr>
      </w:pPr>
      <w:r>
        <w:br w:type="page"/>
      </w:r>
    </w:p>
    <w:p>
      <w:pPr>
        <w:pStyle w:val="2"/>
      </w:pPr>
      <w:bookmarkStart w:id="8" w:name="_Toc57964349"/>
      <w:r>
        <w:rPr>
          <w:rFonts w:hint="eastAsia"/>
        </w:rPr>
        <w:t xml:space="preserve">2 </w:t>
      </w:r>
      <w:r>
        <w:t>项目概况</w:t>
      </w:r>
      <w:bookmarkEnd w:id="8"/>
    </w:p>
    <w:p>
      <w:pPr>
        <w:pStyle w:val="3"/>
      </w:pPr>
      <w:bookmarkStart w:id="9" w:name="_Toc57964350"/>
      <w:r>
        <w:t xml:space="preserve">2.1 </w:t>
      </w:r>
      <w:r>
        <w:rPr>
          <w:rFonts w:hint="eastAsia"/>
        </w:rPr>
        <w:t>工程概况</w:t>
      </w:r>
      <w:bookmarkEnd w:id="9"/>
    </w:p>
    <w:p>
      <w:pPr>
        <w:pStyle w:val="4"/>
      </w:pPr>
      <w:r>
        <w:t>2</w:t>
      </w:r>
      <w:r>
        <w:rPr>
          <w:rFonts w:hint="eastAsia"/>
        </w:rPr>
        <w:t>.</w:t>
      </w:r>
      <w:r>
        <w:t>1</w:t>
      </w:r>
      <w:r>
        <w:rPr>
          <w:rFonts w:hint="eastAsia"/>
        </w:rPr>
        <w:t>.1地理位置</w:t>
      </w:r>
      <w:r>
        <w:t>与服务范围</w:t>
      </w:r>
    </w:p>
    <w:p>
      <w:pPr>
        <w:pStyle w:val="5"/>
      </w:pPr>
      <w:r>
        <w:t>2</w:t>
      </w:r>
      <w:r>
        <w:rPr>
          <w:rFonts w:hint="eastAsia"/>
        </w:rPr>
        <w:t>.</w:t>
      </w:r>
      <w:r>
        <w:t>1</w:t>
      </w:r>
      <w:r>
        <w:rPr>
          <w:rFonts w:hint="eastAsia"/>
        </w:rPr>
        <w:t>.</w:t>
      </w:r>
      <w:r>
        <w:t>1</w:t>
      </w:r>
      <w:r>
        <w:rPr>
          <w:rFonts w:hint="eastAsia"/>
        </w:rPr>
        <w:t>.1地理位置</w:t>
      </w:r>
    </w:p>
    <w:p>
      <w:pPr>
        <w:adjustRightInd w:val="0"/>
        <w:ind w:firstLine="480"/>
        <w:rPr>
          <w:bCs/>
          <w:szCs w:val="28"/>
        </w:rPr>
      </w:pPr>
      <w:r>
        <w:rPr>
          <w:rFonts w:hint="eastAsia"/>
          <w:lang w:val="en-US" w:bidi="ar-SA"/>
        </w:rPr>
        <w:t>本项目建设地点位于合水县何家畔镇何家畔村西侧，污水处理设施厂中心地理坐标： N</w:t>
      </w:r>
      <w:r>
        <w:rPr>
          <w:bCs/>
          <w:szCs w:val="28"/>
        </w:rPr>
        <w:t>3</w:t>
      </w:r>
      <w:r>
        <w:rPr>
          <w:rFonts w:hint="eastAsia"/>
          <w:bCs/>
          <w:szCs w:val="28"/>
        </w:rPr>
        <w:t>5</w:t>
      </w:r>
      <w:r>
        <w:rPr>
          <w:bCs/>
          <w:szCs w:val="28"/>
        </w:rPr>
        <w:t>°</w:t>
      </w:r>
      <w:r>
        <w:rPr>
          <w:rFonts w:hint="eastAsia"/>
          <w:bCs/>
          <w:szCs w:val="28"/>
        </w:rPr>
        <w:t>46</w:t>
      </w:r>
      <w:r>
        <w:rPr>
          <w:bCs/>
          <w:szCs w:val="28"/>
        </w:rPr>
        <w:t>′</w:t>
      </w:r>
      <w:r>
        <w:rPr>
          <w:rFonts w:hint="eastAsia"/>
          <w:bCs/>
          <w:szCs w:val="28"/>
        </w:rPr>
        <w:t>19.17</w:t>
      </w:r>
      <w:r>
        <w:rPr>
          <w:bCs/>
          <w:szCs w:val="28"/>
        </w:rPr>
        <w:t>″</w:t>
      </w:r>
      <w:r>
        <w:rPr>
          <w:rFonts w:hint="eastAsia"/>
          <w:lang w:val="en-US" w:bidi="ar-SA"/>
        </w:rPr>
        <w:t>，E</w:t>
      </w:r>
      <w:r>
        <w:rPr>
          <w:rFonts w:hint="eastAsia"/>
          <w:bCs/>
          <w:szCs w:val="28"/>
        </w:rPr>
        <w:t>107</w:t>
      </w:r>
      <w:r>
        <w:rPr>
          <w:bCs/>
          <w:szCs w:val="28"/>
        </w:rPr>
        <w:t>°</w:t>
      </w:r>
      <w:r>
        <w:rPr>
          <w:rFonts w:hint="eastAsia"/>
          <w:bCs/>
          <w:szCs w:val="28"/>
        </w:rPr>
        <w:t>51</w:t>
      </w:r>
      <w:r>
        <w:rPr>
          <w:bCs/>
          <w:szCs w:val="28"/>
        </w:rPr>
        <w:t>′</w:t>
      </w:r>
      <w:r>
        <w:rPr>
          <w:rFonts w:hint="eastAsia"/>
          <w:bCs/>
          <w:szCs w:val="28"/>
        </w:rPr>
        <w:t>12.12</w:t>
      </w:r>
      <w:r>
        <w:rPr>
          <w:bCs/>
          <w:szCs w:val="28"/>
        </w:rPr>
        <w:t>″</w:t>
      </w:r>
      <w:r>
        <w:rPr>
          <w:rFonts w:hint="eastAsia"/>
          <w:lang w:val="en-US" w:bidi="ar-SA"/>
        </w:rPr>
        <w:t>。</w:t>
      </w:r>
      <w:r>
        <w:rPr>
          <w:rFonts w:hint="eastAsia"/>
          <w:bCs/>
          <w:szCs w:val="28"/>
        </w:rPr>
        <w:t>本项目北侧为山体，相邻关帝庙，南侧为空地，西侧为山沟，东侧为小广场</w:t>
      </w:r>
      <w:r>
        <w:rPr>
          <w:rFonts w:hint="eastAsia"/>
          <w:bCs/>
        </w:rPr>
        <w:t>，</w:t>
      </w:r>
      <w:r>
        <w:t>项目地理位置图见图</w:t>
      </w:r>
      <w:r>
        <w:rPr>
          <w:rFonts w:hint="eastAsia"/>
        </w:rPr>
        <w:t>2</w:t>
      </w:r>
      <w:r>
        <w:t>.1-1</w:t>
      </w:r>
      <w:r>
        <w:rPr>
          <w:rFonts w:hint="eastAsia"/>
          <w:lang w:val="en-US" w:bidi="ar-SA"/>
        </w:rPr>
        <w:t>。</w:t>
      </w:r>
    </w:p>
    <w:p>
      <w:pPr>
        <w:ind w:firstLine="480"/>
        <w:rPr>
          <w:lang w:val="en-US" w:bidi="ar-SA"/>
        </w:rPr>
      </w:pPr>
      <w:r>
        <w:rPr>
          <w:bCs/>
          <w:lang w:val="en-US" w:bidi="ar-SA"/>
        </w:rPr>
        <w:t>项目地理位置见图</w:t>
      </w:r>
      <w:r>
        <w:rPr>
          <w:rFonts w:hint="eastAsia"/>
          <w:bCs/>
          <w:lang w:val="en-US" w:bidi="ar-SA"/>
        </w:rPr>
        <w:t>2</w:t>
      </w:r>
      <w:r>
        <w:rPr>
          <w:bCs/>
          <w:lang w:val="en-US" w:bidi="ar-SA"/>
        </w:rPr>
        <w:t>.1-1。</w:t>
      </w:r>
    </w:p>
    <w:p>
      <w:pPr>
        <w:ind w:firstLine="0" w:firstLineChars="0"/>
        <w:jc w:val="center"/>
        <w:rPr>
          <w:lang w:val="en-US" w:bidi="ar-SA"/>
        </w:rPr>
      </w:pPr>
      <w:r>
        <w:rPr>
          <w:lang w:val="en-US" w:bidi="ar-SA"/>
        </w:rPr>
        <w:drawing>
          <wp:inline distT="0" distB="0" distL="0" distR="0">
            <wp:extent cx="5486400" cy="3888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486400" cy="3888740"/>
                    </a:xfrm>
                    <a:prstGeom prst="rect">
                      <a:avLst/>
                    </a:prstGeom>
                  </pic:spPr>
                </pic:pic>
              </a:graphicData>
            </a:graphic>
          </wp:inline>
        </w:drawing>
      </w:r>
    </w:p>
    <w:p>
      <w:pPr>
        <w:ind w:firstLine="422"/>
        <w:jc w:val="center"/>
        <w:rPr>
          <w:b/>
          <w:bCs/>
          <w:sz w:val="21"/>
          <w:szCs w:val="21"/>
        </w:rPr>
      </w:pPr>
      <w:r>
        <w:rPr>
          <w:rFonts w:hint="eastAsia"/>
          <w:b/>
          <w:bCs/>
          <w:sz w:val="21"/>
          <w:szCs w:val="21"/>
        </w:rPr>
        <w:t>图2</w:t>
      </w:r>
      <w:r>
        <w:rPr>
          <w:b/>
          <w:bCs/>
          <w:sz w:val="21"/>
          <w:szCs w:val="21"/>
        </w:rPr>
        <w:t>.1-1 项目地理位置图</w:t>
      </w:r>
    </w:p>
    <w:p>
      <w:pPr>
        <w:pStyle w:val="5"/>
      </w:pPr>
      <w:r>
        <w:rPr>
          <w:rFonts w:hint="eastAsia"/>
        </w:rPr>
        <w:t xml:space="preserve">2.1.1.2 </w:t>
      </w:r>
      <w:r>
        <w:t>服务范围</w:t>
      </w:r>
    </w:p>
    <w:p>
      <w:pPr>
        <w:ind w:firstLine="480"/>
        <w:rPr>
          <w:lang w:val="en-US" w:bidi="ar-SA"/>
        </w:rPr>
      </w:pPr>
      <w:r>
        <w:t>服务范围为：</w:t>
      </w:r>
      <w:r>
        <w:rPr>
          <w:rFonts w:hint="eastAsia"/>
          <w:bCs/>
          <w:szCs w:val="28"/>
        </w:rPr>
        <w:t>主要收集何家畔镇何家畔村辖区生活污水</w:t>
      </w:r>
      <w:r>
        <w:rPr>
          <w:rFonts w:hint="eastAsia"/>
          <w:lang w:val="en-US" w:bidi="ar-SA"/>
        </w:rPr>
        <w:t>，占地面积</w:t>
      </w:r>
      <w:r>
        <w:rPr>
          <w:lang w:val="en-US" w:bidi="ar-SA"/>
        </w:rPr>
        <w:t>为</w:t>
      </w:r>
      <w:r>
        <w:rPr>
          <w:rFonts w:hint="eastAsia"/>
          <w:lang w:val="en-US" w:bidi="ar-SA"/>
        </w:rPr>
        <w:t>300㎡。</w:t>
      </w:r>
    </w:p>
    <w:p>
      <w:pPr>
        <w:pStyle w:val="5"/>
      </w:pPr>
      <w:r>
        <w:rPr>
          <w:rFonts w:hint="eastAsia"/>
        </w:rPr>
        <w:t xml:space="preserve">2.2.1.3 </w:t>
      </w:r>
      <w:r>
        <w:t>运营方式</w:t>
      </w:r>
    </w:p>
    <w:p>
      <w:pPr>
        <w:ind w:firstLine="480"/>
      </w:pPr>
      <w:r>
        <w:rPr>
          <w:rFonts w:hint="eastAsia"/>
        </w:rPr>
        <w:t>合水县何家畔镇何家畔村截污控源工程</w:t>
      </w:r>
      <w:r>
        <w:t>建成后由</w:t>
      </w:r>
      <w:r>
        <w:rPr>
          <w:rFonts w:hint="eastAsia"/>
          <w:color w:val="000000" w:themeColor="text1"/>
        </w:rPr>
        <w:t>合水县环境保护局</w:t>
      </w:r>
      <w:r>
        <w:t>负责运营。</w:t>
      </w:r>
    </w:p>
    <w:p>
      <w:pPr>
        <w:pStyle w:val="5"/>
      </w:pPr>
      <w:r>
        <w:rPr>
          <w:rFonts w:hint="eastAsia"/>
        </w:rPr>
        <w:t xml:space="preserve">2.1.2 </w:t>
      </w:r>
      <w:r>
        <w:t>厂区布置</w:t>
      </w:r>
    </w:p>
    <w:p>
      <w:pPr>
        <w:ind w:firstLine="480"/>
        <w:rPr>
          <w:lang w:val="en-US" w:bidi="ar-SA"/>
        </w:rPr>
      </w:pPr>
      <w:r>
        <w:rPr>
          <w:rFonts w:hint="eastAsia"/>
        </w:rPr>
        <w:t>合水县何家畔镇何家畔村截污控源工程</w:t>
      </w:r>
      <w:r>
        <w:rPr>
          <w:lang w:val="en-US" w:bidi="ar-SA"/>
        </w:rPr>
        <w:t>建有污水处理</w:t>
      </w:r>
      <w:r>
        <w:rPr>
          <w:rFonts w:hint="eastAsia"/>
          <w:lang w:val="en-US" w:bidi="ar-SA"/>
        </w:rPr>
        <w:t>系统</w:t>
      </w:r>
      <w:r>
        <w:rPr>
          <w:lang w:val="en-US" w:bidi="ar-SA"/>
        </w:rPr>
        <w:t>一</w:t>
      </w:r>
      <w:r>
        <w:rPr>
          <w:rFonts w:hint="eastAsia"/>
          <w:lang w:val="en-US" w:bidi="ar-SA"/>
        </w:rPr>
        <w:t>座</w:t>
      </w:r>
      <w:r>
        <w:rPr>
          <w:lang w:val="en-US" w:bidi="ar-SA"/>
        </w:rPr>
        <w:t>。处理能力</w:t>
      </w:r>
      <w:r>
        <w:rPr>
          <w:rFonts w:hint="eastAsia"/>
          <w:lang w:val="en-US" w:bidi="ar-SA"/>
        </w:rPr>
        <w:t>200</w:t>
      </w:r>
      <w:r>
        <w:rPr>
          <w:lang w:val="en-US" w:bidi="ar-SA"/>
        </w:rPr>
        <w:t>m</w:t>
      </w:r>
      <w:r>
        <w:rPr>
          <w:vertAlign w:val="superscript"/>
          <w:lang w:val="en-US" w:bidi="ar-SA"/>
        </w:rPr>
        <w:t>3</w:t>
      </w:r>
      <w:r>
        <w:rPr>
          <w:lang w:val="en-US" w:bidi="ar-SA"/>
        </w:rPr>
        <w:t xml:space="preserve">/d，污水处理站为地埋式一体化设备，采用多级生物接触氧化处理工艺，本工程污泥处理方式主要采用卫生填埋，污泥的含水率要降到 </w:t>
      </w:r>
      <w:r>
        <w:rPr>
          <w:rFonts w:hint="eastAsia"/>
          <w:lang w:val="en-US" w:bidi="ar-SA"/>
        </w:rPr>
        <w:t>6</w:t>
      </w:r>
      <w:r>
        <w:rPr>
          <w:lang w:val="en-US" w:bidi="ar-SA"/>
        </w:rPr>
        <w:t>0%以下，采用脱水</w:t>
      </w:r>
      <w:r>
        <w:rPr>
          <w:rFonts w:hint="eastAsia"/>
          <w:lang w:val="en-US" w:bidi="ar-SA"/>
        </w:rPr>
        <w:t>机脱水后自然风干后送往垃圾填埋场，</w:t>
      </w:r>
      <w:r>
        <w:rPr>
          <w:lang w:val="en-US" w:bidi="ar-SA"/>
        </w:rPr>
        <w:t>处理后的尾水最终</w:t>
      </w:r>
      <w:r>
        <w:rPr>
          <w:rFonts w:hint="eastAsia"/>
          <w:lang w:val="en-US" w:bidi="ar-SA"/>
        </w:rPr>
        <w:t>流</w:t>
      </w:r>
      <w:r>
        <w:rPr>
          <w:lang w:val="en-US" w:bidi="ar-SA"/>
        </w:rPr>
        <w:t>入</w:t>
      </w:r>
      <w:r>
        <w:rPr>
          <w:rFonts w:hint="eastAsia"/>
          <w:lang w:val="en-US" w:bidi="ar-SA"/>
        </w:rPr>
        <w:t>浅水河，流经石桥河、聂家川后最终汇入马莲河</w:t>
      </w:r>
      <w:r>
        <w:rPr>
          <w:lang w:val="en-US" w:bidi="ar-SA"/>
        </w:rPr>
        <w:t>。</w:t>
      </w:r>
      <w:r>
        <w:rPr>
          <w:rFonts w:hint="eastAsia"/>
          <w:lang w:val="en-US" w:bidi="ar-SA"/>
        </w:rPr>
        <w:t>具体</w:t>
      </w:r>
      <w:r>
        <w:rPr>
          <w:lang w:val="en-US" w:bidi="ar-SA"/>
        </w:rPr>
        <w:t>布局平面图见图</w:t>
      </w:r>
      <w:r>
        <w:rPr>
          <w:rFonts w:hint="eastAsia"/>
          <w:lang w:val="en-US" w:bidi="ar-SA"/>
        </w:rPr>
        <w:t>2.1</w:t>
      </w:r>
      <w:r>
        <w:rPr>
          <w:lang w:val="en-US" w:bidi="ar-SA"/>
        </w:rPr>
        <w:t>-2</w:t>
      </w:r>
      <w:r>
        <w:rPr>
          <w:rFonts w:hint="eastAsia"/>
          <w:lang w:val="en-US" w:bidi="ar-SA"/>
        </w:rPr>
        <w:t>。</w:t>
      </w:r>
    </w:p>
    <w:p>
      <w:pPr>
        <w:pStyle w:val="7"/>
        <w:spacing w:before="175" w:line="374" w:lineRule="auto"/>
        <w:ind w:right="467" w:firstLine="0" w:firstLineChars="0"/>
        <w:jc w:val="center"/>
        <w:rPr>
          <w:rFonts w:eastAsiaTheme="minorEastAsia" w:cstheme="minorBidi"/>
          <w:b/>
          <w:kern w:val="2"/>
          <w:lang w:val="en-US" w:bidi="ar-SA"/>
        </w:rPr>
      </w:pPr>
      <w:r>
        <w:rPr>
          <w:lang w:val="en-US" w:bidi="ar-SA"/>
        </w:rPr>
        <w:drawing>
          <wp:inline distT="0" distB="0" distL="0" distR="0">
            <wp:extent cx="5486400" cy="25425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5486400" cy="2542540"/>
                    </a:xfrm>
                    <a:prstGeom prst="rect">
                      <a:avLst/>
                    </a:prstGeom>
                  </pic:spPr>
                </pic:pic>
              </a:graphicData>
            </a:graphic>
          </wp:inline>
        </w:drawing>
      </w:r>
    </w:p>
    <w:p>
      <w:pPr>
        <w:ind w:firstLine="422"/>
        <w:jc w:val="center"/>
        <w:rPr>
          <w:b/>
          <w:bCs/>
          <w:sz w:val="21"/>
          <w:szCs w:val="21"/>
        </w:rPr>
      </w:pPr>
      <w:r>
        <w:rPr>
          <w:b/>
          <w:bCs/>
          <w:sz w:val="21"/>
          <w:szCs w:val="21"/>
        </w:rPr>
        <w:t>图</w:t>
      </w:r>
      <w:r>
        <w:rPr>
          <w:rFonts w:hint="eastAsia"/>
          <w:b/>
          <w:bCs/>
          <w:sz w:val="21"/>
          <w:szCs w:val="21"/>
        </w:rPr>
        <w:t>2.1</w:t>
      </w:r>
      <w:r>
        <w:rPr>
          <w:b/>
          <w:bCs/>
          <w:sz w:val="21"/>
          <w:szCs w:val="21"/>
        </w:rPr>
        <w:t>-2</w:t>
      </w:r>
      <w:r>
        <w:rPr>
          <w:rFonts w:hint="eastAsia"/>
          <w:b/>
          <w:bCs/>
          <w:sz w:val="21"/>
          <w:szCs w:val="21"/>
        </w:rPr>
        <w:t>布局</w:t>
      </w:r>
      <w:r>
        <w:rPr>
          <w:b/>
          <w:bCs/>
          <w:sz w:val="21"/>
          <w:szCs w:val="21"/>
        </w:rPr>
        <w:t>平面图</w:t>
      </w:r>
    </w:p>
    <w:p>
      <w:pPr>
        <w:pStyle w:val="4"/>
      </w:pPr>
      <w:r>
        <w:rPr>
          <w:rFonts w:hint="eastAsia"/>
        </w:rPr>
        <w:t xml:space="preserve">2.1.3 </w:t>
      </w:r>
      <w:r>
        <w:t>建设内容及工程规模</w:t>
      </w:r>
    </w:p>
    <w:p>
      <w:pPr>
        <w:ind w:firstLine="480"/>
      </w:pPr>
      <w:r>
        <w:rPr>
          <w:rFonts w:hint="eastAsia"/>
        </w:rPr>
        <w:t>合水县何家畔镇何家畔村截污控源工程</w:t>
      </w:r>
      <w:r>
        <w:t>，包括污水处理设施一座，</w:t>
      </w:r>
      <w:r>
        <w:rPr>
          <w:rFonts w:hint="eastAsia"/>
        </w:rPr>
        <w:t>处理量20</w:t>
      </w:r>
      <w:r>
        <w:t>0m</w:t>
      </w:r>
      <w:r>
        <w:rPr>
          <w:vertAlign w:val="superscript"/>
        </w:rPr>
        <w:t>3</w:t>
      </w:r>
      <w:r>
        <w:t>/d，污水管道</w:t>
      </w:r>
      <w:r>
        <w:rPr>
          <w:rFonts w:hint="eastAsia"/>
        </w:rPr>
        <w:t>4.86</w:t>
      </w:r>
      <w:r>
        <w:t>km。</w:t>
      </w:r>
    </w:p>
    <w:p>
      <w:pPr>
        <w:ind w:firstLine="480"/>
        <w:rPr>
          <w:color w:val="000000"/>
          <w:szCs w:val="24"/>
        </w:rPr>
      </w:pPr>
      <w:r>
        <w:t>污水处理设施建设内容：预处理</w:t>
      </w:r>
      <w:r>
        <w:rPr>
          <w:rFonts w:hint="eastAsia"/>
        </w:rPr>
        <w:t>综合池</w:t>
      </w:r>
      <w:r>
        <w:t>、</w:t>
      </w:r>
      <w:r>
        <w:rPr>
          <w:rFonts w:hint="eastAsia"/>
        </w:rPr>
        <w:t>PFBP多级生物接触氧化反应器</w:t>
      </w:r>
      <w:r>
        <w:t>、</w:t>
      </w:r>
      <w:r>
        <w:rPr>
          <w:rFonts w:hint="eastAsia"/>
        </w:rPr>
        <w:t>加药箱、三级处理系统、</w:t>
      </w:r>
      <w:r>
        <w:rPr>
          <w:color w:val="000000"/>
          <w:szCs w:val="24"/>
        </w:rPr>
        <w:t>紫外消毒</w:t>
      </w:r>
      <w:r>
        <w:rPr>
          <w:rFonts w:hint="eastAsia"/>
          <w:color w:val="000000"/>
          <w:szCs w:val="24"/>
        </w:rPr>
        <w:t>系统</w:t>
      </w:r>
      <w:r>
        <w:rPr>
          <w:color w:val="000000"/>
          <w:szCs w:val="24"/>
        </w:rPr>
        <w:t>、出水明渠、</w:t>
      </w:r>
      <w:r>
        <w:rPr>
          <w:rFonts w:hint="eastAsia"/>
          <w:color w:val="000000"/>
          <w:szCs w:val="24"/>
        </w:rPr>
        <w:t>储药</w:t>
      </w:r>
      <w:r>
        <w:rPr>
          <w:color w:val="000000"/>
          <w:szCs w:val="24"/>
        </w:rPr>
        <w:t>室</w:t>
      </w:r>
      <w:r>
        <w:rPr>
          <w:rFonts w:hint="eastAsia"/>
          <w:color w:val="000000"/>
          <w:szCs w:val="24"/>
        </w:rPr>
        <w:t>等</w:t>
      </w:r>
      <w:r>
        <w:rPr>
          <w:color w:val="000000"/>
          <w:szCs w:val="24"/>
        </w:rPr>
        <w:t>。</w:t>
      </w:r>
    </w:p>
    <w:p>
      <w:pPr>
        <w:ind w:firstLine="480"/>
        <w:rPr>
          <w:color w:val="000000"/>
          <w:szCs w:val="24"/>
        </w:rPr>
      </w:pPr>
      <w:r>
        <w:t>项目污水管道</w:t>
      </w:r>
      <w:r>
        <w:rPr>
          <w:color w:val="000000"/>
          <w:szCs w:val="24"/>
        </w:rPr>
        <w:t>主管</w:t>
      </w:r>
      <w:r>
        <w:rPr>
          <w:rFonts w:hint="eastAsia"/>
          <w:color w:val="000000"/>
          <w:szCs w:val="24"/>
        </w:rPr>
        <w:t>沿街道，两侧人行道铺设</w:t>
      </w:r>
      <w:r>
        <w:rPr>
          <w:color w:val="000000"/>
          <w:szCs w:val="24"/>
        </w:rPr>
        <w:t>，铺设长度约</w:t>
      </w:r>
      <w:r>
        <w:rPr>
          <w:rFonts w:hint="eastAsia"/>
          <w:color w:val="000000"/>
          <w:szCs w:val="24"/>
        </w:rPr>
        <w:t>4.86</w:t>
      </w:r>
      <w:r>
        <w:rPr>
          <w:color w:val="000000"/>
          <w:szCs w:val="24"/>
        </w:rPr>
        <w:t>km，管径DN300，收集</w:t>
      </w:r>
      <w:r>
        <w:rPr>
          <w:rFonts w:hint="eastAsia"/>
          <w:color w:val="000000"/>
          <w:szCs w:val="24"/>
        </w:rPr>
        <w:t>何家畔乡镇住户及商铺</w:t>
      </w:r>
      <w:r>
        <w:rPr>
          <w:color w:val="000000"/>
          <w:szCs w:val="24"/>
        </w:rPr>
        <w:t>沿途污水。</w:t>
      </w:r>
    </w:p>
    <w:p>
      <w:pPr>
        <w:ind w:firstLine="480"/>
        <w:rPr>
          <w:bCs/>
          <w:color w:val="000000"/>
        </w:rPr>
      </w:pPr>
      <w:r>
        <w:t>服务范围：</w:t>
      </w:r>
      <w:r>
        <w:rPr>
          <w:rFonts w:hint="eastAsia"/>
          <w:bCs/>
          <w:color w:val="000000"/>
        </w:rPr>
        <w:t>何家畔镇何家畔村辖区生活污水</w:t>
      </w:r>
      <w:r>
        <w:rPr>
          <w:bCs/>
          <w:color w:val="000000"/>
        </w:rPr>
        <w:t>。</w:t>
      </w:r>
    </w:p>
    <w:p>
      <w:pPr>
        <w:ind w:firstLine="480"/>
        <w:rPr>
          <w:bCs/>
          <w:color w:val="000000"/>
        </w:rPr>
      </w:pPr>
      <w:r>
        <w:rPr>
          <w:rFonts w:hint="eastAsia"/>
          <w:bCs/>
          <w:color w:val="000000"/>
        </w:rPr>
        <w:t>本工程建设内容详见表2.1-1。</w:t>
      </w:r>
    </w:p>
    <w:p>
      <w:pPr>
        <w:ind w:firstLine="422"/>
        <w:jc w:val="center"/>
        <w:rPr>
          <w:b/>
          <w:bCs/>
          <w:sz w:val="21"/>
          <w:szCs w:val="21"/>
        </w:rPr>
      </w:pPr>
    </w:p>
    <w:p>
      <w:pPr>
        <w:ind w:firstLine="422"/>
        <w:jc w:val="center"/>
        <w:rPr>
          <w:b/>
          <w:bCs/>
          <w:sz w:val="21"/>
          <w:szCs w:val="21"/>
        </w:rPr>
      </w:pPr>
    </w:p>
    <w:p>
      <w:pPr>
        <w:ind w:firstLine="422"/>
        <w:jc w:val="center"/>
        <w:rPr>
          <w:b/>
          <w:bCs/>
          <w:sz w:val="21"/>
          <w:szCs w:val="21"/>
        </w:rPr>
      </w:pPr>
    </w:p>
    <w:p>
      <w:pPr>
        <w:ind w:firstLine="422"/>
        <w:jc w:val="center"/>
        <w:rPr>
          <w:b/>
          <w:bCs/>
          <w:sz w:val="21"/>
          <w:szCs w:val="21"/>
        </w:rPr>
      </w:pPr>
    </w:p>
    <w:p>
      <w:pPr>
        <w:ind w:firstLine="422"/>
        <w:jc w:val="center"/>
        <w:rPr>
          <w:b/>
          <w:bCs/>
          <w:sz w:val="21"/>
          <w:szCs w:val="21"/>
        </w:rPr>
      </w:pPr>
    </w:p>
    <w:p>
      <w:pPr>
        <w:ind w:firstLine="422"/>
        <w:jc w:val="center"/>
        <w:rPr>
          <w:b/>
          <w:bCs/>
          <w:sz w:val="21"/>
          <w:szCs w:val="21"/>
        </w:rPr>
      </w:pPr>
    </w:p>
    <w:p>
      <w:pPr>
        <w:ind w:firstLine="422"/>
        <w:jc w:val="center"/>
        <w:rPr>
          <w:b/>
          <w:bCs/>
          <w:sz w:val="21"/>
          <w:szCs w:val="21"/>
        </w:rPr>
      </w:pPr>
    </w:p>
    <w:p>
      <w:pPr>
        <w:ind w:firstLine="422"/>
        <w:jc w:val="center"/>
        <w:rPr>
          <w:b/>
          <w:bCs/>
          <w:sz w:val="21"/>
          <w:szCs w:val="21"/>
        </w:rPr>
      </w:pPr>
    </w:p>
    <w:p>
      <w:pPr>
        <w:ind w:firstLine="422"/>
        <w:jc w:val="center"/>
        <w:rPr>
          <w:b/>
          <w:bCs/>
          <w:sz w:val="21"/>
          <w:szCs w:val="21"/>
        </w:rPr>
      </w:pPr>
      <w:r>
        <w:rPr>
          <w:b/>
          <w:bCs/>
          <w:sz w:val="21"/>
          <w:szCs w:val="21"/>
        </w:rPr>
        <w:t>表2</w:t>
      </w:r>
      <w:r>
        <w:rPr>
          <w:rFonts w:hint="eastAsia"/>
          <w:b/>
          <w:bCs/>
          <w:sz w:val="21"/>
          <w:szCs w:val="21"/>
        </w:rPr>
        <w:t>.1-1</w:t>
      </w:r>
      <w:r>
        <w:rPr>
          <w:b/>
          <w:bCs/>
          <w:sz w:val="21"/>
          <w:szCs w:val="21"/>
        </w:rPr>
        <w:t xml:space="preserve">  </w:t>
      </w:r>
      <w:r>
        <w:rPr>
          <w:rFonts w:hint="eastAsia"/>
          <w:b/>
          <w:bCs/>
          <w:sz w:val="21"/>
          <w:szCs w:val="21"/>
        </w:rPr>
        <w:t xml:space="preserve"> </w:t>
      </w:r>
      <w:r>
        <w:rPr>
          <w:b/>
          <w:bCs/>
          <w:sz w:val="21"/>
          <w:szCs w:val="21"/>
        </w:rPr>
        <w:t>工程主要建设内容表</w:t>
      </w:r>
    </w:p>
    <w:tbl>
      <w:tblPr>
        <w:tblStyle w:val="17"/>
        <w:tblW w:w="82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57" w:type="dxa"/>
          <w:left w:w="108" w:type="dxa"/>
          <w:bottom w:w="57" w:type="dxa"/>
          <w:right w:w="108" w:type="dxa"/>
        </w:tblCellMar>
      </w:tblPr>
      <w:tblGrid>
        <w:gridCol w:w="711"/>
        <w:gridCol w:w="513"/>
        <w:gridCol w:w="952"/>
        <w:gridCol w:w="878"/>
        <w:gridCol w:w="52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437" w:hRule="atLeast"/>
          <w:tblHeader/>
          <w:jc w:val="center"/>
        </w:trPr>
        <w:tc>
          <w:tcPr>
            <w:tcW w:w="711" w:type="dxa"/>
            <w:vAlign w:val="center"/>
          </w:tcPr>
          <w:p>
            <w:pPr>
              <w:adjustRightInd w:val="0"/>
              <w:snapToGrid w:val="0"/>
              <w:spacing w:line="276" w:lineRule="auto"/>
              <w:ind w:firstLine="0" w:firstLineChars="0"/>
              <w:rPr>
                <w:rFonts w:asciiTheme="minorEastAsia" w:hAnsiTheme="minorEastAsia" w:eastAsiaTheme="minorEastAsia"/>
                <w:b/>
                <w:bCs/>
                <w:color w:val="000000"/>
                <w:sz w:val="21"/>
                <w:szCs w:val="21"/>
              </w:rPr>
            </w:pPr>
            <w:r>
              <w:rPr>
                <w:rFonts w:asciiTheme="minorEastAsia" w:hAnsiTheme="minorEastAsia" w:eastAsiaTheme="minorEastAsia"/>
                <w:b/>
                <w:bCs/>
                <w:color w:val="000000"/>
                <w:sz w:val="21"/>
                <w:szCs w:val="21"/>
              </w:rPr>
              <w:t>工程类别</w:t>
            </w:r>
          </w:p>
        </w:tc>
        <w:tc>
          <w:tcPr>
            <w:tcW w:w="1465" w:type="dxa"/>
            <w:gridSpan w:val="2"/>
            <w:vAlign w:val="center"/>
          </w:tcPr>
          <w:p>
            <w:pPr>
              <w:adjustRightInd w:val="0"/>
              <w:snapToGrid w:val="0"/>
              <w:spacing w:line="276" w:lineRule="auto"/>
              <w:ind w:firstLine="0" w:firstLineChars="0"/>
              <w:rPr>
                <w:rFonts w:asciiTheme="minorEastAsia" w:hAnsiTheme="minorEastAsia" w:eastAsiaTheme="minorEastAsia"/>
                <w:b/>
                <w:bCs/>
                <w:color w:val="000000"/>
                <w:sz w:val="21"/>
                <w:szCs w:val="21"/>
              </w:rPr>
            </w:pPr>
            <w:r>
              <w:rPr>
                <w:rFonts w:hint="eastAsia" w:asciiTheme="minorEastAsia" w:hAnsiTheme="minorEastAsia" w:eastAsiaTheme="minorEastAsia"/>
                <w:b/>
                <w:bCs/>
                <w:color w:val="000000"/>
                <w:sz w:val="21"/>
                <w:szCs w:val="21"/>
              </w:rPr>
              <w:t>名称</w:t>
            </w:r>
          </w:p>
        </w:tc>
        <w:tc>
          <w:tcPr>
            <w:tcW w:w="6094" w:type="dxa"/>
            <w:gridSpan w:val="2"/>
            <w:vAlign w:val="center"/>
          </w:tcPr>
          <w:p>
            <w:pPr>
              <w:adjustRightInd w:val="0"/>
              <w:snapToGrid w:val="0"/>
              <w:spacing w:line="276" w:lineRule="auto"/>
              <w:ind w:firstLine="422"/>
              <w:jc w:val="center"/>
              <w:rPr>
                <w:rFonts w:asciiTheme="minorEastAsia" w:hAnsiTheme="minorEastAsia" w:eastAsiaTheme="minorEastAsia"/>
                <w:b/>
                <w:bCs/>
                <w:color w:val="000000"/>
                <w:sz w:val="21"/>
                <w:szCs w:val="21"/>
              </w:rPr>
            </w:pPr>
            <w:r>
              <w:rPr>
                <w:rFonts w:hint="eastAsia" w:asciiTheme="minorEastAsia" w:hAnsiTheme="minorEastAsia" w:eastAsiaTheme="minorEastAsia"/>
                <w:b/>
                <w:bCs/>
                <w:color w:val="000000"/>
                <w:sz w:val="21"/>
                <w:szCs w:val="21"/>
              </w:rPr>
              <w:t>建设内容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1026" w:hRule="atLeast"/>
          <w:jc w:val="center"/>
        </w:trPr>
        <w:tc>
          <w:tcPr>
            <w:tcW w:w="711" w:type="dxa"/>
            <w:vMerge w:val="restart"/>
            <w:vAlign w:val="center"/>
          </w:tcPr>
          <w:p>
            <w:pPr>
              <w:adjustRightInd w:val="0"/>
              <w:snapToGrid w:val="0"/>
              <w:spacing w:line="276" w:lineRule="auto"/>
              <w:ind w:firstLine="0" w:firstLineChars="0"/>
              <w:rPr>
                <w:rFonts w:asciiTheme="minorEastAsia" w:hAnsiTheme="minorEastAsia" w:eastAsiaTheme="minorEastAsia"/>
                <w:bCs/>
                <w:sz w:val="21"/>
                <w:szCs w:val="21"/>
              </w:rPr>
            </w:pPr>
            <w:r>
              <w:rPr>
                <w:rFonts w:asciiTheme="minorEastAsia" w:hAnsiTheme="minorEastAsia" w:eastAsiaTheme="minorEastAsia"/>
                <w:bCs/>
                <w:sz w:val="21"/>
                <w:szCs w:val="21"/>
              </w:rPr>
              <w:t>主体工程</w:t>
            </w:r>
          </w:p>
        </w:tc>
        <w:tc>
          <w:tcPr>
            <w:tcW w:w="513" w:type="dxa"/>
            <w:vMerge w:val="restart"/>
            <w:vAlign w:val="center"/>
          </w:tcPr>
          <w:p>
            <w:pPr>
              <w:adjustRightInd w:val="0"/>
              <w:snapToGrid w:val="0"/>
              <w:spacing w:line="276" w:lineRule="auto"/>
              <w:ind w:firstLine="0" w:firstLineChars="0"/>
              <w:jc w:val="center"/>
              <w:rPr>
                <w:rFonts w:asciiTheme="minorEastAsia" w:hAnsiTheme="minorEastAsia" w:eastAsiaTheme="minorEastAsia"/>
                <w:bCs/>
                <w:sz w:val="21"/>
                <w:szCs w:val="21"/>
              </w:rPr>
            </w:pPr>
            <w:r>
              <w:rPr>
                <w:rFonts w:hint="eastAsia" w:asciiTheme="minorEastAsia" w:hAnsiTheme="minorEastAsia" w:eastAsiaTheme="minorEastAsia"/>
                <w:bCs/>
                <w:sz w:val="21"/>
                <w:szCs w:val="21"/>
              </w:rPr>
              <w:t>污水处理站</w:t>
            </w:r>
          </w:p>
        </w:tc>
        <w:tc>
          <w:tcPr>
            <w:tcW w:w="952" w:type="dxa"/>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综合池/格栅/提升泵</w:t>
            </w:r>
          </w:p>
        </w:tc>
        <w:tc>
          <w:tcPr>
            <w:tcW w:w="6094" w:type="dxa"/>
            <w:gridSpan w:val="2"/>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color w:val="000000"/>
                <w:sz w:val="21"/>
                <w:szCs w:val="21"/>
              </w:rPr>
              <w:t>新建，1座，</w:t>
            </w:r>
            <w:r>
              <w:rPr>
                <w:rFonts w:hint="eastAsia"/>
                <w:color w:val="000000"/>
                <w:sz w:val="21"/>
                <w:szCs w:val="21"/>
              </w:rPr>
              <w:t>Φ</w:t>
            </w:r>
            <w:r>
              <w:rPr>
                <w:color w:val="000000"/>
                <w:sz w:val="21"/>
                <w:szCs w:val="21"/>
              </w:rPr>
              <w:t>2600×12600mm。材质：机械缠绕玻璃钢</w:t>
            </w:r>
            <w:r>
              <w:rPr>
                <w:rFonts w:hint="eastAsia"/>
                <w:color w:val="000000"/>
                <w:sz w:val="21"/>
                <w:szCs w:val="21"/>
              </w:rPr>
              <w:t>；</w:t>
            </w:r>
            <w:r>
              <w:rPr>
                <w:color w:val="000000"/>
                <w:sz w:val="21"/>
                <w:szCs w:val="21"/>
              </w:rPr>
              <w:t>格栅</w:t>
            </w:r>
            <w:r>
              <w:rPr>
                <w:rFonts w:hint="eastAsia"/>
                <w:color w:val="000000"/>
                <w:sz w:val="21"/>
                <w:szCs w:val="21"/>
              </w:rPr>
              <w:t>宽度800</w:t>
            </w:r>
            <w:r>
              <w:rPr>
                <w:color w:val="000000"/>
                <w:sz w:val="21"/>
                <w:szCs w:val="21"/>
              </w:rPr>
              <w:t>×</w:t>
            </w:r>
            <w:r>
              <w:rPr>
                <w:rFonts w:hint="eastAsia"/>
                <w:color w:val="000000"/>
                <w:sz w:val="21"/>
                <w:szCs w:val="21"/>
              </w:rPr>
              <w:t>1200</w:t>
            </w:r>
            <w:r>
              <w:rPr>
                <w:color w:val="000000"/>
                <w:sz w:val="21"/>
                <w:szCs w:val="21"/>
              </w:rPr>
              <w:t>mm，设置栅条</w:t>
            </w:r>
            <w:r>
              <w:rPr>
                <w:rFonts w:hint="eastAsia"/>
                <w:color w:val="000000"/>
                <w:sz w:val="21"/>
                <w:szCs w:val="21"/>
              </w:rPr>
              <w:t>间隙10</w:t>
            </w:r>
            <w:r>
              <w:rPr>
                <w:color w:val="000000"/>
                <w:sz w:val="21"/>
                <w:szCs w:val="21"/>
              </w:rPr>
              <w:t>mm。设置潜污泵2台、正常运行时一备一用,</w:t>
            </w:r>
            <w:r>
              <w:rPr>
                <w:rFonts w:hint="eastAsia"/>
                <w:color w:val="000000"/>
                <w:sz w:val="21"/>
                <w:szCs w:val="21"/>
              </w:rPr>
              <w:t>综合</w:t>
            </w:r>
            <w:r>
              <w:rPr>
                <w:color w:val="000000"/>
                <w:sz w:val="21"/>
                <w:szCs w:val="21"/>
              </w:rPr>
              <w:t>池高液位时二台同时启动。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976"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513" w:type="dxa"/>
            <w:vMerge w:val="continue"/>
            <w:vAlign w:val="center"/>
          </w:tcPr>
          <w:p>
            <w:pPr>
              <w:adjustRightInd w:val="0"/>
              <w:snapToGrid w:val="0"/>
              <w:spacing w:line="276" w:lineRule="auto"/>
              <w:ind w:firstLine="420"/>
              <w:jc w:val="both"/>
              <w:rPr>
                <w:rFonts w:asciiTheme="minorEastAsia" w:hAnsiTheme="minorEastAsia" w:eastAsiaTheme="minorEastAsia"/>
                <w:bCs/>
                <w:sz w:val="21"/>
                <w:szCs w:val="21"/>
              </w:rPr>
            </w:pPr>
          </w:p>
        </w:tc>
        <w:tc>
          <w:tcPr>
            <w:tcW w:w="952" w:type="dxa"/>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asciiTheme="minorEastAsia" w:hAnsiTheme="minorEastAsia" w:eastAsiaTheme="minorEastAsia"/>
                <w:bCs/>
                <w:sz w:val="21"/>
                <w:szCs w:val="21"/>
              </w:rPr>
              <w:t>PFBP多级生物接触氧化反应器</w:t>
            </w:r>
          </w:p>
        </w:tc>
        <w:tc>
          <w:tcPr>
            <w:tcW w:w="6094" w:type="dxa"/>
            <w:gridSpan w:val="2"/>
            <w:vAlign w:val="center"/>
          </w:tcPr>
          <w:p>
            <w:pPr>
              <w:adjustRightInd w:val="0"/>
              <w:snapToGrid w:val="0"/>
              <w:ind w:firstLine="420"/>
              <w:rPr>
                <w:color w:val="000000"/>
                <w:sz w:val="21"/>
                <w:szCs w:val="21"/>
              </w:rPr>
            </w:pPr>
            <w:r>
              <w:rPr>
                <w:color w:val="000000"/>
                <w:sz w:val="21"/>
                <w:szCs w:val="21"/>
              </w:rPr>
              <w:t>新建1座，设计流量为：</w:t>
            </w:r>
            <w:r>
              <w:rPr>
                <w:rFonts w:hint="eastAsia"/>
                <w:color w:val="000000"/>
                <w:sz w:val="21"/>
                <w:szCs w:val="21"/>
              </w:rPr>
              <w:t>20</w:t>
            </w:r>
            <w:r>
              <w:rPr>
                <w:color w:val="000000"/>
                <w:sz w:val="21"/>
                <w:szCs w:val="21"/>
              </w:rPr>
              <w:t>0m</w:t>
            </w:r>
            <w:r>
              <w:rPr>
                <w:color w:val="000000"/>
                <w:sz w:val="21"/>
                <w:szCs w:val="21"/>
                <w:vertAlign w:val="superscript"/>
              </w:rPr>
              <w:t>3</w:t>
            </w:r>
            <w:r>
              <w:rPr>
                <w:color w:val="000000"/>
                <w:sz w:val="21"/>
                <w:szCs w:val="21"/>
              </w:rPr>
              <w:t>/d，地埋式。材质：机械缠绕玻璃钢一次成型产品。</w:t>
            </w:r>
          </w:p>
          <w:p>
            <w:pPr>
              <w:adjustRightInd w:val="0"/>
              <w:snapToGrid w:val="0"/>
              <w:ind w:firstLine="420"/>
              <w:rPr>
                <w:color w:val="000000"/>
                <w:sz w:val="21"/>
                <w:szCs w:val="21"/>
              </w:rPr>
            </w:pPr>
            <w:r>
              <w:rPr>
                <w:color w:val="000000"/>
                <w:sz w:val="21"/>
                <w:szCs w:val="21"/>
              </w:rPr>
              <w:t>二级处理：缺氧单元Φ</w:t>
            </w:r>
            <w:r>
              <w:rPr>
                <w:rFonts w:hint="eastAsia"/>
                <w:color w:val="000000"/>
                <w:sz w:val="21"/>
                <w:szCs w:val="21"/>
              </w:rPr>
              <w:t>26</w:t>
            </w:r>
            <w:r>
              <w:rPr>
                <w:color w:val="000000"/>
                <w:sz w:val="21"/>
                <w:szCs w:val="21"/>
              </w:rPr>
              <w:t>00×3</w:t>
            </w:r>
            <w:r>
              <w:rPr>
                <w:rFonts w:hint="eastAsia"/>
                <w:color w:val="000000"/>
                <w:sz w:val="21"/>
                <w:szCs w:val="21"/>
              </w:rPr>
              <w:t>9</w:t>
            </w:r>
            <w:r>
              <w:rPr>
                <w:color w:val="000000"/>
                <w:sz w:val="21"/>
                <w:szCs w:val="21"/>
              </w:rPr>
              <w:t>00mm×1，缺氧池1个；好氧单元</w:t>
            </w:r>
            <w:r>
              <w:rPr>
                <w:rFonts w:hint="eastAsia"/>
                <w:color w:val="000000"/>
                <w:sz w:val="21"/>
                <w:szCs w:val="21"/>
              </w:rPr>
              <w:t>30</w:t>
            </w:r>
            <w:r>
              <w:rPr>
                <w:color w:val="000000"/>
                <w:sz w:val="21"/>
                <w:szCs w:val="21"/>
              </w:rPr>
              <w:t>00×3</w:t>
            </w:r>
            <w:r>
              <w:rPr>
                <w:rFonts w:hint="eastAsia"/>
                <w:color w:val="000000"/>
                <w:sz w:val="21"/>
                <w:szCs w:val="21"/>
              </w:rPr>
              <w:t>9</w:t>
            </w:r>
            <w:r>
              <w:rPr>
                <w:color w:val="000000"/>
                <w:sz w:val="21"/>
                <w:szCs w:val="21"/>
              </w:rPr>
              <w:t>00mm×3，好氧池3个；沉淀单元Φ2</w:t>
            </w:r>
            <w:r>
              <w:rPr>
                <w:rFonts w:hint="eastAsia"/>
                <w:color w:val="000000"/>
                <w:sz w:val="21"/>
                <w:szCs w:val="21"/>
              </w:rPr>
              <w:t>6</w:t>
            </w:r>
            <w:r>
              <w:rPr>
                <w:color w:val="000000"/>
                <w:sz w:val="21"/>
                <w:szCs w:val="21"/>
              </w:rPr>
              <w:t>00×3</w:t>
            </w:r>
            <w:r>
              <w:rPr>
                <w:rFonts w:hint="eastAsia"/>
                <w:color w:val="000000"/>
                <w:sz w:val="21"/>
                <w:szCs w:val="21"/>
              </w:rPr>
              <w:t>9</w:t>
            </w:r>
            <w:r>
              <w:rPr>
                <w:color w:val="000000"/>
                <w:sz w:val="21"/>
                <w:szCs w:val="21"/>
              </w:rPr>
              <w:t>00mm×</w:t>
            </w:r>
            <w:r>
              <w:rPr>
                <w:rFonts w:hint="eastAsia"/>
                <w:color w:val="000000"/>
                <w:sz w:val="21"/>
                <w:szCs w:val="21"/>
              </w:rPr>
              <w:t>2</w:t>
            </w:r>
            <w:r>
              <w:rPr>
                <w:color w:val="000000"/>
                <w:sz w:val="21"/>
                <w:szCs w:val="21"/>
              </w:rPr>
              <w:t>，沉淀池</w:t>
            </w:r>
            <w:r>
              <w:rPr>
                <w:rFonts w:hint="eastAsia"/>
                <w:color w:val="000000"/>
                <w:sz w:val="21"/>
                <w:szCs w:val="21"/>
              </w:rPr>
              <w:t>2</w:t>
            </w:r>
            <w:r>
              <w:rPr>
                <w:color w:val="000000"/>
                <w:sz w:val="21"/>
                <w:szCs w:val="21"/>
              </w:rPr>
              <w:t>个。三维螺旋生物绳填料1套比表面积高达6000m</w:t>
            </w:r>
            <w:r>
              <w:rPr>
                <w:color w:val="000000"/>
                <w:sz w:val="21"/>
                <w:szCs w:val="21"/>
                <w:vertAlign w:val="superscript"/>
              </w:rPr>
              <w:t>2</w:t>
            </w:r>
            <w:r>
              <w:rPr>
                <w:color w:val="000000"/>
                <w:sz w:val="21"/>
                <w:szCs w:val="21"/>
              </w:rPr>
              <w:t>/m</w:t>
            </w:r>
            <w:r>
              <w:rPr>
                <w:color w:val="000000"/>
                <w:sz w:val="21"/>
                <w:szCs w:val="21"/>
                <w:vertAlign w:val="superscript"/>
              </w:rPr>
              <w:t>3</w:t>
            </w:r>
            <w:r>
              <w:rPr>
                <w:color w:val="000000"/>
                <w:sz w:val="21"/>
                <w:szCs w:val="21"/>
              </w:rPr>
              <w:t>；曝气风机WRB520.2.2KW</w:t>
            </w:r>
            <w:r>
              <w:rPr>
                <w:rFonts w:hint="eastAsia"/>
                <w:color w:val="000000"/>
                <w:sz w:val="21"/>
                <w:szCs w:val="21"/>
              </w:rPr>
              <w:t xml:space="preserve"> 1</w:t>
            </w:r>
            <w:r>
              <w:rPr>
                <w:color w:val="000000"/>
                <w:sz w:val="21"/>
                <w:szCs w:val="21"/>
              </w:rPr>
              <w:t>台；沉淀池</w:t>
            </w:r>
            <w:r>
              <w:rPr>
                <w:rFonts w:hint="eastAsia"/>
                <w:color w:val="000000"/>
                <w:sz w:val="21"/>
                <w:szCs w:val="21"/>
              </w:rPr>
              <w:t>污泥</w:t>
            </w:r>
            <w:r>
              <w:rPr>
                <w:color w:val="000000"/>
                <w:sz w:val="21"/>
                <w:szCs w:val="21"/>
              </w:rPr>
              <w:t>泵2台，Q=</w:t>
            </w:r>
            <w:r>
              <w:rPr>
                <w:rFonts w:hint="eastAsia"/>
                <w:color w:val="000000"/>
                <w:sz w:val="21"/>
                <w:szCs w:val="21"/>
              </w:rPr>
              <w:t>13.5</w:t>
            </w:r>
            <w:r>
              <w:rPr>
                <w:color w:val="000000"/>
                <w:sz w:val="21"/>
                <w:szCs w:val="21"/>
              </w:rPr>
              <w:t>m³/h，H=8m，N=0.</w:t>
            </w:r>
            <w:r>
              <w:rPr>
                <w:rFonts w:hint="eastAsia"/>
                <w:color w:val="000000"/>
                <w:sz w:val="21"/>
                <w:szCs w:val="21"/>
              </w:rPr>
              <w:t>7</w:t>
            </w:r>
            <w:r>
              <w:rPr>
                <w:color w:val="000000"/>
                <w:sz w:val="21"/>
                <w:szCs w:val="21"/>
              </w:rPr>
              <w:t>5kw；防雨型全自动控制柜1台</w:t>
            </w:r>
            <w:r>
              <w:rPr>
                <w:rFonts w:hint="eastAsia"/>
                <w:color w:val="000000"/>
                <w:sz w:val="21"/>
                <w:szCs w:val="21"/>
              </w:rPr>
              <w:t>；加药箱1套。</w:t>
            </w:r>
          </w:p>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color w:val="000000"/>
                <w:sz w:val="21"/>
                <w:szCs w:val="21"/>
              </w:rPr>
              <w:t>三级处理：设置砂缸过滤器，设计流量</w:t>
            </w:r>
            <w:r>
              <w:rPr>
                <w:rFonts w:hint="eastAsia"/>
                <w:color w:val="000000"/>
                <w:sz w:val="21"/>
                <w:szCs w:val="21"/>
              </w:rPr>
              <w:t>200</w:t>
            </w:r>
            <w:r>
              <w:rPr>
                <w:color w:val="000000"/>
                <w:sz w:val="21"/>
                <w:szCs w:val="21"/>
              </w:rPr>
              <w:t>m³/d，材质：玻璃钢材质罐体，尺寸：Φ</w:t>
            </w:r>
            <w:r>
              <w:rPr>
                <w:rFonts w:hint="eastAsia"/>
                <w:color w:val="000000"/>
                <w:sz w:val="21"/>
                <w:szCs w:val="21"/>
              </w:rPr>
              <w:t>9</w:t>
            </w:r>
            <w:r>
              <w:rPr>
                <w:color w:val="000000"/>
                <w:sz w:val="21"/>
                <w:szCs w:val="21"/>
              </w:rPr>
              <w:t>00×1</w:t>
            </w:r>
            <w:r>
              <w:rPr>
                <w:rFonts w:hint="eastAsia"/>
                <w:color w:val="000000"/>
                <w:sz w:val="21"/>
                <w:szCs w:val="21"/>
              </w:rPr>
              <w:t>8</w:t>
            </w:r>
            <w:r>
              <w:rPr>
                <w:color w:val="000000"/>
                <w:sz w:val="21"/>
                <w:szCs w:val="21"/>
              </w:rPr>
              <w:t>50。内置过滤器提升泵2台，Q=</w:t>
            </w:r>
            <w:r>
              <w:rPr>
                <w:rFonts w:hint="eastAsia"/>
                <w:color w:val="000000"/>
                <w:sz w:val="21"/>
                <w:szCs w:val="21"/>
              </w:rPr>
              <w:t>10</w:t>
            </w:r>
            <w:r>
              <w:rPr>
                <w:color w:val="000000"/>
                <w:sz w:val="21"/>
                <w:szCs w:val="21"/>
              </w:rPr>
              <w:t>m³/h，H=15m，N=</w:t>
            </w:r>
            <w:r>
              <w:rPr>
                <w:rFonts w:hint="eastAsia"/>
                <w:color w:val="000000"/>
                <w:sz w:val="21"/>
                <w:szCs w:val="21"/>
              </w:rPr>
              <w:t>1.1</w:t>
            </w:r>
            <w:r>
              <w:rPr>
                <w:color w:val="000000"/>
                <w:sz w:val="21"/>
                <w:szCs w:val="21"/>
              </w:rPr>
              <w:t>kW</w:t>
            </w:r>
            <w:r>
              <w:rPr>
                <w:rFonts w:hint="eastAsia"/>
                <w:color w:val="000000"/>
                <w:sz w:val="21"/>
                <w:szCs w:val="21"/>
              </w:rPr>
              <w:t>，一用一备</w:t>
            </w:r>
            <w:r>
              <w:rPr>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81"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513" w:type="dxa"/>
            <w:vMerge w:val="continue"/>
            <w:vAlign w:val="center"/>
          </w:tcPr>
          <w:p>
            <w:pPr>
              <w:adjustRightInd w:val="0"/>
              <w:snapToGrid w:val="0"/>
              <w:spacing w:line="276" w:lineRule="auto"/>
              <w:ind w:firstLine="420"/>
              <w:jc w:val="both"/>
              <w:rPr>
                <w:rFonts w:asciiTheme="minorEastAsia" w:hAnsiTheme="minorEastAsia" w:eastAsiaTheme="minorEastAsia"/>
                <w:bCs/>
                <w:sz w:val="21"/>
                <w:szCs w:val="21"/>
              </w:rPr>
            </w:pPr>
          </w:p>
        </w:tc>
        <w:tc>
          <w:tcPr>
            <w:tcW w:w="952" w:type="dxa"/>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color w:val="000000"/>
                <w:sz w:val="21"/>
                <w:szCs w:val="21"/>
              </w:rPr>
              <w:t>紫外消毒</w:t>
            </w:r>
            <w:r>
              <w:rPr>
                <w:rFonts w:hint="eastAsia"/>
                <w:color w:val="000000"/>
                <w:sz w:val="21"/>
                <w:szCs w:val="21"/>
              </w:rPr>
              <w:t>系统</w:t>
            </w:r>
          </w:p>
        </w:tc>
        <w:tc>
          <w:tcPr>
            <w:tcW w:w="6094" w:type="dxa"/>
            <w:gridSpan w:val="2"/>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color w:val="000000"/>
                <w:sz w:val="21"/>
                <w:szCs w:val="21"/>
              </w:rPr>
              <w:t>新建1座，置于地下1.4米处，上覆水泥盖板，尺寸：2.</w:t>
            </w:r>
            <w:r>
              <w:rPr>
                <w:rFonts w:hint="eastAsia"/>
                <w:color w:val="000000"/>
                <w:sz w:val="21"/>
                <w:szCs w:val="21"/>
              </w:rPr>
              <w:t>0</w:t>
            </w:r>
            <w:r>
              <w:rPr>
                <w:color w:val="000000"/>
                <w:sz w:val="21"/>
                <w:szCs w:val="21"/>
              </w:rPr>
              <w:t>m*0.8m*1.</w:t>
            </w:r>
            <w:r>
              <w:rPr>
                <w:rFonts w:hint="eastAsia"/>
                <w:color w:val="000000"/>
                <w:sz w:val="21"/>
                <w:szCs w:val="21"/>
              </w:rPr>
              <w:t>4</w:t>
            </w:r>
            <w:r>
              <w:rPr>
                <w:color w:val="000000"/>
                <w:sz w:val="21"/>
                <w:szCs w:val="21"/>
              </w:rPr>
              <w:t>m</w:t>
            </w:r>
            <w:r>
              <w:rPr>
                <w:rFonts w:hint="eastAsia"/>
                <w:color w:val="000000"/>
                <w:sz w:val="21"/>
                <w:szCs w:val="21"/>
              </w:rPr>
              <w:t>；</w:t>
            </w:r>
            <w:r>
              <w:rPr>
                <w:color w:val="000000"/>
                <w:sz w:val="21"/>
                <w:szCs w:val="21"/>
              </w:rPr>
              <w:t>电磁式流量计尺寸：DN50。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500"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513" w:type="dxa"/>
            <w:vMerge w:val="continue"/>
            <w:vAlign w:val="center"/>
          </w:tcPr>
          <w:p>
            <w:pPr>
              <w:adjustRightInd w:val="0"/>
              <w:snapToGrid w:val="0"/>
              <w:spacing w:line="276" w:lineRule="auto"/>
              <w:ind w:firstLine="420"/>
              <w:jc w:val="both"/>
              <w:rPr>
                <w:rFonts w:asciiTheme="minorEastAsia" w:hAnsiTheme="minorEastAsia" w:eastAsiaTheme="minorEastAsia"/>
                <w:bCs/>
                <w:sz w:val="21"/>
                <w:szCs w:val="21"/>
              </w:rPr>
            </w:pPr>
          </w:p>
        </w:tc>
        <w:tc>
          <w:tcPr>
            <w:tcW w:w="952" w:type="dxa"/>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储</w:t>
            </w:r>
            <w:r>
              <w:rPr>
                <w:rFonts w:asciiTheme="minorEastAsia" w:hAnsiTheme="minorEastAsia" w:eastAsiaTheme="minorEastAsia"/>
                <w:bCs/>
                <w:sz w:val="21"/>
                <w:szCs w:val="21"/>
              </w:rPr>
              <w:t>药间</w:t>
            </w:r>
          </w:p>
        </w:tc>
        <w:tc>
          <w:tcPr>
            <w:tcW w:w="6094" w:type="dxa"/>
            <w:gridSpan w:val="2"/>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rFonts w:asciiTheme="minorEastAsia" w:hAnsiTheme="minorEastAsia" w:eastAsiaTheme="minorEastAsia"/>
                <w:color w:val="000000" w:themeColor="text1"/>
                <w:sz w:val="21"/>
                <w:szCs w:val="21"/>
              </w:rPr>
              <w:t>新建1座，框架结构13.5m</w:t>
            </w:r>
            <w:r>
              <w:rPr>
                <w:rFonts w:asciiTheme="minorEastAsia" w:hAnsiTheme="minorEastAsia" w:eastAsiaTheme="minorEastAsia"/>
                <w:color w:val="000000" w:themeColor="text1"/>
                <w:sz w:val="21"/>
                <w:szCs w:val="21"/>
                <w:vertAlign w:val="superscript"/>
              </w:rPr>
              <w:t>2</w:t>
            </w:r>
            <w:r>
              <w:rPr>
                <w:rFonts w:asciiTheme="minorEastAsia" w:hAnsiTheme="minorEastAsia" w:eastAsiaTheme="minorEastAsia"/>
                <w:color w:val="000000" w:themeColor="text1"/>
                <w:sz w:val="21"/>
                <w:szCs w:val="21"/>
              </w:rPr>
              <w:t>，</w:t>
            </w:r>
            <w:r>
              <w:rPr>
                <w:rFonts w:asciiTheme="minorEastAsia" w:hAnsiTheme="minorEastAsia" w:eastAsiaTheme="minorEastAsia"/>
                <w:bCs/>
                <w:color w:val="000000" w:themeColor="text1"/>
                <w:sz w:val="21"/>
                <w:szCs w:val="21"/>
              </w:rPr>
              <w:t>安装</w:t>
            </w:r>
            <w:r>
              <w:rPr>
                <w:rFonts w:asciiTheme="minorEastAsia" w:hAnsiTheme="minorEastAsia" w:eastAsiaTheme="minorEastAsia"/>
                <w:color w:val="000000" w:themeColor="text1"/>
                <w:sz w:val="21"/>
                <w:szCs w:val="21"/>
              </w:rPr>
              <w:t>加药箱</w:t>
            </w:r>
            <w:r>
              <w:rPr>
                <w:rFonts w:asciiTheme="minorEastAsia" w:hAnsiTheme="minorEastAsia" w:eastAsiaTheme="minorEastAsia"/>
                <w:bCs/>
                <w:color w:val="000000" w:themeColor="text1"/>
                <w:sz w:val="21"/>
                <w:szCs w:val="21"/>
              </w:rPr>
              <w:t>1台，</w:t>
            </w:r>
            <w:r>
              <w:rPr>
                <w:rFonts w:asciiTheme="minorEastAsia" w:hAnsiTheme="minorEastAsia" w:eastAsiaTheme="minorEastAsia"/>
                <w:color w:val="000000" w:themeColor="text1"/>
                <w:sz w:val="21"/>
                <w:szCs w:val="21"/>
              </w:rPr>
              <w:t>加药箱尺寸Φ970×1130mm, N=0.55 kW</w:t>
            </w:r>
            <w:r>
              <w:rPr>
                <w:rFonts w:asciiTheme="minorEastAsia" w:hAnsiTheme="minorEastAsia" w:eastAsiaTheme="minorEastAsia"/>
                <w:bCs/>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626"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513" w:type="dxa"/>
            <w:vMerge w:val="continue"/>
            <w:vAlign w:val="center"/>
          </w:tcPr>
          <w:p>
            <w:pPr>
              <w:adjustRightInd w:val="0"/>
              <w:snapToGrid w:val="0"/>
              <w:spacing w:line="276" w:lineRule="auto"/>
              <w:ind w:firstLine="420"/>
              <w:jc w:val="both"/>
              <w:rPr>
                <w:rFonts w:asciiTheme="minorEastAsia" w:hAnsiTheme="minorEastAsia" w:eastAsiaTheme="minorEastAsia"/>
                <w:bCs/>
                <w:sz w:val="21"/>
                <w:szCs w:val="21"/>
              </w:rPr>
            </w:pPr>
          </w:p>
        </w:tc>
        <w:tc>
          <w:tcPr>
            <w:tcW w:w="952" w:type="dxa"/>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asciiTheme="minorEastAsia" w:hAnsiTheme="minorEastAsia" w:eastAsiaTheme="minorEastAsia"/>
                <w:bCs/>
                <w:sz w:val="21"/>
                <w:szCs w:val="21"/>
              </w:rPr>
              <w:t>出水明渠</w:t>
            </w:r>
          </w:p>
        </w:tc>
        <w:tc>
          <w:tcPr>
            <w:tcW w:w="6094" w:type="dxa"/>
            <w:gridSpan w:val="2"/>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rFonts w:hint="eastAsia" w:asciiTheme="minorEastAsia" w:hAnsiTheme="minorEastAsia" w:eastAsiaTheme="minorEastAsia"/>
                <w:bCs/>
                <w:color w:val="000000" w:themeColor="text1"/>
                <w:sz w:val="21"/>
                <w:szCs w:val="21"/>
              </w:rPr>
              <w:t>出水明渠：</w:t>
            </w:r>
            <w:r>
              <w:rPr>
                <w:rFonts w:hint="eastAsia" w:asciiTheme="minorEastAsia" w:hAnsiTheme="minorEastAsia" w:eastAsiaTheme="minorEastAsia"/>
                <w:color w:val="000000" w:themeColor="text1"/>
                <w:sz w:val="21"/>
                <w:szCs w:val="21"/>
              </w:rPr>
              <w:t>置于地下1.4米处，</w:t>
            </w:r>
            <w:r>
              <w:rPr>
                <w:rFonts w:hint="eastAsia" w:asciiTheme="minorEastAsia" w:hAnsiTheme="minorEastAsia" w:eastAsiaTheme="minorEastAsia"/>
                <w:bCs/>
                <w:color w:val="000000" w:themeColor="text1"/>
                <w:sz w:val="21"/>
                <w:szCs w:val="21"/>
              </w:rPr>
              <w:t>上覆玻璃钢盖板，尺寸：0.6m*0.8m*1.5m。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580"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513" w:type="dxa"/>
            <w:vMerge w:val="restart"/>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污水收集管网</w:t>
            </w:r>
          </w:p>
        </w:tc>
        <w:tc>
          <w:tcPr>
            <w:tcW w:w="952" w:type="dxa"/>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asciiTheme="minorEastAsia" w:hAnsiTheme="minorEastAsia" w:eastAsiaTheme="minorEastAsia"/>
                <w:color w:val="000000"/>
                <w:sz w:val="21"/>
                <w:szCs w:val="21"/>
              </w:rPr>
              <w:t>收集管道</w:t>
            </w:r>
          </w:p>
        </w:tc>
        <w:tc>
          <w:tcPr>
            <w:tcW w:w="6094" w:type="dxa"/>
            <w:gridSpan w:val="2"/>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rFonts w:asciiTheme="minorEastAsia" w:hAnsiTheme="minorEastAsia" w:eastAsiaTheme="minorEastAsia"/>
                <w:color w:val="000000" w:themeColor="text1"/>
                <w:sz w:val="21"/>
                <w:szCs w:val="21"/>
              </w:rPr>
              <w:t>管道长度为</w:t>
            </w:r>
            <w:r>
              <w:rPr>
                <w:rFonts w:hint="eastAsia" w:asciiTheme="minorEastAsia" w:hAnsiTheme="minorEastAsia" w:eastAsiaTheme="minorEastAsia"/>
                <w:color w:val="000000" w:themeColor="text1"/>
                <w:sz w:val="21"/>
                <w:szCs w:val="21"/>
              </w:rPr>
              <w:t>4860</w:t>
            </w:r>
            <w:r>
              <w:rPr>
                <w:rFonts w:asciiTheme="minorEastAsia" w:hAnsiTheme="minorEastAsia" w:eastAsiaTheme="minorEastAsia"/>
                <w:color w:val="000000" w:themeColor="text1"/>
                <w:sz w:val="21"/>
                <w:szCs w:val="21"/>
              </w:rPr>
              <w:t>m，</w:t>
            </w:r>
            <w:r>
              <w:rPr>
                <w:rFonts w:hint="eastAsia" w:asciiTheme="minorEastAsia" w:hAnsiTheme="minorEastAsia" w:eastAsiaTheme="minorEastAsia"/>
                <w:color w:val="000000" w:themeColor="text1"/>
                <w:sz w:val="21"/>
                <w:szCs w:val="21"/>
              </w:rPr>
              <w:t>材质为</w:t>
            </w:r>
            <w:r>
              <w:rPr>
                <w:rFonts w:asciiTheme="minorEastAsia" w:hAnsiTheme="minorEastAsia" w:eastAsiaTheme="minorEastAsia"/>
                <w:bCs/>
                <w:color w:val="000000" w:themeColor="text1"/>
                <w:sz w:val="21"/>
                <w:szCs w:val="21"/>
              </w:rPr>
              <w:t>高密度聚乙烯双壁波纹管</w:t>
            </w:r>
            <w:r>
              <w:rPr>
                <w:rFonts w:asciiTheme="minorEastAsia" w:hAnsiTheme="minorEastAsia" w:eastAsiaTheme="minorEastAsia"/>
                <w:color w:val="000000" w:themeColor="text1"/>
                <w:sz w:val="21"/>
                <w:szCs w:val="21"/>
              </w:rPr>
              <w:t>，管径为DN300</w:t>
            </w:r>
            <w:r>
              <w:rPr>
                <w:rFonts w:hint="eastAsia" w:asciiTheme="minorEastAsia" w:hAnsiTheme="minorEastAsia" w:eastAsiaTheme="minorEastAsia"/>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1327"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513" w:type="dxa"/>
            <w:vMerge w:val="continue"/>
            <w:vAlign w:val="center"/>
          </w:tcPr>
          <w:p>
            <w:pPr>
              <w:adjustRightInd w:val="0"/>
              <w:snapToGrid w:val="0"/>
              <w:spacing w:line="276" w:lineRule="auto"/>
              <w:ind w:firstLine="420"/>
              <w:jc w:val="both"/>
              <w:rPr>
                <w:rFonts w:asciiTheme="minorEastAsia" w:hAnsiTheme="minorEastAsia" w:eastAsiaTheme="minorEastAsia"/>
                <w:bCs/>
                <w:sz w:val="21"/>
                <w:szCs w:val="21"/>
              </w:rPr>
            </w:pPr>
          </w:p>
        </w:tc>
        <w:tc>
          <w:tcPr>
            <w:tcW w:w="952" w:type="dxa"/>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asciiTheme="minorEastAsia" w:hAnsiTheme="minorEastAsia" w:eastAsiaTheme="minorEastAsia"/>
                <w:sz w:val="21"/>
                <w:szCs w:val="21"/>
              </w:rPr>
              <w:t>污水检查井、</w:t>
            </w:r>
            <w:r>
              <w:rPr>
                <w:rFonts w:hint="eastAsia" w:asciiTheme="minorEastAsia" w:hAnsiTheme="minorEastAsia" w:eastAsiaTheme="minorEastAsia"/>
                <w:bCs/>
                <w:sz w:val="21"/>
                <w:szCs w:val="21"/>
              </w:rPr>
              <w:t>沉泥井</w:t>
            </w:r>
            <w:r>
              <w:rPr>
                <w:rFonts w:asciiTheme="minorEastAsia" w:hAnsiTheme="minorEastAsia" w:eastAsiaTheme="minorEastAsia"/>
                <w:bCs/>
                <w:sz w:val="21"/>
                <w:szCs w:val="21"/>
              </w:rPr>
              <w:t>及</w:t>
            </w:r>
            <w:r>
              <w:rPr>
                <w:rFonts w:hint="eastAsia" w:asciiTheme="minorEastAsia" w:hAnsiTheme="minorEastAsia" w:eastAsiaTheme="minorEastAsia"/>
                <w:bCs/>
                <w:sz w:val="21"/>
                <w:szCs w:val="21"/>
              </w:rPr>
              <w:t>出水口</w:t>
            </w:r>
          </w:p>
        </w:tc>
        <w:tc>
          <w:tcPr>
            <w:tcW w:w="6094" w:type="dxa"/>
            <w:gridSpan w:val="2"/>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rFonts w:hint="eastAsia" w:asciiTheme="minorEastAsia" w:hAnsiTheme="minorEastAsia" w:eastAsiaTheme="minorEastAsia"/>
                <w:color w:val="000000" w:themeColor="text1"/>
                <w:sz w:val="21"/>
                <w:szCs w:val="21"/>
              </w:rPr>
              <w:t>检查</w:t>
            </w:r>
            <w:r>
              <w:rPr>
                <w:rFonts w:asciiTheme="minorEastAsia" w:hAnsiTheme="minorEastAsia" w:eastAsiaTheme="minorEastAsia"/>
                <w:color w:val="000000" w:themeColor="text1"/>
                <w:sz w:val="21"/>
                <w:szCs w:val="21"/>
              </w:rPr>
              <w:t>井</w:t>
            </w:r>
            <w:r>
              <w:rPr>
                <w:rFonts w:hint="eastAsia" w:asciiTheme="minorEastAsia" w:hAnsiTheme="minorEastAsia" w:eastAsiaTheme="minorEastAsia"/>
                <w:color w:val="000000" w:themeColor="text1"/>
                <w:sz w:val="21"/>
                <w:szCs w:val="21"/>
              </w:rPr>
              <w:t>200</w:t>
            </w:r>
            <w:r>
              <w:rPr>
                <w:rFonts w:asciiTheme="minorEastAsia" w:hAnsiTheme="minorEastAsia" w:eastAsiaTheme="minorEastAsia"/>
                <w:color w:val="000000" w:themeColor="text1"/>
                <w:sz w:val="21"/>
                <w:szCs w:val="21"/>
              </w:rPr>
              <w:t>座，1000×1000</w:t>
            </w:r>
            <w:r>
              <w:rPr>
                <w:rFonts w:hint="eastAsia" w:asciiTheme="minorEastAsia" w:hAnsiTheme="minorEastAsia" w:eastAsiaTheme="minorEastAsia"/>
                <w:color w:val="000000" w:themeColor="text1"/>
                <w:sz w:val="21"/>
                <w:szCs w:val="21"/>
              </w:rPr>
              <w:t>mm</w:t>
            </w:r>
            <w:r>
              <w:rPr>
                <w:rFonts w:asciiTheme="minorEastAsia" w:hAnsiTheme="minorEastAsia" w:eastAsiaTheme="minorEastAsia"/>
                <w:color w:val="000000" w:themeColor="text1"/>
                <w:sz w:val="21"/>
                <w:szCs w:val="21"/>
              </w:rPr>
              <w:t>钢筋混凝土检查井共</w:t>
            </w:r>
            <w:r>
              <w:rPr>
                <w:rFonts w:hint="eastAsia" w:asciiTheme="minorEastAsia" w:hAnsiTheme="minorEastAsia" w:eastAsiaTheme="minorEastAsia"/>
                <w:color w:val="000000" w:themeColor="text1"/>
                <w:sz w:val="21"/>
                <w:szCs w:val="21"/>
              </w:rPr>
              <w:t>200</w:t>
            </w:r>
            <w:r>
              <w:rPr>
                <w:rFonts w:asciiTheme="minorEastAsia" w:hAnsiTheme="minorEastAsia" w:eastAsiaTheme="minorEastAsia"/>
                <w:color w:val="000000" w:themeColor="text1"/>
                <w:sz w:val="21"/>
                <w:szCs w:val="21"/>
              </w:rPr>
              <w:t>座；</w:t>
            </w:r>
            <w:r>
              <w:rPr>
                <w:rFonts w:hint="eastAsia" w:asciiTheme="minorEastAsia" w:hAnsiTheme="minorEastAsia" w:eastAsiaTheme="minorEastAsia"/>
                <w:color w:val="000000" w:themeColor="text1"/>
                <w:sz w:val="21"/>
                <w:szCs w:val="21"/>
              </w:rPr>
              <w:t>沉泥井11座，1000×1000mm钢筋混凝土沉泥井共11座；八字式出水口1座，材料为浆砌石，尺寸为DN300</w:t>
            </w:r>
            <w:r>
              <w:rPr>
                <w:rFonts w:asciiTheme="minorEastAsia" w:hAnsiTheme="minorEastAsia" w:eastAsiaTheme="minorEastAsia"/>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81" w:hRule="atLeast"/>
          <w:jc w:val="center"/>
        </w:trPr>
        <w:tc>
          <w:tcPr>
            <w:tcW w:w="711" w:type="dxa"/>
            <w:vAlign w:val="center"/>
          </w:tcPr>
          <w:p>
            <w:pPr>
              <w:adjustRightInd w:val="0"/>
              <w:snapToGrid w:val="0"/>
              <w:spacing w:line="276" w:lineRule="auto"/>
              <w:ind w:firstLine="0" w:firstLineChars="0"/>
              <w:rPr>
                <w:rFonts w:asciiTheme="minorEastAsia" w:hAnsiTheme="minorEastAsia" w:eastAsiaTheme="minorEastAsia"/>
                <w:bCs/>
                <w:sz w:val="21"/>
                <w:szCs w:val="21"/>
              </w:rPr>
            </w:pPr>
            <w:r>
              <w:rPr>
                <w:rFonts w:hint="eastAsia" w:asciiTheme="minorEastAsia" w:hAnsiTheme="minorEastAsia" w:eastAsiaTheme="minorEastAsia"/>
                <w:bCs/>
                <w:sz w:val="21"/>
                <w:szCs w:val="21"/>
              </w:rPr>
              <w:t>辅助</w:t>
            </w:r>
            <w:r>
              <w:rPr>
                <w:rFonts w:asciiTheme="minorEastAsia" w:hAnsiTheme="minorEastAsia" w:eastAsiaTheme="minorEastAsia"/>
                <w:bCs/>
                <w:sz w:val="21"/>
                <w:szCs w:val="21"/>
              </w:rPr>
              <w:t>工程</w:t>
            </w:r>
          </w:p>
        </w:tc>
        <w:tc>
          <w:tcPr>
            <w:tcW w:w="1465" w:type="dxa"/>
            <w:gridSpan w:val="2"/>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储药室</w:t>
            </w:r>
          </w:p>
        </w:tc>
        <w:tc>
          <w:tcPr>
            <w:tcW w:w="6094" w:type="dxa"/>
            <w:gridSpan w:val="2"/>
            <w:vAlign w:val="center"/>
          </w:tcPr>
          <w:p>
            <w:pPr>
              <w:spacing w:line="310" w:lineRule="exact"/>
              <w:ind w:firstLine="420"/>
              <w:jc w:val="both"/>
              <w:rPr>
                <w:color w:val="000000"/>
                <w:sz w:val="21"/>
                <w:szCs w:val="21"/>
              </w:rPr>
            </w:pPr>
            <w:r>
              <w:rPr>
                <w:color w:val="000000"/>
                <w:sz w:val="21"/>
                <w:szCs w:val="21"/>
              </w:rPr>
              <w:t>新建1座，砖混结构，</w:t>
            </w:r>
            <w:r>
              <w:rPr>
                <w:rFonts w:hint="eastAsia"/>
                <w:color w:val="000000"/>
                <w:sz w:val="21"/>
                <w:szCs w:val="21"/>
              </w:rPr>
              <w:t>L×B×H=3.0m×3.5m×3.0m，</w:t>
            </w:r>
            <w:r>
              <w:rPr>
                <w:color w:val="000000"/>
                <w:sz w:val="21"/>
                <w:szCs w:val="21"/>
              </w:rPr>
              <w:t>建筑面积为</w:t>
            </w:r>
            <w:r>
              <w:rPr>
                <w:rFonts w:hint="eastAsia"/>
                <w:color w:val="000000"/>
                <w:sz w:val="21"/>
                <w:szCs w:val="21"/>
              </w:rPr>
              <w:t>1</w:t>
            </w:r>
            <w:r>
              <w:rPr>
                <w:color w:val="000000"/>
                <w:sz w:val="21"/>
                <w:szCs w:val="21"/>
              </w:rPr>
              <w:t>0.5m</w:t>
            </w:r>
            <w:r>
              <w:rPr>
                <w:color w:val="000000"/>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91" w:hRule="atLeast"/>
          <w:jc w:val="center"/>
        </w:trPr>
        <w:tc>
          <w:tcPr>
            <w:tcW w:w="711" w:type="dxa"/>
            <w:vMerge w:val="restart"/>
            <w:vAlign w:val="center"/>
          </w:tcPr>
          <w:p>
            <w:pPr>
              <w:adjustRightInd w:val="0"/>
              <w:snapToGrid w:val="0"/>
              <w:spacing w:line="276" w:lineRule="auto"/>
              <w:ind w:firstLine="0" w:firstLineChars="0"/>
              <w:rPr>
                <w:rFonts w:asciiTheme="minorEastAsia" w:hAnsiTheme="minorEastAsia" w:eastAsiaTheme="minorEastAsia"/>
                <w:bCs/>
                <w:sz w:val="21"/>
                <w:szCs w:val="21"/>
              </w:rPr>
            </w:pPr>
            <w:r>
              <w:rPr>
                <w:rFonts w:asciiTheme="minorEastAsia" w:hAnsiTheme="minorEastAsia" w:eastAsiaTheme="minorEastAsia"/>
                <w:bCs/>
                <w:sz w:val="21"/>
                <w:szCs w:val="21"/>
              </w:rPr>
              <w:t>公用工程</w:t>
            </w:r>
          </w:p>
        </w:tc>
        <w:tc>
          <w:tcPr>
            <w:tcW w:w="1465" w:type="dxa"/>
            <w:gridSpan w:val="2"/>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asciiTheme="minorEastAsia" w:hAnsiTheme="minorEastAsia" w:eastAsiaTheme="minorEastAsia"/>
                <w:bCs/>
                <w:sz w:val="21"/>
                <w:szCs w:val="21"/>
              </w:rPr>
              <w:t>供</w:t>
            </w:r>
            <w:r>
              <w:rPr>
                <w:rFonts w:hint="eastAsia" w:asciiTheme="minorEastAsia" w:hAnsiTheme="minorEastAsia" w:eastAsiaTheme="minorEastAsia"/>
                <w:bCs/>
                <w:sz w:val="21"/>
                <w:szCs w:val="21"/>
              </w:rPr>
              <w:t>暖</w:t>
            </w:r>
          </w:p>
        </w:tc>
        <w:tc>
          <w:tcPr>
            <w:tcW w:w="6094" w:type="dxa"/>
            <w:gridSpan w:val="2"/>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rFonts w:hint="eastAsia" w:asciiTheme="minorEastAsia" w:hAnsiTheme="minorEastAsia" w:eastAsiaTheme="minorEastAsia"/>
                <w:bCs/>
                <w:sz w:val="21"/>
                <w:szCs w:val="21"/>
              </w:rPr>
              <w:t>建筑物内不设置采暖设备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88"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1465" w:type="dxa"/>
            <w:gridSpan w:val="2"/>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asciiTheme="minorEastAsia" w:hAnsiTheme="minorEastAsia" w:eastAsiaTheme="minorEastAsia"/>
                <w:bCs/>
                <w:sz w:val="21"/>
                <w:szCs w:val="21"/>
              </w:rPr>
              <w:t>供水</w:t>
            </w:r>
          </w:p>
        </w:tc>
        <w:tc>
          <w:tcPr>
            <w:tcW w:w="6094" w:type="dxa"/>
            <w:gridSpan w:val="2"/>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rFonts w:hint="eastAsia" w:asciiTheme="minorEastAsia" w:hAnsiTheme="minorEastAsia" w:eastAsiaTheme="minorEastAsia"/>
                <w:bCs/>
                <w:color w:val="000000" w:themeColor="text1"/>
                <w:sz w:val="21"/>
                <w:szCs w:val="21"/>
              </w:rPr>
              <w:t>生活用水由乡镇自来水水管网提供。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7"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1465" w:type="dxa"/>
            <w:gridSpan w:val="2"/>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asciiTheme="minorEastAsia" w:hAnsiTheme="minorEastAsia" w:eastAsiaTheme="minorEastAsia"/>
                <w:bCs/>
                <w:sz w:val="21"/>
                <w:szCs w:val="21"/>
              </w:rPr>
              <w:t>排水</w:t>
            </w:r>
          </w:p>
        </w:tc>
        <w:tc>
          <w:tcPr>
            <w:tcW w:w="6094" w:type="dxa"/>
            <w:gridSpan w:val="2"/>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rFonts w:asciiTheme="minorEastAsia" w:hAnsiTheme="minorEastAsia" w:eastAsiaTheme="minorEastAsia"/>
                <w:bCs/>
                <w:color w:val="000000" w:themeColor="text1"/>
                <w:sz w:val="21"/>
                <w:szCs w:val="21"/>
              </w:rPr>
              <w:t>雨污分流制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27"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1465" w:type="dxa"/>
            <w:gridSpan w:val="2"/>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asciiTheme="minorEastAsia" w:hAnsiTheme="minorEastAsia" w:eastAsiaTheme="minorEastAsia"/>
                <w:bCs/>
                <w:sz w:val="21"/>
                <w:szCs w:val="21"/>
              </w:rPr>
              <w:t>供电</w:t>
            </w:r>
          </w:p>
        </w:tc>
        <w:tc>
          <w:tcPr>
            <w:tcW w:w="6094" w:type="dxa"/>
            <w:gridSpan w:val="2"/>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color w:val="000000"/>
                <w:sz w:val="21"/>
                <w:szCs w:val="21"/>
              </w:rPr>
              <w:t>本工程由</w:t>
            </w:r>
            <w:r>
              <w:rPr>
                <w:rFonts w:hint="eastAsia"/>
                <w:color w:val="000000"/>
                <w:sz w:val="21"/>
                <w:szCs w:val="21"/>
              </w:rPr>
              <w:t>何家畔</w:t>
            </w:r>
            <w:r>
              <w:rPr>
                <w:color w:val="000000"/>
                <w:sz w:val="21"/>
                <w:szCs w:val="21"/>
              </w:rPr>
              <w:t>电力部门提供</w:t>
            </w:r>
            <w:r>
              <w:rPr>
                <w:rFonts w:hint="eastAsia"/>
                <w:color w:val="000000"/>
                <w:sz w:val="21"/>
                <w:szCs w:val="21"/>
              </w:rPr>
              <w:t>，接至项目配电柜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153" w:hRule="atLeast"/>
          <w:jc w:val="center"/>
        </w:trPr>
        <w:tc>
          <w:tcPr>
            <w:tcW w:w="711" w:type="dxa"/>
            <w:vMerge w:val="restart"/>
            <w:vAlign w:val="center"/>
          </w:tcPr>
          <w:p>
            <w:pPr>
              <w:adjustRightInd w:val="0"/>
              <w:snapToGrid w:val="0"/>
              <w:spacing w:line="276" w:lineRule="auto"/>
              <w:ind w:firstLine="0" w:firstLineChars="0"/>
              <w:rPr>
                <w:rFonts w:asciiTheme="minorEastAsia" w:hAnsiTheme="minorEastAsia" w:eastAsiaTheme="minorEastAsia"/>
                <w:bCs/>
                <w:sz w:val="21"/>
                <w:szCs w:val="21"/>
              </w:rPr>
            </w:pPr>
            <w:r>
              <w:rPr>
                <w:rFonts w:asciiTheme="minorEastAsia" w:hAnsiTheme="minorEastAsia" w:eastAsiaTheme="minorEastAsia"/>
                <w:bCs/>
                <w:sz w:val="21"/>
                <w:szCs w:val="21"/>
              </w:rPr>
              <w:t>环保工程</w:t>
            </w:r>
          </w:p>
        </w:tc>
        <w:tc>
          <w:tcPr>
            <w:tcW w:w="1465" w:type="dxa"/>
            <w:gridSpan w:val="2"/>
            <w:vAlign w:val="center"/>
          </w:tcPr>
          <w:p>
            <w:pPr>
              <w:adjustRightInd w:val="0"/>
              <w:snapToGrid w:val="0"/>
              <w:spacing w:line="276" w:lineRule="auto"/>
              <w:ind w:firstLine="0" w:firstLineChars="0"/>
              <w:jc w:val="both"/>
              <w:rPr>
                <w:rFonts w:asciiTheme="minorEastAsia" w:hAnsiTheme="minorEastAsia" w:eastAsiaTheme="minorEastAsia"/>
                <w:bCs/>
                <w:color w:val="000000" w:themeColor="text1"/>
                <w:sz w:val="21"/>
                <w:szCs w:val="21"/>
              </w:rPr>
            </w:pPr>
            <w:r>
              <w:rPr>
                <w:rFonts w:asciiTheme="minorEastAsia" w:hAnsiTheme="minorEastAsia" w:eastAsiaTheme="minorEastAsia"/>
                <w:bCs/>
                <w:color w:val="000000" w:themeColor="text1"/>
                <w:sz w:val="21"/>
                <w:szCs w:val="21"/>
              </w:rPr>
              <w:t>废气</w:t>
            </w:r>
          </w:p>
        </w:tc>
        <w:tc>
          <w:tcPr>
            <w:tcW w:w="6094" w:type="dxa"/>
            <w:gridSpan w:val="2"/>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rFonts w:hint="eastAsia" w:asciiTheme="minorEastAsia" w:hAnsiTheme="minorEastAsia" w:eastAsiaTheme="minorEastAsia"/>
                <w:color w:val="000000" w:themeColor="text1"/>
                <w:sz w:val="21"/>
                <w:szCs w:val="21"/>
              </w:rPr>
              <w:t>处理设施均埋于地下，均有加盖措施，周围设置50m卫生防护距离。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74"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1465" w:type="dxa"/>
            <w:gridSpan w:val="2"/>
            <w:vMerge w:val="restart"/>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asciiTheme="minorEastAsia" w:hAnsiTheme="minorEastAsia" w:eastAsiaTheme="minorEastAsia"/>
                <w:bCs/>
                <w:sz w:val="21"/>
                <w:szCs w:val="21"/>
              </w:rPr>
              <w:t>固</w:t>
            </w:r>
            <w:r>
              <w:rPr>
                <w:rFonts w:hint="eastAsia" w:asciiTheme="minorEastAsia" w:hAnsiTheme="minorEastAsia" w:eastAsiaTheme="minorEastAsia"/>
                <w:bCs/>
                <w:sz w:val="21"/>
                <w:szCs w:val="21"/>
              </w:rPr>
              <w:t>废</w:t>
            </w:r>
          </w:p>
        </w:tc>
        <w:tc>
          <w:tcPr>
            <w:tcW w:w="878" w:type="dxa"/>
            <w:vAlign w:val="center"/>
          </w:tcPr>
          <w:p>
            <w:pPr>
              <w:adjustRightInd w:val="0"/>
              <w:snapToGrid w:val="0"/>
              <w:spacing w:line="276" w:lineRule="auto"/>
              <w:ind w:firstLine="0" w:firstLineChars="0"/>
              <w:jc w:val="both"/>
              <w:rPr>
                <w:rFonts w:asciiTheme="minorEastAsia" w:hAnsiTheme="minorEastAsia" w:eastAsiaTheme="minorEastAsia"/>
                <w:bCs/>
                <w:color w:val="000000" w:themeColor="text1"/>
                <w:sz w:val="21"/>
                <w:szCs w:val="21"/>
              </w:rPr>
            </w:pPr>
            <w:r>
              <w:rPr>
                <w:rFonts w:hint="eastAsia" w:asciiTheme="minorEastAsia" w:hAnsiTheme="minorEastAsia" w:eastAsiaTheme="minorEastAsia"/>
                <w:bCs/>
                <w:color w:val="000000" w:themeColor="text1"/>
                <w:sz w:val="21"/>
                <w:szCs w:val="21"/>
              </w:rPr>
              <w:t>生活</w:t>
            </w:r>
          </w:p>
          <w:p>
            <w:pPr>
              <w:adjustRightInd w:val="0"/>
              <w:snapToGrid w:val="0"/>
              <w:spacing w:line="276" w:lineRule="auto"/>
              <w:ind w:firstLine="0" w:firstLineChars="0"/>
              <w:jc w:val="both"/>
              <w:rPr>
                <w:rFonts w:asciiTheme="minorEastAsia" w:hAnsiTheme="minorEastAsia" w:eastAsiaTheme="minorEastAsia"/>
                <w:bCs/>
                <w:color w:val="000000" w:themeColor="text1"/>
                <w:sz w:val="21"/>
                <w:szCs w:val="21"/>
              </w:rPr>
            </w:pPr>
            <w:r>
              <w:rPr>
                <w:rFonts w:hint="eastAsia" w:asciiTheme="minorEastAsia" w:hAnsiTheme="minorEastAsia" w:eastAsiaTheme="minorEastAsia"/>
                <w:bCs/>
                <w:color w:val="000000" w:themeColor="text1"/>
                <w:sz w:val="21"/>
                <w:szCs w:val="21"/>
              </w:rPr>
              <w:t>垃圾</w:t>
            </w:r>
          </w:p>
        </w:tc>
        <w:tc>
          <w:tcPr>
            <w:tcW w:w="5216" w:type="dxa"/>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rFonts w:asciiTheme="minorEastAsia" w:hAnsiTheme="minorEastAsia" w:eastAsiaTheme="minorEastAsia"/>
                <w:bCs/>
                <w:color w:val="000000" w:themeColor="text1"/>
                <w:sz w:val="21"/>
                <w:szCs w:val="21"/>
              </w:rPr>
              <w:t>设置垃圾收集箱对生活垃圾进行收集，运往附近垃圾转运站集中处理</w:t>
            </w:r>
            <w:r>
              <w:rPr>
                <w:rFonts w:hint="eastAsia" w:asciiTheme="minorEastAsia" w:hAnsiTheme="minorEastAsia" w:eastAsiaTheme="minorEastAsia"/>
                <w:bCs/>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73"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1465" w:type="dxa"/>
            <w:gridSpan w:val="2"/>
            <w:vMerge w:val="continue"/>
            <w:vAlign w:val="center"/>
          </w:tcPr>
          <w:p>
            <w:pPr>
              <w:adjustRightInd w:val="0"/>
              <w:snapToGrid w:val="0"/>
              <w:spacing w:line="276" w:lineRule="auto"/>
              <w:ind w:firstLine="420"/>
              <w:jc w:val="both"/>
              <w:rPr>
                <w:rFonts w:asciiTheme="minorEastAsia" w:hAnsiTheme="minorEastAsia" w:eastAsiaTheme="minorEastAsia"/>
                <w:bCs/>
                <w:sz w:val="21"/>
                <w:szCs w:val="21"/>
              </w:rPr>
            </w:pPr>
          </w:p>
        </w:tc>
        <w:tc>
          <w:tcPr>
            <w:tcW w:w="878" w:type="dxa"/>
            <w:vAlign w:val="center"/>
          </w:tcPr>
          <w:p>
            <w:pPr>
              <w:adjustRightInd w:val="0"/>
              <w:snapToGrid w:val="0"/>
              <w:spacing w:line="276" w:lineRule="auto"/>
              <w:ind w:firstLine="0" w:firstLineChars="0"/>
              <w:jc w:val="both"/>
              <w:rPr>
                <w:rFonts w:asciiTheme="minorEastAsia" w:hAnsiTheme="minorEastAsia" w:eastAsiaTheme="minorEastAsia"/>
                <w:bCs/>
                <w:color w:val="000000" w:themeColor="text1"/>
                <w:sz w:val="21"/>
                <w:szCs w:val="21"/>
              </w:rPr>
            </w:pPr>
            <w:r>
              <w:rPr>
                <w:rFonts w:hint="eastAsia" w:asciiTheme="minorEastAsia" w:hAnsiTheme="minorEastAsia" w:eastAsiaTheme="minorEastAsia"/>
                <w:bCs/>
                <w:color w:val="000000" w:themeColor="text1"/>
                <w:sz w:val="21"/>
                <w:szCs w:val="21"/>
              </w:rPr>
              <w:t>栅渣</w:t>
            </w:r>
          </w:p>
        </w:tc>
        <w:tc>
          <w:tcPr>
            <w:tcW w:w="5216" w:type="dxa"/>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rFonts w:asciiTheme="minorEastAsia" w:hAnsiTheme="minorEastAsia" w:eastAsiaTheme="minorEastAsia"/>
                <w:bCs/>
                <w:color w:val="000000" w:themeColor="text1"/>
                <w:sz w:val="21"/>
                <w:szCs w:val="21"/>
              </w:rPr>
              <w:t>格栅渣</w:t>
            </w:r>
            <w:r>
              <w:rPr>
                <w:rFonts w:hint="eastAsia" w:asciiTheme="minorEastAsia" w:hAnsiTheme="minorEastAsia" w:eastAsiaTheme="minorEastAsia"/>
                <w:bCs/>
                <w:color w:val="000000" w:themeColor="text1"/>
                <w:sz w:val="21"/>
                <w:szCs w:val="21"/>
              </w:rPr>
              <w:t>定期清理</w:t>
            </w:r>
            <w:r>
              <w:rPr>
                <w:rFonts w:asciiTheme="minorEastAsia" w:hAnsiTheme="minorEastAsia" w:eastAsiaTheme="minorEastAsia"/>
                <w:bCs/>
                <w:color w:val="000000" w:themeColor="text1"/>
                <w:sz w:val="21"/>
                <w:szCs w:val="21"/>
              </w:rPr>
              <w:t>，定期</w:t>
            </w:r>
            <w:r>
              <w:rPr>
                <w:rFonts w:hint="eastAsia" w:asciiTheme="minorEastAsia" w:hAnsiTheme="minorEastAsia" w:eastAsiaTheme="minorEastAsia"/>
                <w:bCs/>
                <w:color w:val="000000" w:themeColor="text1"/>
                <w:sz w:val="21"/>
                <w:szCs w:val="21"/>
              </w:rPr>
              <w:t>至何家畔生活垃圾</w:t>
            </w:r>
            <w:r>
              <w:rPr>
                <w:rFonts w:asciiTheme="minorEastAsia" w:hAnsiTheme="minorEastAsia" w:eastAsiaTheme="minorEastAsia"/>
                <w:bCs/>
                <w:color w:val="000000" w:themeColor="text1"/>
                <w:sz w:val="21"/>
                <w:szCs w:val="21"/>
              </w:rPr>
              <w:t>填埋场</w:t>
            </w:r>
            <w:r>
              <w:rPr>
                <w:rFonts w:hint="eastAsia" w:asciiTheme="minorEastAsia" w:hAnsiTheme="minorEastAsia" w:eastAsiaTheme="minorEastAsia"/>
                <w:bCs/>
                <w:color w:val="000000" w:themeColor="text1"/>
                <w:sz w:val="21"/>
                <w:szCs w:val="21"/>
              </w:rPr>
              <w:t>卫生</w:t>
            </w:r>
            <w:r>
              <w:rPr>
                <w:rFonts w:asciiTheme="minorEastAsia" w:hAnsiTheme="minorEastAsia" w:eastAsiaTheme="minorEastAsia"/>
                <w:bCs/>
                <w:color w:val="000000" w:themeColor="text1"/>
                <w:sz w:val="21"/>
                <w:szCs w:val="21"/>
              </w:rPr>
              <w:t>填埋</w:t>
            </w:r>
            <w:r>
              <w:rPr>
                <w:rFonts w:hint="eastAsia" w:asciiTheme="minorEastAsia" w:hAnsiTheme="minorEastAsia" w:eastAsiaTheme="minorEastAsia"/>
                <w:bCs/>
                <w:color w:val="000000" w:themeColor="text1"/>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111"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1465" w:type="dxa"/>
            <w:gridSpan w:val="2"/>
            <w:vMerge w:val="continue"/>
            <w:vAlign w:val="center"/>
          </w:tcPr>
          <w:p>
            <w:pPr>
              <w:adjustRightInd w:val="0"/>
              <w:snapToGrid w:val="0"/>
              <w:spacing w:line="276" w:lineRule="auto"/>
              <w:ind w:firstLine="420"/>
              <w:jc w:val="both"/>
              <w:rPr>
                <w:rFonts w:asciiTheme="minorEastAsia" w:hAnsiTheme="minorEastAsia" w:eastAsiaTheme="minorEastAsia"/>
                <w:bCs/>
                <w:sz w:val="21"/>
                <w:szCs w:val="21"/>
              </w:rPr>
            </w:pPr>
          </w:p>
        </w:tc>
        <w:tc>
          <w:tcPr>
            <w:tcW w:w="878" w:type="dxa"/>
            <w:vAlign w:val="center"/>
          </w:tcPr>
          <w:p>
            <w:pPr>
              <w:adjustRightInd w:val="0"/>
              <w:snapToGrid w:val="0"/>
              <w:spacing w:line="276" w:lineRule="auto"/>
              <w:ind w:firstLine="0" w:firstLineChars="0"/>
              <w:jc w:val="both"/>
              <w:rPr>
                <w:rFonts w:asciiTheme="minorEastAsia" w:hAnsiTheme="minorEastAsia" w:eastAsiaTheme="minorEastAsia"/>
                <w:bCs/>
                <w:color w:val="000000" w:themeColor="text1"/>
                <w:sz w:val="21"/>
                <w:szCs w:val="21"/>
              </w:rPr>
            </w:pPr>
            <w:r>
              <w:rPr>
                <w:rFonts w:hint="eastAsia" w:asciiTheme="minorEastAsia" w:hAnsiTheme="minorEastAsia" w:eastAsiaTheme="minorEastAsia"/>
                <w:bCs/>
                <w:color w:val="000000" w:themeColor="text1"/>
                <w:sz w:val="21"/>
                <w:szCs w:val="21"/>
              </w:rPr>
              <w:t>剩余</w:t>
            </w:r>
          </w:p>
          <w:p>
            <w:pPr>
              <w:adjustRightInd w:val="0"/>
              <w:snapToGrid w:val="0"/>
              <w:spacing w:line="276" w:lineRule="auto"/>
              <w:ind w:firstLine="0" w:firstLineChars="0"/>
              <w:jc w:val="both"/>
              <w:rPr>
                <w:rFonts w:asciiTheme="minorEastAsia" w:hAnsiTheme="minorEastAsia" w:eastAsiaTheme="minorEastAsia"/>
                <w:bCs/>
                <w:color w:val="000000" w:themeColor="text1"/>
                <w:sz w:val="21"/>
                <w:szCs w:val="21"/>
              </w:rPr>
            </w:pPr>
            <w:r>
              <w:rPr>
                <w:rFonts w:hint="eastAsia" w:asciiTheme="minorEastAsia" w:hAnsiTheme="minorEastAsia" w:eastAsiaTheme="minorEastAsia"/>
                <w:bCs/>
                <w:color w:val="000000" w:themeColor="text1"/>
                <w:sz w:val="21"/>
                <w:szCs w:val="21"/>
              </w:rPr>
              <w:t>污泥</w:t>
            </w:r>
          </w:p>
        </w:tc>
        <w:tc>
          <w:tcPr>
            <w:tcW w:w="5216" w:type="dxa"/>
            <w:vAlign w:val="center"/>
          </w:tcPr>
          <w:p>
            <w:pPr>
              <w:adjustRightInd w:val="0"/>
              <w:snapToGrid w:val="0"/>
              <w:spacing w:line="276" w:lineRule="auto"/>
              <w:ind w:firstLine="420"/>
              <w:jc w:val="both"/>
              <w:rPr>
                <w:rFonts w:asciiTheme="minorEastAsia" w:hAnsiTheme="minorEastAsia" w:eastAsiaTheme="minorEastAsia"/>
                <w:bCs/>
                <w:color w:val="000000" w:themeColor="text1"/>
                <w:sz w:val="21"/>
                <w:szCs w:val="21"/>
              </w:rPr>
            </w:pPr>
            <w:r>
              <w:rPr>
                <w:rFonts w:hint="eastAsia" w:asciiTheme="minorEastAsia" w:hAnsiTheme="minorEastAsia" w:eastAsiaTheme="minorEastAsia"/>
                <w:color w:val="000000" w:themeColor="text1"/>
                <w:sz w:val="21"/>
                <w:szCs w:val="21"/>
              </w:rPr>
              <w:t>污泥定期利用移动污泥脱水车处理后，拉运至何家畔生活垃圾填埋场晾晒后进行卫生填埋。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111"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2343" w:type="dxa"/>
            <w:gridSpan w:val="3"/>
            <w:vAlign w:val="center"/>
          </w:tcPr>
          <w:p>
            <w:pPr>
              <w:adjustRightInd w:val="0"/>
              <w:snapToGrid w:val="0"/>
              <w:spacing w:line="276" w:lineRule="auto"/>
              <w:ind w:firstLine="0" w:firstLineChars="0"/>
              <w:jc w:val="both"/>
              <w:rPr>
                <w:rFonts w:asciiTheme="minorEastAsia" w:hAnsiTheme="minorEastAsia" w:eastAsiaTheme="minorEastAsia"/>
                <w:bCs/>
                <w:color w:val="000000" w:themeColor="text1"/>
                <w:sz w:val="21"/>
                <w:szCs w:val="21"/>
              </w:rPr>
            </w:pPr>
            <w:r>
              <w:rPr>
                <w:rFonts w:hint="eastAsia" w:asciiTheme="minorEastAsia" w:hAnsiTheme="minorEastAsia" w:eastAsiaTheme="minorEastAsia"/>
                <w:bCs/>
                <w:sz w:val="21"/>
                <w:szCs w:val="21"/>
              </w:rPr>
              <w:t>预留在线监测接口</w:t>
            </w:r>
          </w:p>
        </w:tc>
        <w:tc>
          <w:tcPr>
            <w:tcW w:w="5216" w:type="dxa"/>
            <w:vAlign w:val="center"/>
          </w:tcPr>
          <w:p>
            <w:pPr>
              <w:adjustRightInd w:val="0"/>
              <w:snapToGrid w:val="0"/>
              <w:spacing w:line="276" w:lineRule="auto"/>
              <w:ind w:firstLine="420"/>
              <w:jc w:val="both"/>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进、出口预留CODcr和NH3-N在线监测接口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153"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1465" w:type="dxa"/>
            <w:gridSpan w:val="2"/>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asciiTheme="minorEastAsia" w:hAnsiTheme="minorEastAsia" w:eastAsiaTheme="minorEastAsia"/>
                <w:bCs/>
                <w:sz w:val="21"/>
                <w:szCs w:val="21"/>
              </w:rPr>
              <w:t>废</w:t>
            </w:r>
            <w:r>
              <w:rPr>
                <w:rFonts w:hint="eastAsia" w:asciiTheme="minorEastAsia" w:hAnsiTheme="minorEastAsia" w:eastAsiaTheme="minorEastAsia"/>
                <w:bCs/>
                <w:sz w:val="21"/>
                <w:szCs w:val="21"/>
              </w:rPr>
              <w:t>水</w:t>
            </w:r>
          </w:p>
        </w:tc>
        <w:tc>
          <w:tcPr>
            <w:tcW w:w="878" w:type="dxa"/>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运营期</w:t>
            </w:r>
          </w:p>
        </w:tc>
        <w:tc>
          <w:tcPr>
            <w:tcW w:w="5216" w:type="dxa"/>
            <w:vAlign w:val="center"/>
          </w:tcPr>
          <w:p>
            <w:pPr>
              <w:adjustRightInd w:val="0"/>
              <w:snapToGrid w:val="0"/>
              <w:spacing w:line="276" w:lineRule="auto"/>
              <w:ind w:firstLine="420"/>
              <w:jc w:val="both"/>
              <w:rPr>
                <w:rFonts w:asciiTheme="minorEastAsia" w:hAnsiTheme="minorEastAsia" w:eastAsiaTheme="minorEastAsia"/>
                <w:bCs/>
                <w:sz w:val="21"/>
                <w:szCs w:val="21"/>
              </w:rPr>
            </w:pPr>
            <w:r>
              <w:rPr>
                <w:rFonts w:asciiTheme="minorEastAsia" w:hAnsiTheme="minorEastAsia" w:eastAsiaTheme="minorEastAsia"/>
                <w:bCs/>
                <w:sz w:val="21"/>
                <w:szCs w:val="21"/>
              </w:rPr>
              <w:t>厂内生活污水和反冲洗废水排入厂区污水，经管道收集进入预处理</w:t>
            </w:r>
            <w:r>
              <w:rPr>
                <w:rFonts w:hint="eastAsia" w:asciiTheme="minorEastAsia" w:hAnsiTheme="minorEastAsia" w:eastAsiaTheme="minorEastAsia"/>
                <w:bCs/>
                <w:sz w:val="21"/>
                <w:szCs w:val="21"/>
              </w:rPr>
              <w:t>综合池</w:t>
            </w:r>
            <w:r>
              <w:rPr>
                <w:rFonts w:asciiTheme="minorEastAsia" w:hAnsiTheme="minorEastAsia" w:eastAsiaTheme="minorEastAsia"/>
                <w:bCs/>
                <w:sz w:val="21"/>
                <w:szCs w:val="21"/>
              </w:rPr>
              <w:t>与进厂污水一并处理后达标排放</w:t>
            </w:r>
            <w:r>
              <w:rPr>
                <w:rFonts w:hint="eastAsia" w:asciiTheme="minorEastAsia" w:hAnsiTheme="minorEastAsia" w:eastAsiaTheme="minorEastAsia"/>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87" w:hRule="atLeast"/>
          <w:jc w:val="center"/>
        </w:trPr>
        <w:tc>
          <w:tcPr>
            <w:tcW w:w="711" w:type="dxa"/>
            <w:vMerge w:val="continue"/>
            <w:vAlign w:val="center"/>
          </w:tcPr>
          <w:p>
            <w:pPr>
              <w:adjustRightInd w:val="0"/>
              <w:snapToGrid w:val="0"/>
              <w:spacing w:line="276" w:lineRule="auto"/>
              <w:ind w:firstLine="420"/>
              <w:rPr>
                <w:rFonts w:asciiTheme="minorEastAsia" w:hAnsiTheme="minorEastAsia" w:eastAsiaTheme="minorEastAsia"/>
                <w:bCs/>
                <w:sz w:val="21"/>
                <w:szCs w:val="21"/>
              </w:rPr>
            </w:pPr>
          </w:p>
        </w:tc>
        <w:tc>
          <w:tcPr>
            <w:tcW w:w="1465" w:type="dxa"/>
            <w:gridSpan w:val="2"/>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asciiTheme="minorEastAsia" w:hAnsiTheme="minorEastAsia" w:eastAsiaTheme="minorEastAsia"/>
                <w:bCs/>
                <w:sz w:val="21"/>
                <w:szCs w:val="21"/>
              </w:rPr>
              <w:t>绿化</w:t>
            </w:r>
          </w:p>
        </w:tc>
        <w:tc>
          <w:tcPr>
            <w:tcW w:w="6094" w:type="dxa"/>
            <w:gridSpan w:val="2"/>
            <w:vAlign w:val="center"/>
          </w:tcPr>
          <w:p>
            <w:pPr>
              <w:adjustRightInd w:val="0"/>
              <w:snapToGrid w:val="0"/>
              <w:spacing w:line="276" w:lineRule="auto"/>
              <w:ind w:firstLine="420"/>
              <w:jc w:val="both"/>
              <w:rPr>
                <w:rFonts w:asciiTheme="minorEastAsia" w:hAnsiTheme="minorEastAsia" w:eastAsiaTheme="minorEastAsia"/>
                <w:bCs/>
                <w:sz w:val="21"/>
                <w:szCs w:val="21"/>
              </w:rPr>
            </w:pPr>
            <w:r>
              <w:rPr>
                <w:rFonts w:asciiTheme="minorEastAsia" w:hAnsiTheme="minorEastAsia" w:eastAsiaTheme="minorEastAsia"/>
                <w:bCs/>
                <w:sz w:val="21"/>
                <w:szCs w:val="21"/>
              </w:rPr>
              <w:t>建成后绿化面积约33m</w:t>
            </w:r>
            <w:r>
              <w:rPr>
                <w:rFonts w:asciiTheme="minorEastAsia" w:hAnsiTheme="minorEastAsia" w:eastAsiaTheme="minorEastAsia"/>
                <w:bCs/>
                <w:sz w:val="21"/>
                <w:szCs w:val="21"/>
                <w:vertAlign w:val="superscript"/>
              </w:rPr>
              <w:t>2</w:t>
            </w:r>
            <w:r>
              <w:rPr>
                <w:rFonts w:asciiTheme="minorEastAsia" w:hAnsiTheme="minorEastAsia" w:eastAsiaTheme="minorEastAsia"/>
                <w:bCs/>
                <w:sz w:val="21"/>
                <w:szCs w:val="21"/>
              </w:rPr>
              <w:t>，绿化率</w:t>
            </w:r>
            <w:r>
              <w:rPr>
                <w:rFonts w:hint="eastAsia" w:asciiTheme="minorEastAsia" w:hAnsiTheme="minorEastAsia" w:eastAsiaTheme="minorEastAsia"/>
                <w:bCs/>
                <w:sz w:val="21"/>
                <w:szCs w:val="21"/>
              </w:rPr>
              <w:t>5</w:t>
            </w:r>
            <w:r>
              <w:rPr>
                <w:rFonts w:asciiTheme="minorEastAsia" w:hAnsiTheme="minorEastAsia" w:eastAsiaTheme="minorEastAsia"/>
                <w:bCs/>
                <w:sz w:val="21"/>
                <w:szCs w:val="21"/>
              </w:rPr>
              <w:t>%</w:t>
            </w:r>
            <w:r>
              <w:rPr>
                <w:rFonts w:hint="eastAsia" w:asciiTheme="minorEastAsia" w:hAnsiTheme="minorEastAsia" w:eastAsiaTheme="minorEastAsia"/>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87" w:hRule="atLeast"/>
          <w:jc w:val="center"/>
        </w:trPr>
        <w:tc>
          <w:tcPr>
            <w:tcW w:w="711" w:type="dxa"/>
            <w:vAlign w:val="center"/>
          </w:tcPr>
          <w:p>
            <w:pPr>
              <w:adjustRightInd w:val="0"/>
              <w:snapToGrid w:val="0"/>
              <w:spacing w:line="276" w:lineRule="auto"/>
              <w:ind w:firstLine="0" w:firstLineChars="0"/>
              <w:rPr>
                <w:rFonts w:asciiTheme="minorEastAsia" w:hAnsiTheme="minorEastAsia" w:eastAsiaTheme="minorEastAsia"/>
                <w:bCs/>
                <w:sz w:val="21"/>
                <w:szCs w:val="21"/>
              </w:rPr>
            </w:pPr>
            <w:r>
              <w:rPr>
                <w:rFonts w:hint="eastAsia" w:asciiTheme="minorEastAsia" w:hAnsiTheme="minorEastAsia" w:eastAsiaTheme="minorEastAsia"/>
                <w:bCs/>
                <w:sz w:val="21"/>
                <w:szCs w:val="21"/>
              </w:rPr>
              <w:t>环境风险</w:t>
            </w:r>
            <w:r>
              <w:rPr>
                <w:rFonts w:asciiTheme="minorEastAsia" w:hAnsiTheme="minorEastAsia" w:eastAsiaTheme="minorEastAsia"/>
                <w:bCs/>
                <w:sz w:val="21"/>
                <w:szCs w:val="21"/>
              </w:rPr>
              <w:t>防范措施</w:t>
            </w:r>
          </w:p>
        </w:tc>
        <w:tc>
          <w:tcPr>
            <w:tcW w:w="1465" w:type="dxa"/>
            <w:gridSpan w:val="2"/>
            <w:vAlign w:val="center"/>
          </w:tcPr>
          <w:p>
            <w:pPr>
              <w:adjustRightInd w:val="0"/>
              <w:snapToGrid w:val="0"/>
              <w:spacing w:line="276" w:lineRule="auto"/>
              <w:ind w:firstLine="0" w:firstLineChars="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浮桥</w:t>
            </w:r>
          </w:p>
        </w:tc>
        <w:tc>
          <w:tcPr>
            <w:tcW w:w="6094" w:type="dxa"/>
            <w:gridSpan w:val="2"/>
            <w:vAlign w:val="center"/>
          </w:tcPr>
          <w:p>
            <w:pPr>
              <w:adjustRightInd w:val="0"/>
              <w:snapToGrid w:val="0"/>
              <w:spacing w:line="276" w:lineRule="auto"/>
              <w:ind w:firstLine="420"/>
              <w:jc w:val="both"/>
              <w:rPr>
                <w:rFonts w:asciiTheme="minorEastAsia" w:hAnsiTheme="minorEastAsia" w:eastAsiaTheme="minorEastAsia"/>
                <w:bCs/>
                <w:sz w:val="21"/>
                <w:szCs w:val="21"/>
              </w:rPr>
            </w:pPr>
            <w:r>
              <w:rPr>
                <w:rFonts w:hint="eastAsia" w:asciiTheme="minorEastAsia" w:hAnsiTheme="minorEastAsia" w:eastAsiaTheme="minorEastAsia"/>
                <w:bCs/>
                <w:sz w:val="21"/>
                <w:szCs w:val="21"/>
              </w:rPr>
              <w:t>防治污水处理系统出现故障，调节池处设置浮桥，事故状态下打开浮桥，扩大调节池容积，收集产生污水，待污水处理系统维修好进行处理，如处理系统出现故常维修时间过长，容积扩大后的调节池容纳不下产生的污水，将拉运至附近乡镇污水处理厂进行处理。</w:t>
            </w:r>
          </w:p>
        </w:tc>
      </w:tr>
    </w:tbl>
    <w:p>
      <w:pPr>
        <w:pStyle w:val="4"/>
      </w:pPr>
      <w:r>
        <w:rPr>
          <w:rFonts w:hint="eastAsia"/>
        </w:rPr>
        <w:t xml:space="preserve">2.1.4 </w:t>
      </w:r>
      <w:r>
        <w:t>处理工艺及生产设备</w:t>
      </w:r>
    </w:p>
    <w:p>
      <w:pPr>
        <w:pStyle w:val="5"/>
      </w:pPr>
      <w:r>
        <w:rPr>
          <w:rFonts w:hint="eastAsia"/>
        </w:rPr>
        <w:t>2.1.4.1 主要</w:t>
      </w:r>
      <w:r>
        <w:t>处理工艺</w:t>
      </w:r>
    </w:p>
    <w:p>
      <w:pPr>
        <w:ind w:firstLine="480"/>
      </w:pPr>
      <w:r>
        <w:t>本工程污水处理方案采用一体化多级生物接触氧化处理系统</w:t>
      </w:r>
      <w:r>
        <w:rPr>
          <w:rFonts w:hint="eastAsia"/>
        </w:rPr>
        <w:t>，工艺流程</w:t>
      </w:r>
      <w:r>
        <w:t>为：</w:t>
      </w:r>
    </w:p>
    <w:p>
      <w:pPr>
        <w:ind w:firstLine="480"/>
      </w:pPr>
      <w:r>
        <w:t>生活污水→格栅+</w:t>
      </w:r>
      <w:r>
        <w:rPr>
          <w:rFonts w:hint="eastAsia"/>
        </w:rPr>
        <w:t>综合</w:t>
      </w:r>
      <w:r>
        <w:t>池→</w:t>
      </w:r>
      <w:r>
        <w:rPr>
          <w:rFonts w:hint="eastAsia"/>
        </w:rPr>
        <w:t>PFBP</w:t>
      </w:r>
      <w:r>
        <w:t>多级接触氧化处理设备→过滤+紫外线消毒→达标排放</w:t>
      </w:r>
    </w:p>
    <w:p>
      <w:pPr>
        <w:pStyle w:val="7"/>
        <w:spacing w:before="142" w:line="369" w:lineRule="auto"/>
        <w:ind w:left="220" w:right="263" w:firstLine="400"/>
      </w:pPr>
      <w:r>
        <w:rPr>
          <w:sz w:val="20"/>
          <w:lang w:val="en-US" w:bidi="ar-SA"/>
        </w:rPr>
        <w:drawing>
          <wp:inline distT="0" distB="0" distL="0" distR="0">
            <wp:extent cx="5273675" cy="2263140"/>
            <wp:effectExtent l="0" t="0" r="3175" b="3810"/>
            <wp:docPr id="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2.jpeg"/>
                    <pic:cNvPicPr>
                      <a:picLocks noChangeAspect="1"/>
                    </pic:cNvPicPr>
                  </pic:nvPicPr>
                  <pic:blipFill>
                    <a:blip r:embed="rId24" cstate="print"/>
                    <a:stretch>
                      <a:fillRect/>
                    </a:stretch>
                  </pic:blipFill>
                  <pic:spPr>
                    <a:xfrm>
                      <a:off x="0" y="0"/>
                      <a:ext cx="5279309" cy="2265392"/>
                    </a:xfrm>
                    <a:prstGeom prst="rect">
                      <a:avLst/>
                    </a:prstGeom>
                  </pic:spPr>
                </pic:pic>
              </a:graphicData>
            </a:graphic>
          </wp:inline>
        </w:drawing>
      </w:r>
    </w:p>
    <w:p>
      <w:pPr>
        <w:pStyle w:val="5"/>
      </w:pPr>
      <w:r>
        <w:rPr>
          <w:rFonts w:hint="eastAsia"/>
        </w:rPr>
        <w:t>2.1.4.2主要</w:t>
      </w:r>
      <w:r>
        <w:t>生产设备</w:t>
      </w:r>
    </w:p>
    <w:p>
      <w:pPr>
        <w:ind w:firstLine="480"/>
      </w:pPr>
      <w:r>
        <w:t>工程主要设备见表</w:t>
      </w:r>
      <w:r>
        <w:rPr>
          <w:rFonts w:hint="eastAsia"/>
        </w:rPr>
        <w:t>2.1-2。</w:t>
      </w:r>
    </w:p>
    <w:p>
      <w:pPr>
        <w:ind w:firstLine="422"/>
        <w:jc w:val="center"/>
        <w:rPr>
          <w:b/>
          <w:bCs/>
          <w:sz w:val="21"/>
          <w:szCs w:val="21"/>
        </w:rPr>
      </w:pPr>
      <w:r>
        <w:rPr>
          <w:rFonts w:hint="eastAsia"/>
          <w:b/>
          <w:bCs/>
          <w:sz w:val="21"/>
          <w:szCs w:val="21"/>
        </w:rPr>
        <w:t xml:space="preserve">表2.1-2 </w:t>
      </w:r>
      <w:r>
        <w:rPr>
          <w:b/>
          <w:bCs/>
          <w:sz w:val="21"/>
          <w:szCs w:val="21"/>
        </w:rPr>
        <w:t>污水站主要设备一览表</w:t>
      </w:r>
    </w:p>
    <w:tbl>
      <w:tblPr>
        <w:tblStyle w:val="17"/>
        <w:tblW w:w="5093" w:type="pct"/>
        <w:tblInd w:w="-17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312"/>
        <w:gridCol w:w="1595"/>
        <w:gridCol w:w="1003"/>
        <w:gridCol w:w="725"/>
        <w:gridCol w:w="41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blHeader/>
        </w:trPr>
        <w:tc>
          <w:tcPr>
            <w:tcW w:w="441" w:type="pct"/>
            <w:vAlign w:val="center"/>
          </w:tcPr>
          <w:p>
            <w:pPr>
              <w:widowControl/>
              <w:spacing w:line="276" w:lineRule="auto"/>
              <w:ind w:firstLine="0" w:firstLineChars="0"/>
              <w:rPr>
                <w:rFonts w:asciiTheme="minorEastAsia" w:hAnsiTheme="minorEastAsia" w:eastAsiaTheme="minorEastAsia"/>
                <w:b/>
                <w:color w:val="000000"/>
                <w:sz w:val="21"/>
                <w:szCs w:val="21"/>
              </w:rPr>
            </w:pPr>
            <w:r>
              <w:rPr>
                <w:rFonts w:asciiTheme="minorEastAsia" w:hAnsiTheme="minorEastAsia" w:eastAsiaTheme="minorEastAsia"/>
                <w:b/>
                <w:color w:val="000000"/>
                <w:sz w:val="21"/>
                <w:szCs w:val="21"/>
              </w:rPr>
              <w:t>序</w:t>
            </w:r>
            <w:r>
              <w:rPr>
                <w:rFonts w:hint="eastAsia" w:asciiTheme="minorEastAsia" w:hAnsiTheme="minorEastAsia" w:eastAsiaTheme="minorEastAsia"/>
                <w:b/>
                <w:color w:val="000000"/>
                <w:sz w:val="21"/>
                <w:szCs w:val="21"/>
              </w:rPr>
              <w:t>号</w:t>
            </w:r>
          </w:p>
        </w:tc>
        <w:tc>
          <w:tcPr>
            <w:tcW w:w="680" w:type="pct"/>
            <w:vAlign w:val="center"/>
          </w:tcPr>
          <w:p>
            <w:pPr>
              <w:widowControl/>
              <w:spacing w:line="276" w:lineRule="auto"/>
              <w:ind w:firstLine="0" w:firstLineChars="0"/>
              <w:rPr>
                <w:rFonts w:asciiTheme="minorEastAsia" w:hAnsiTheme="minorEastAsia" w:eastAsiaTheme="minorEastAsia"/>
                <w:b/>
                <w:color w:val="000000"/>
                <w:sz w:val="21"/>
                <w:szCs w:val="21"/>
              </w:rPr>
            </w:pPr>
            <w:r>
              <w:rPr>
                <w:rFonts w:asciiTheme="minorEastAsia" w:hAnsiTheme="minorEastAsia" w:eastAsiaTheme="minorEastAsia"/>
                <w:b/>
                <w:color w:val="000000"/>
                <w:sz w:val="21"/>
                <w:szCs w:val="21"/>
              </w:rPr>
              <w:t>单体名称</w:t>
            </w:r>
          </w:p>
        </w:tc>
        <w:tc>
          <w:tcPr>
            <w:tcW w:w="827" w:type="pct"/>
            <w:vAlign w:val="center"/>
          </w:tcPr>
          <w:p>
            <w:pPr>
              <w:widowControl/>
              <w:spacing w:line="276" w:lineRule="auto"/>
              <w:ind w:firstLine="0" w:firstLineChars="0"/>
              <w:rPr>
                <w:rFonts w:asciiTheme="minorEastAsia" w:hAnsiTheme="minorEastAsia" w:eastAsiaTheme="minorEastAsia"/>
                <w:b/>
                <w:color w:val="000000"/>
                <w:sz w:val="21"/>
                <w:szCs w:val="21"/>
              </w:rPr>
            </w:pPr>
            <w:r>
              <w:rPr>
                <w:rFonts w:asciiTheme="minorEastAsia" w:hAnsiTheme="minorEastAsia" w:eastAsiaTheme="minorEastAsia"/>
                <w:b/>
                <w:color w:val="000000"/>
                <w:sz w:val="21"/>
                <w:szCs w:val="21"/>
              </w:rPr>
              <w:t>设备名称</w:t>
            </w:r>
          </w:p>
        </w:tc>
        <w:tc>
          <w:tcPr>
            <w:tcW w:w="520" w:type="pct"/>
            <w:vAlign w:val="center"/>
          </w:tcPr>
          <w:p>
            <w:pPr>
              <w:widowControl/>
              <w:spacing w:line="276" w:lineRule="auto"/>
              <w:ind w:firstLine="0" w:firstLineChars="0"/>
              <w:rPr>
                <w:rFonts w:asciiTheme="minorEastAsia" w:hAnsiTheme="minorEastAsia" w:eastAsiaTheme="minorEastAsia"/>
                <w:b/>
                <w:color w:val="000000"/>
                <w:sz w:val="21"/>
                <w:szCs w:val="21"/>
              </w:rPr>
            </w:pPr>
            <w:r>
              <w:rPr>
                <w:rFonts w:asciiTheme="minorEastAsia" w:hAnsiTheme="minorEastAsia" w:eastAsiaTheme="minorEastAsia"/>
                <w:b/>
                <w:color w:val="000000"/>
                <w:sz w:val="21"/>
                <w:szCs w:val="21"/>
              </w:rPr>
              <w:t>数量</w:t>
            </w:r>
          </w:p>
        </w:tc>
        <w:tc>
          <w:tcPr>
            <w:tcW w:w="376" w:type="pct"/>
            <w:vAlign w:val="center"/>
          </w:tcPr>
          <w:p>
            <w:pPr>
              <w:widowControl/>
              <w:spacing w:line="276" w:lineRule="auto"/>
              <w:ind w:firstLine="0" w:firstLineChars="0"/>
              <w:rPr>
                <w:rFonts w:asciiTheme="minorEastAsia" w:hAnsiTheme="minorEastAsia" w:eastAsiaTheme="minorEastAsia"/>
                <w:b/>
                <w:color w:val="000000"/>
                <w:sz w:val="21"/>
                <w:szCs w:val="21"/>
              </w:rPr>
            </w:pPr>
            <w:r>
              <w:rPr>
                <w:rFonts w:asciiTheme="minorEastAsia" w:hAnsiTheme="minorEastAsia" w:eastAsiaTheme="minorEastAsia"/>
                <w:b/>
                <w:color w:val="000000"/>
                <w:sz w:val="21"/>
                <w:szCs w:val="21"/>
              </w:rPr>
              <w:t>单位</w:t>
            </w:r>
          </w:p>
        </w:tc>
        <w:tc>
          <w:tcPr>
            <w:tcW w:w="2155" w:type="pct"/>
            <w:vAlign w:val="center"/>
          </w:tcPr>
          <w:p>
            <w:pPr>
              <w:widowControl/>
              <w:spacing w:line="276" w:lineRule="auto"/>
              <w:ind w:firstLine="0" w:firstLineChars="0"/>
              <w:rPr>
                <w:rFonts w:asciiTheme="minorEastAsia" w:hAnsiTheme="minorEastAsia" w:eastAsiaTheme="minorEastAsia"/>
                <w:b/>
                <w:color w:val="000000"/>
                <w:sz w:val="21"/>
                <w:szCs w:val="21"/>
              </w:rPr>
            </w:pPr>
            <w:r>
              <w:rPr>
                <w:rFonts w:asciiTheme="minorEastAsia" w:hAnsiTheme="minorEastAsia" w:eastAsiaTheme="minorEastAsia"/>
                <w:b/>
                <w:color w:val="000000"/>
                <w:sz w:val="21"/>
                <w:szCs w:val="21"/>
              </w:rPr>
              <w:t>主要参数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restart"/>
            <w:vAlign w:val="center"/>
          </w:tcPr>
          <w:p>
            <w:pPr>
              <w:spacing w:line="276" w:lineRule="auto"/>
              <w:ind w:firstLine="0" w:firstLineChars="0"/>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680" w:type="pct"/>
            <w:vMerge w:val="restar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格栅池</w:t>
            </w:r>
            <w:r>
              <w:rPr>
                <w:rFonts w:asciiTheme="minorEastAsia" w:hAnsiTheme="minorEastAsia" w:eastAsiaTheme="minorEastAsia"/>
                <w:color w:val="000000"/>
                <w:sz w:val="21"/>
                <w:szCs w:val="21"/>
              </w:rPr>
              <w:cr/>
            </w:r>
            <w:r>
              <w:rPr>
                <w:rFonts w:asciiTheme="minorEastAsia" w:hAnsiTheme="minorEastAsia" w:eastAsiaTheme="minorEastAsia"/>
                <w:color w:val="000000"/>
                <w:sz w:val="21"/>
                <w:szCs w:val="21"/>
              </w:rPr>
              <w:t>调节池/污泥池</w:t>
            </w: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综合</w:t>
            </w:r>
            <w:r>
              <w:rPr>
                <w:rFonts w:asciiTheme="minorEastAsia" w:hAnsiTheme="minorEastAsia" w:eastAsiaTheme="minorEastAsia"/>
                <w:color w:val="000000"/>
                <w:sz w:val="21"/>
                <w:szCs w:val="21"/>
              </w:rPr>
              <w:t>池</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台</w:t>
            </w:r>
          </w:p>
        </w:tc>
        <w:tc>
          <w:tcPr>
            <w:tcW w:w="2155"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snapToGrid w:val="0"/>
                <w:sz w:val="21"/>
                <w:szCs w:val="21"/>
              </w:rPr>
              <w:t>Φ</w:t>
            </w:r>
            <w:r>
              <w:rPr>
                <w:rFonts w:hint="eastAsia" w:asciiTheme="minorEastAsia" w:hAnsiTheme="minorEastAsia" w:eastAsiaTheme="minorEastAsia"/>
                <w:snapToGrid w:val="0"/>
                <w:sz w:val="21"/>
                <w:szCs w:val="21"/>
              </w:rPr>
              <w:t>26</w:t>
            </w:r>
            <w:r>
              <w:rPr>
                <w:rFonts w:asciiTheme="minorEastAsia" w:hAnsiTheme="minorEastAsia" w:eastAsiaTheme="minorEastAsia"/>
                <w:snapToGrid w:val="0"/>
                <w:sz w:val="21"/>
                <w:szCs w:val="21"/>
              </w:rPr>
              <w:t>00×</w:t>
            </w:r>
            <w:r>
              <w:rPr>
                <w:rFonts w:hint="eastAsia" w:asciiTheme="minorEastAsia" w:hAnsiTheme="minorEastAsia" w:eastAsiaTheme="minorEastAsia"/>
                <w:snapToGrid w:val="0"/>
                <w:sz w:val="21"/>
                <w:szCs w:val="21"/>
              </w:rPr>
              <w:t>126</w:t>
            </w:r>
            <w:r>
              <w:rPr>
                <w:rFonts w:asciiTheme="minorEastAsia" w:hAnsiTheme="minorEastAsia" w:eastAsiaTheme="minorEastAsia"/>
                <w:snapToGrid w:val="0"/>
                <w:sz w:val="21"/>
                <w:szCs w:val="21"/>
              </w:rPr>
              <w:t>00mm，机械缠绕玻璃钢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441" w:type="pct"/>
            <w:vMerge w:val="continue"/>
            <w:vAlign w:val="center"/>
          </w:tcPr>
          <w:p>
            <w:pPr>
              <w:spacing w:line="276" w:lineRule="auto"/>
              <w:ind w:firstLine="420"/>
              <w:jc w:val="center"/>
              <w:rPr>
                <w:rFonts w:asciiTheme="minorEastAsia" w:hAnsiTheme="minorEastAsia" w:eastAsiaTheme="minorEastAsia"/>
                <w:color w:val="000000"/>
                <w:sz w:val="21"/>
                <w:szCs w:val="21"/>
              </w:rPr>
            </w:pPr>
          </w:p>
        </w:tc>
        <w:tc>
          <w:tcPr>
            <w:tcW w:w="680" w:type="pct"/>
            <w:vMerge w:val="continue"/>
            <w:vAlign w:val="center"/>
          </w:tcPr>
          <w:p>
            <w:pPr>
              <w:widowControl/>
              <w:spacing w:line="276" w:lineRule="auto"/>
              <w:ind w:firstLine="420"/>
              <w:jc w:val="both"/>
              <w:rPr>
                <w:rFonts w:asciiTheme="minorEastAsia" w:hAnsiTheme="minorEastAsia" w:eastAsiaTheme="minorEastAsia"/>
                <w:color w:val="000000"/>
                <w:sz w:val="21"/>
                <w:szCs w:val="21"/>
              </w:rPr>
            </w:pP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人工</w:t>
            </w:r>
            <w:r>
              <w:rPr>
                <w:rFonts w:asciiTheme="minorEastAsia" w:hAnsiTheme="minorEastAsia" w:eastAsiaTheme="minorEastAsia"/>
                <w:color w:val="000000"/>
                <w:sz w:val="21"/>
                <w:szCs w:val="21"/>
              </w:rPr>
              <w:t>格栅</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台</w:t>
            </w:r>
          </w:p>
        </w:tc>
        <w:tc>
          <w:tcPr>
            <w:tcW w:w="2155" w:type="pct"/>
            <w:vAlign w:val="center"/>
          </w:tcPr>
          <w:p>
            <w:pPr>
              <w:spacing w:line="276" w:lineRule="auto"/>
              <w:ind w:firstLine="0" w:firstLineChars="0"/>
              <w:jc w:val="both"/>
              <w:rPr>
                <w:rFonts w:asciiTheme="minorEastAsia" w:hAnsiTheme="minorEastAsia" w:eastAsiaTheme="minorEastAsia"/>
                <w:color w:val="000000"/>
                <w:sz w:val="21"/>
                <w:szCs w:val="21"/>
              </w:rPr>
            </w:pPr>
            <w:r>
              <w:rPr>
                <w:rFonts w:hint="eastAsia" w:asciiTheme="minorEastAsia" w:hAnsiTheme="minorEastAsia" w:eastAsiaTheme="minorEastAsia"/>
                <w:snapToGrid w:val="0"/>
                <w:sz w:val="21"/>
                <w:szCs w:val="21"/>
              </w:rPr>
              <w:t>栅条采用Φ6mm圆钢制作，栅条间隙10mm，格栅缝隙面积: 0.33m</w:t>
            </w:r>
            <w:r>
              <w:rPr>
                <w:rFonts w:hint="eastAsia" w:asciiTheme="minorEastAsia" w:hAnsiTheme="minorEastAsia" w:eastAsiaTheme="minorEastAsia"/>
                <w:snapToGrid w:val="0"/>
                <w:sz w:val="21"/>
                <w:szCs w:val="21"/>
                <w:vertAlign w:val="superscript"/>
              </w:rPr>
              <w:t>2</w:t>
            </w:r>
            <w:r>
              <w:rPr>
                <w:rFonts w:hint="eastAsia" w:asciiTheme="minorEastAsia" w:hAnsiTheme="minorEastAsia" w:eastAsiaTheme="minorEastAsia"/>
                <w:snapToGrid w:val="0"/>
                <w:sz w:val="21"/>
                <w:szCs w:val="21"/>
              </w:rPr>
              <w:t>。格栅宽度800×1200mm。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continue"/>
            <w:vAlign w:val="center"/>
          </w:tcPr>
          <w:p>
            <w:pPr>
              <w:widowControl/>
              <w:spacing w:line="276" w:lineRule="auto"/>
              <w:ind w:firstLine="420"/>
              <w:jc w:val="center"/>
              <w:rPr>
                <w:rFonts w:asciiTheme="minorEastAsia" w:hAnsiTheme="minorEastAsia" w:eastAsiaTheme="minorEastAsia"/>
                <w:color w:val="000000"/>
                <w:sz w:val="21"/>
                <w:szCs w:val="21"/>
              </w:rPr>
            </w:pPr>
          </w:p>
        </w:tc>
        <w:tc>
          <w:tcPr>
            <w:tcW w:w="680" w:type="pct"/>
            <w:vMerge w:val="continue"/>
            <w:vAlign w:val="center"/>
          </w:tcPr>
          <w:p>
            <w:pPr>
              <w:widowControl/>
              <w:spacing w:line="276" w:lineRule="auto"/>
              <w:ind w:firstLine="420"/>
              <w:jc w:val="both"/>
              <w:rPr>
                <w:rFonts w:asciiTheme="minorEastAsia" w:hAnsiTheme="minorEastAsia" w:eastAsiaTheme="minorEastAsia"/>
                <w:color w:val="000000"/>
                <w:sz w:val="21"/>
                <w:szCs w:val="21"/>
              </w:rPr>
            </w:pP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提升泵</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台</w:t>
            </w:r>
          </w:p>
        </w:tc>
        <w:tc>
          <w:tcPr>
            <w:tcW w:w="2155"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Q=</w:t>
            </w:r>
            <w:r>
              <w:rPr>
                <w:rFonts w:hint="eastAsia" w:asciiTheme="minorEastAsia" w:hAnsiTheme="minorEastAsia" w:eastAsiaTheme="minorEastAsia"/>
                <w:color w:val="000000"/>
                <w:sz w:val="21"/>
                <w:szCs w:val="21"/>
              </w:rPr>
              <w:t>13.</w:t>
            </w:r>
            <w:r>
              <w:rPr>
                <w:rFonts w:asciiTheme="minorEastAsia" w:hAnsiTheme="minorEastAsia" w:eastAsiaTheme="minorEastAsia"/>
                <w:color w:val="000000"/>
                <w:sz w:val="21"/>
                <w:szCs w:val="21"/>
              </w:rPr>
              <w:t>5m³/h，H=8m，N=0.</w:t>
            </w:r>
            <w:r>
              <w:rPr>
                <w:rFonts w:hint="eastAsia" w:asciiTheme="minorEastAsia" w:hAnsiTheme="minorEastAsia" w:eastAsiaTheme="minorEastAsia"/>
                <w:color w:val="000000"/>
                <w:sz w:val="21"/>
                <w:szCs w:val="21"/>
              </w:rPr>
              <w:t>7</w:t>
            </w:r>
            <w:r>
              <w:rPr>
                <w:rFonts w:asciiTheme="minorEastAsia" w:hAnsiTheme="minorEastAsia" w:eastAsiaTheme="minorEastAsia"/>
                <w:color w:val="000000"/>
                <w:sz w:val="21"/>
                <w:szCs w:val="21"/>
              </w:rPr>
              <w:t>5KW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restart"/>
            <w:vAlign w:val="center"/>
          </w:tcPr>
          <w:p>
            <w:pPr>
              <w:widowControl/>
              <w:spacing w:line="276" w:lineRule="auto"/>
              <w:ind w:firstLine="0" w:firstLineChars="0"/>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p>
        </w:tc>
        <w:tc>
          <w:tcPr>
            <w:tcW w:w="680" w:type="pct"/>
            <w:vMerge w:val="restar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PFBP多级生物接触氧化反应器</w:t>
            </w: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缺氧池</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个</w:t>
            </w:r>
          </w:p>
        </w:tc>
        <w:tc>
          <w:tcPr>
            <w:tcW w:w="2155"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snapToGrid w:val="0"/>
                <w:sz w:val="21"/>
                <w:szCs w:val="21"/>
              </w:rPr>
              <w:t>Φ2</w:t>
            </w:r>
            <w:r>
              <w:rPr>
                <w:rFonts w:hint="eastAsia" w:asciiTheme="minorEastAsia" w:hAnsiTheme="minorEastAsia" w:eastAsiaTheme="minorEastAsia"/>
                <w:snapToGrid w:val="0"/>
                <w:sz w:val="21"/>
                <w:szCs w:val="21"/>
              </w:rPr>
              <w:t>6</w:t>
            </w:r>
            <w:r>
              <w:rPr>
                <w:rFonts w:asciiTheme="minorEastAsia" w:hAnsiTheme="minorEastAsia" w:eastAsiaTheme="minorEastAsia"/>
                <w:snapToGrid w:val="0"/>
                <w:sz w:val="21"/>
                <w:szCs w:val="21"/>
              </w:rPr>
              <w:t>00×3</w:t>
            </w:r>
            <w:r>
              <w:rPr>
                <w:rFonts w:hint="eastAsia" w:asciiTheme="minorEastAsia" w:hAnsiTheme="minorEastAsia" w:eastAsiaTheme="minorEastAsia"/>
                <w:snapToGrid w:val="0"/>
                <w:sz w:val="21"/>
                <w:szCs w:val="21"/>
              </w:rPr>
              <w:t>9</w:t>
            </w:r>
            <w:r>
              <w:rPr>
                <w:rFonts w:asciiTheme="minorEastAsia" w:hAnsiTheme="minorEastAsia" w:eastAsiaTheme="minorEastAsia"/>
                <w:snapToGrid w:val="0"/>
                <w:sz w:val="21"/>
                <w:szCs w:val="21"/>
              </w:rPr>
              <w:t>00mm，机械缠绕玻璃钢一次成型产品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continue"/>
            <w:vAlign w:val="center"/>
          </w:tcPr>
          <w:p>
            <w:pPr>
              <w:widowControl/>
              <w:spacing w:line="276" w:lineRule="auto"/>
              <w:ind w:firstLine="420"/>
              <w:jc w:val="center"/>
              <w:rPr>
                <w:rFonts w:asciiTheme="minorEastAsia" w:hAnsiTheme="minorEastAsia" w:eastAsiaTheme="minorEastAsia"/>
                <w:color w:val="000000"/>
                <w:sz w:val="21"/>
                <w:szCs w:val="21"/>
              </w:rPr>
            </w:pPr>
          </w:p>
        </w:tc>
        <w:tc>
          <w:tcPr>
            <w:tcW w:w="680" w:type="pct"/>
            <w:vMerge w:val="continue"/>
            <w:vAlign w:val="center"/>
          </w:tcPr>
          <w:p>
            <w:pPr>
              <w:widowControl/>
              <w:spacing w:line="276" w:lineRule="auto"/>
              <w:ind w:firstLine="420"/>
              <w:jc w:val="both"/>
              <w:rPr>
                <w:rFonts w:asciiTheme="minorEastAsia" w:hAnsiTheme="minorEastAsia" w:eastAsiaTheme="minorEastAsia"/>
                <w:color w:val="000000"/>
                <w:sz w:val="21"/>
                <w:szCs w:val="21"/>
              </w:rPr>
            </w:pP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好氧池</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3</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个</w:t>
            </w:r>
          </w:p>
        </w:tc>
        <w:tc>
          <w:tcPr>
            <w:tcW w:w="2155"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snapToGrid w:val="0"/>
                <w:sz w:val="21"/>
                <w:szCs w:val="21"/>
              </w:rPr>
              <w:t>Φ2</w:t>
            </w:r>
            <w:r>
              <w:rPr>
                <w:rFonts w:hint="eastAsia" w:asciiTheme="minorEastAsia" w:hAnsiTheme="minorEastAsia" w:eastAsiaTheme="minorEastAsia"/>
                <w:snapToGrid w:val="0"/>
                <w:sz w:val="21"/>
                <w:szCs w:val="21"/>
              </w:rPr>
              <w:t>6</w:t>
            </w:r>
            <w:r>
              <w:rPr>
                <w:rFonts w:asciiTheme="minorEastAsia" w:hAnsiTheme="minorEastAsia" w:eastAsiaTheme="minorEastAsia"/>
                <w:snapToGrid w:val="0"/>
                <w:sz w:val="21"/>
                <w:szCs w:val="21"/>
              </w:rPr>
              <w:t>00×3</w:t>
            </w:r>
            <w:r>
              <w:rPr>
                <w:rFonts w:hint="eastAsia" w:asciiTheme="minorEastAsia" w:hAnsiTheme="minorEastAsia" w:eastAsiaTheme="minorEastAsia"/>
                <w:snapToGrid w:val="0"/>
                <w:sz w:val="21"/>
                <w:szCs w:val="21"/>
              </w:rPr>
              <w:t>9</w:t>
            </w:r>
            <w:r>
              <w:rPr>
                <w:rFonts w:asciiTheme="minorEastAsia" w:hAnsiTheme="minorEastAsia" w:eastAsiaTheme="minorEastAsia"/>
                <w:snapToGrid w:val="0"/>
                <w:sz w:val="21"/>
                <w:szCs w:val="21"/>
              </w:rPr>
              <w:t>00mm，机械缠绕玻璃钢一次成型产品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continue"/>
            <w:vAlign w:val="center"/>
          </w:tcPr>
          <w:p>
            <w:pPr>
              <w:widowControl/>
              <w:spacing w:line="276" w:lineRule="auto"/>
              <w:ind w:firstLine="420"/>
              <w:jc w:val="center"/>
              <w:rPr>
                <w:rFonts w:asciiTheme="minorEastAsia" w:hAnsiTheme="minorEastAsia" w:eastAsiaTheme="minorEastAsia"/>
                <w:color w:val="000000"/>
                <w:sz w:val="21"/>
                <w:szCs w:val="21"/>
              </w:rPr>
            </w:pPr>
          </w:p>
        </w:tc>
        <w:tc>
          <w:tcPr>
            <w:tcW w:w="680" w:type="pct"/>
            <w:vMerge w:val="continue"/>
            <w:vAlign w:val="center"/>
          </w:tcPr>
          <w:p>
            <w:pPr>
              <w:widowControl/>
              <w:spacing w:line="276" w:lineRule="auto"/>
              <w:ind w:firstLine="420"/>
              <w:jc w:val="both"/>
              <w:rPr>
                <w:rFonts w:asciiTheme="minorEastAsia" w:hAnsiTheme="minorEastAsia" w:eastAsiaTheme="minorEastAsia"/>
                <w:color w:val="000000"/>
                <w:sz w:val="21"/>
                <w:szCs w:val="21"/>
              </w:rPr>
            </w:pP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沉淀池</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个</w:t>
            </w:r>
          </w:p>
        </w:tc>
        <w:tc>
          <w:tcPr>
            <w:tcW w:w="2155"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snapToGrid w:val="0"/>
                <w:sz w:val="21"/>
                <w:szCs w:val="21"/>
              </w:rPr>
              <w:t>Φ2</w:t>
            </w:r>
            <w:r>
              <w:rPr>
                <w:rFonts w:hint="eastAsia" w:asciiTheme="minorEastAsia" w:hAnsiTheme="minorEastAsia" w:eastAsiaTheme="minorEastAsia"/>
                <w:snapToGrid w:val="0"/>
                <w:sz w:val="21"/>
                <w:szCs w:val="21"/>
              </w:rPr>
              <w:t>6</w:t>
            </w:r>
            <w:r>
              <w:rPr>
                <w:rFonts w:asciiTheme="minorEastAsia" w:hAnsiTheme="minorEastAsia" w:eastAsiaTheme="minorEastAsia"/>
                <w:snapToGrid w:val="0"/>
                <w:sz w:val="21"/>
                <w:szCs w:val="21"/>
              </w:rPr>
              <w:t>00×3</w:t>
            </w:r>
            <w:r>
              <w:rPr>
                <w:rFonts w:hint="eastAsia" w:asciiTheme="minorEastAsia" w:hAnsiTheme="minorEastAsia" w:eastAsiaTheme="minorEastAsia"/>
                <w:snapToGrid w:val="0"/>
                <w:sz w:val="21"/>
                <w:szCs w:val="21"/>
              </w:rPr>
              <w:t>9</w:t>
            </w:r>
            <w:r>
              <w:rPr>
                <w:rFonts w:asciiTheme="minorEastAsia" w:hAnsiTheme="minorEastAsia" w:eastAsiaTheme="minorEastAsia"/>
                <w:snapToGrid w:val="0"/>
                <w:sz w:val="21"/>
                <w:szCs w:val="21"/>
              </w:rPr>
              <w:t>00mm，</w:t>
            </w:r>
            <w:r>
              <w:rPr>
                <w:rFonts w:asciiTheme="minorEastAsia" w:hAnsiTheme="minorEastAsia" w:eastAsiaTheme="minorEastAsia"/>
                <w:snapToGrid w:val="0"/>
                <w:sz w:val="21"/>
                <w:szCs w:val="21"/>
              </w:rPr>
              <w:cr/>
            </w:r>
            <w:r>
              <w:rPr>
                <w:rFonts w:asciiTheme="minorEastAsia" w:hAnsiTheme="minorEastAsia" w:eastAsiaTheme="minorEastAsia"/>
                <w:snapToGrid w:val="0"/>
                <w:sz w:val="21"/>
                <w:szCs w:val="21"/>
              </w:rPr>
              <w:t>械缠绕玻璃钢一次成型产品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continue"/>
            <w:vAlign w:val="center"/>
          </w:tcPr>
          <w:p>
            <w:pPr>
              <w:widowControl/>
              <w:spacing w:line="276" w:lineRule="auto"/>
              <w:ind w:firstLine="420"/>
              <w:jc w:val="center"/>
              <w:rPr>
                <w:rFonts w:asciiTheme="minorEastAsia" w:hAnsiTheme="minorEastAsia" w:eastAsiaTheme="minorEastAsia"/>
                <w:color w:val="000000"/>
                <w:sz w:val="21"/>
                <w:szCs w:val="21"/>
              </w:rPr>
            </w:pPr>
          </w:p>
        </w:tc>
        <w:tc>
          <w:tcPr>
            <w:tcW w:w="680" w:type="pct"/>
            <w:vMerge w:val="continue"/>
            <w:vAlign w:val="center"/>
          </w:tcPr>
          <w:p>
            <w:pPr>
              <w:widowControl/>
              <w:spacing w:line="276" w:lineRule="auto"/>
              <w:ind w:firstLine="420"/>
              <w:jc w:val="both"/>
              <w:rPr>
                <w:rFonts w:asciiTheme="minorEastAsia" w:hAnsiTheme="minorEastAsia" w:eastAsiaTheme="minorEastAsia"/>
                <w:color w:val="000000"/>
                <w:sz w:val="21"/>
                <w:szCs w:val="21"/>
              </w:rPr>
            </w:pP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三维螺旋生物绳填料</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套</w:t>
            </w:r>
          </w:p>
        </w:tc>
        <w:tc>
          <w:tcPr>
            <w:tcW w:w="2155" w:type="pct"/>
            <w:vAlign w:val="center"/>
          </w:tcPr>
          <w:p>
            <w:pPr>
              <w:adjustRightInd w:val="0"/>
              <w:snapToGrid w:val="0"/>
              <w:spacing w:line="276" w:lineRule="auto"/>
              <w:ind w:firstLine="0" w:firstLineChars="0"/>
              <w:jc w:val="both"/>
              <w:rPr>
                <w:rFonts w:asciiTheme="minorEastAsia" w:hAnsiTheme="minorEastAsia" w:eastAsiaTheme="minorEastAsia"/>
                <w:snapToGrid w:val="0"/>
                <w:sz w:val="21"/>
                <w:szCs w:val="21"/>
              </w:rPr>
            </w:pPr>
            <w:r>
              <w:rPr>
                <w:rFonts w:asciiTheme="minorEastAsia" w:hAnsiTheme="minorEastAsia" w:eastAsiaTheme="minorEastAsia"/>
                <w:snapToGrid w:val="0"/>
                <w:sz w:val="21"/>
                <w:szCs w:val="21"/>
              </w:rPr>
              <w:t>比表面积高达6000m</w:t>
            </w:r>
            <w:r>
              <w:rPr>
                <w:rFonts w:asciiTheme="minorEastAsia" w:hAnsiTheme="minorEastAsia" w:eastAsiaTheme="minorEastAsia"/>
                <w:snapToGrid w:val="0"/>
                <w:sz w:val="21"/>
                <w:szCs w:val="21"/>
                <w:vertAlign w:val="superscript"/>
              </w:rPr>
              <w:t>2</w:t>
            </w:r>
            <w:r>
              <w:rPr>
                <w:rFonts w:asciiTheme="minorEastAsia" w:hAnsiTheme="minorEastAsia" w:eastAsiaTheme="minorEastAsia"/>
                <w:snapToGrid w:val="0"/>
                <w:sz w:val="21"/>
                <w:szCs w:val="21"/>
              </w:rPr>
              <w:t>/m</w:t>
            </w:r>
            <w:r>
              <w:rPr>
                <w:rFonts w:asciiTheme="minorEastAsia" w:hAnsiTheme="minorEastAsia" w:eastAsiaTheme="minorEastAsia"/>
                <w:snapToGrid w:val="0"/>
                <w:sz w:val="21"/>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continue"/>
            <w:vAlign w:val="center"/>
          </w:tcPr>
          <w:p>
            <w:pPr>
              <w:widowControl/>
              <w:spacing w:line="276" w:lineRule="auto"/>
              <w:ind w:firstLine="420"/>
              <w:jc w:val="center"/>
              <w:rPr>
                <w:rFonts w:asciiTheme="minorEastAsia" w:hAnsiTheme="minorEastAsia" w:eastAsiaTheme="minorEastAsia"/>
                <w:color w:val="000000"/>
                <w:sz w:val="21"/>
                <w:szCs w:val="21"/>
              </w:rPr>
            </w:pPr>
          </w:p>
        </w:tc>
        <w:tc>
          <w:tcPr>
            <w:tcW w:w="680" w:type="pct"/>
            <w:vMerge w:val="continue"/>
            <w:vAlign w:val="center"/>
          </w:tcPr>
          <w:p>
            <w:pPr>
              <w:widowControl/>
              <w:spacing w:line="276" w:lineRule="auto"/>
              <w:ind w:firstLine="420"/>
              <w:jc w:val="both"/>
              <w:rPr>
                <w:rFonts w:asciiTheme="minorEastAsia" w:hAnsiTheme="minorEastAsia" w:eastAsiaTheme="minorEastAsia"/>
                <w:color w:val="000000"/>
                <w:sz w:val="21"/>
                <w:szCs w:val="21"/>
              </w:rPr>
            </w:pP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曝气风</w:t>
            </w:r>
            <w:r>
              <w:rPr>
                <w:rFonts w:hint="eastAsia" w:asciiTheme="minorEastAsia" w:hAnsiTheme="minorEastAsia" w:eastAsiaTheme="minorEastAsia"/>
                <w:color w:val="000000"/>
                <w:sz w:val="21"/>
                <w:szCs w:val="21"/>
              </w:rPr>
              <w:t>机</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台</w:t>
            </w:r>
          </w:p>
        </w:tc>
        <w:tc>
          <w:tcPr>
            <w:tcW w:w="2155"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snapToGrid w:val="0"/>
                <w:sz w:val="21"/>
                <w:szCs w:val="21"/>
              </w:rPr>
              <w:t>WRB</w:t>
            </w:r>
            <w:r>
              <w:rPr>
                <w:rFonts w:hint="eastAsia" w:asciiTheme="minorEastAsia" w:hAnsiTheme="minorEastAsia" w:eastAsiaTheme="minorEastAsia"/>
                <w:snapToGrid w:val="0"/>
                <w:sz w:val="21"/>
                <w:szCs w:val="21"/>
              </w:rPr>
              <w:t>5</w:t>
            </w:r>
            <w:r>
              <w:rPr>
                <w:rFonts w:asciiTheme="minorEastAsia" w:hAnsiTheme="minorEastAsia" w:eastAsiaTheme="minorEastAsia"/>
                <w:snapToGrid w:val="0"/>
                <w:sz w:val="21"/>
                <w:szCs w:val="21"/>
              </w:rPr>
              <w:t>20</w:t>
            </w:r>
            <w:r>
              <w:rPr>
                <w:rFonts w:hint="eastAsia" w:asciiTheme="minorEastAsia" w:hAnsiTheme="minorEastAsia" w:eastAsiaTheme="minorEastAsia"/>
                <w:snapToGrid w:val="0"/>
                <w:sz w:val="21"/>
                <w:szCs w:val="21"/>
              </w:rPr>
              <w:t>.2.2</w:t>
            </w:r>
            <w:r>
              <w:rPr>
                <w:rFonts w:asciiTheme="minorEastAsia" w:hAnsiTheme="minorEastAsia" w:eastAsiaTheme="minorEastAsia"/>
                <w:snapToGrid w:val="0"/>
                <w:sz w:val="21"/>
                <w:szCs w:val="21"/>
              </w:rPr>
              <w:t>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continue"/>
            <w:vAlign w:val="center"/>
          </w:tcPr>
          <w:p>
            <w:pPr>
              <w:widowControl/>
              <w:spacing w:line="276" w:lineRule="auto"/>
              <w:ind w:firstLine="420"/>
              <w:jc w:val="center"/>
              <w:rPr>
                <w:rFonts w:asciiTheme="minorEastAsia" w:hAnsiTheme="minorEastAsia" w:eastAsiaTheme="minorEastAsia"/>
                <w:color w:val="000000"/>
                <w:sz w:val="21"/>
                <w:szCs w:val="21"/>
              </w:rPr>
            </w:pPr>
          </w:p>
        </w:tc>
        <w:tc>
          <w:tcPr>
            <w:tcW w:w="680" w:type="pct"/>
            <w:vMerge w:val="continue"/>
            <w:vAlign w:val="center"/>
          </w:tcPr>
          <w:p>
            <w:pPr>
              <w:widowControl/>
              <w:spacing w:line="276" w:lineRule="auto"/>
              <w:ind w:firstLine="420"/>
              <w:jc w:val="both"/>
              <w:rPr>
                <w:rFonts w:asciiTheme="minorEastAsia" w:hAnsiTheme="minorEastAsia" w:eastAsiaTheme="minorEastAsia"/>
                <w:color w:val="000000"/>
                <w:sz w:val="21"/>
                <w:szCs w:val="21"/>
              </w:rPr>
            </w:pP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沉淀池</w:t>
            </w:r>
            <w:r>
              <w:rPr>
                <w:rFonts w:hint="eastAsia" w:asciiTheme="minorEastAsia" w:hAnsiTheme="minorEastAsia" w:eastAsiaTheme="minorEastAsia"/>
                <w:color w:val="000000"/>
                <w:sz w:val="21"/>
                <w:szCs w:val="21"/>
              </w:rPr>
              <w:t>污泥</w:t>
            </w:r>
            <w:r>
              <w:rPr>
                <w:rFonts w:asciiTheme="minorEastAsia" w:hAnsiTheme="minorEastAsia" w:eastAsiaTheme="minorEastAsia"/>
                <w:color w:val="000000"/>
                <w:sz w:val="21"/>
                <w:szCs w:val="21"/>
              </w:rPr>
              <w:t>泵</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台</w:t>
            </w:r>
          </w:p>
        </w:tc>
        <w:tc>
          <w:tcPr>
            <w:tcW w:w="2155"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Q=</w:t>
            </w:r>
            <w:r>
              <w:rPr>
                <w:rFonts w:hint="eastAsia" w:asciiTheme="minorEastAsia" w:hAnsiTheme="minorEastAsia" w:eastAsiaTheme="minorEastAsia"/>
                <w:color w:val="000000"/>
                <w:sz w:val="21"/>
                <w:szCs w:val="21"/>
              </w:rPr>
              <w:t>13.</w:t>
            </w:r>
            <w:r>
              <w:rPr>
                <w:rFonts w:asciiTheme="minorEastAsia" w:hAnsiTheme="minorEastAsia" w:eastAsiaTheme="minorEastAsia"/>
                <w:color w:val="000000"/>
                <w:sz w:val="21"/>
                <w:szCs w:val="21"/>
              </w:rPr>
              <w:t>5m³/h，H=8m ，N=0.</w:t>
            </w:r>
            <w:r>
              <w:rPr>
                <w:rFonts w:hint="eastAsia" w:asciiTheme="minorEastAsia" w:hAnsiTheme="minorEastAsia" w:eastAsiaTheme="minorEastAsia"/>
                <w:color w:val="000000"/>
                <w:sz w:val="21"/>
                <w:szCs w:val="21"/>
              </w:rPr>
              <w:t>7</w:t>
            </w:r>
            <w:r>
              <w:rPr>
                <w:rFonts w:asciiTheme="minorEastAsia" w:hAnsiTheme="minorEastAsia" w:eastAsiaTheme="minorEastAsia"/>
                <w:color w:val="000000"/>
                <w:sz w:val="21"/>
                <w:szCs w:val="21"/>
              </w:rPr>
              <w:t>5kW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continue"/>
            <w:vAlign w:val="center"/>
          </w:tcPr>
          <w:p>
            <w:pPr>
              <w:widowControl/>
              <w:spacing w:line="276" w:lineRule="auto"/>
              <w:ind w:firstLine="420"/>
              <w:jc w:val="center"/>
              <w:rPr>
                <w:rFonts w:asciiTheme="minorEastAsia" w:hAnsiTheme="minorEastAsia" w:eastAsiaTheme="minorEastAsia"/>
                <w:color w:val="000000"/>
                <w:sz w:val="21"/>
                <w:szCs w:val="21"/>
              </w:rPr>
            </w:pPr>
          </w:p>
        </w:tc>
        <w:tc>
          <w:tcPr>
            <w:tcW w:w="680" w:type="pct"/>
            <w:vMerge w:val="continue"/>
            <w:vAlign w:val="center"/>
          </w:tcPr>
          <w:p>
            <w:pPr>
              <w:widowControl/>
              <w:spacing w:line="276" w:lineRule="auto"/>
              <w:ind w:firstLine="420"/>
              <w:jc w:val="both"/>
              <w:rPr>
                <w:rFonts w:asciiTheme="minorEastAsia" w:hAnsiTheme="minorEastAsia" w:eastAsiaTheme="minorEastAsia"/>
                <w:color w:val="000000"/>
                <w:sz w:val="21"/>
                <w:szCs w:val="21"/>
              </w:rPr>
            </w:pP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防雨型</w:t>
            </w:r>
            <w:r>
              <w:rPr>
                <w:rFonts w:hint="eastAsia" w:asciiTheme="minorEastAsia" w:hAnsiTheme="minorEastAsia" w:eastAsiaTheme="minorEastAsia"/>
                <w:color w:val="000000"/>
                <w:sz w:val="21"/>
                <w:szCs w:val="21"/>
              </w:rPr>
              <w:t>全</w:t>
            </w:r>
            <w:r>
              <w:rPr>
                <w:rFonts w:asciiTheme="minorEastAsia" w:hAnsiTheme="minorEastAsia" w:eastAsiaTheme="minorEastAsia"/>
                <w:color w:val="000000"/>
                <w:sz w:val="21"/>
                <w:szCs w:val="21"/>
              </w:rPr>
              <w:t>自动控制柜</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台</w:t>
            </w:r>
          </w:p>
        </w:tc>
        <w:tc>
          <w:tcPr>
            <w:tcW w:w="2155"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restart"/>
            <w:vAlign w:val="center"/>
          </w:tcPr>
          <w:p>
            <w:pPr>
              <w:spacing w:line="276" w:lineRule="auto"/>
              <w:ind w:firstLine="0" w:firstLineChars="0"/>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3</w:t>
            </w:r>
          </w:p>
        </w:tc>
        <w:tc>
          <w:tcPr>
            <w:tcW w:w="680" w:type="pct"/>
            <w:vMerge w:val="restar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消毒系统</w:t>
            </w: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加药箱</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台</w:t>
            </w:r>
          </w:p>
        </w:tc>
        <w:tc>
          <w:tcPr>
            <w:tcW w:w="2155" w:type="pct"/>
            <w:vAlign w:val="center"/>
          </w:tcPr>
          <w:p>
            <w:pPr>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尺寸：</w:t>
            </w:r>
            <w:r>
              <w:rPr>
                <w:rFonts w:hint="eastAsia" w:asciiTheme="minorEastAsia" w:hAnsiTheme="minorEastAsia" w:eastAsiaTheme="minorEastAsia"/>
                <w:color w:val="000000"/>
                <w:sz w:val="21"/>
                <w:szCs w:val="21"/>
              </w:rPr>
              <w:t>WA-JY-1180×1150</w:t>
            </w:r>
            <w:r>
              <w:rPr>
                <w:rFonts w:asciiTheme="minorEastAsia" w:hAnsiTheme="minorEastAsia" w:eastAsiaTheme="minorEastAsia"/>
                <w:color w:val="000000"/>
                <w:sz w:val="21"/>
                <w:szCs w:val="21"/>
              </w:rPr>
              <w:t>,0.55 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continue"/>
            <w:vAlign w:val="center"/>
          </w:tcPr>
          <w:p>
            <w:pPr>
              <w:spacing w:line="276" w:lineRule="auto"/>
              <w:ind w:firstLine="420"/>
              <w:jc w:val="center"/>
              <w:rPr>
                <w:rFonts w:asciiTheme="minorEastAsia" w:hAnsiTheme="minorEastAsia" w:eastAsiaTheme="minorEastAsia"/>
                <w:color w:val="000000"/>
                <w:sz w:val="21"/>
                <w:szCs w:val="21"/>
              </w:rPr>
            </w:pPr>
          </w:p>
        </w:tc>
        <w:tc>
          <w:tcPr>
            <w:tcW w:w="680" w:type="pct"/>
            <w:vMerge w:val="continue"/>
            <w:vAlign w:val="center"/>
          </w:tcPr>
          <w:p>
            <w:pPr>
              <w:spacing w:line="276" w:lineRule="auto"/>
              <w:ind w:firstLine="420"/>
              <w:jc w:val="both"/>
              <w:rPr>
                <w:rFonts w:asciiTheme="minorEastAsia" w:hAnsiTheme="minorEastAsia" w:eastAsiaTheme="minorEastAsia"/>
                <w:color w:val="000000"/>
                <w:sz w:val="21"/>
                <w:szCs w:val="21"/>
              </w:rPr>
            </w:pPr>
          </w:p>
        </w:tc>
        <w:tc>
          <w:tcPr>
            <w:tcW w:w="827" w:type="pct"/>
            <w:vAlign w:val="center"/>
          </w:tcPr>
          <w:p>
            <w:pPr>
              <w:pStyle w:val="35"/>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砂缸过滤器</w:t>
            </w:r>
          </w:p>
        </w:tc>
        <w:tc>
          <w:tcPr>
            <w:tcW w:w="520" w:type="pct"/>
            <w:vAlign w:val="center"/>
          </w:tcPr>
          <w:p>
            <w:pPr>
              <w:pStyle w:val="35"/>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376" w:type="pct"/>
            <w:vAlign w:val="center"/>
          </w:tcPr>
          <w:p>
            <w:pPr>
              <w:pStyle w:val="35"/>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台</w:t>
            </w:r>
          </w:p>
        </w:tc>
        <w:tc>
          <w:tcPr>
            <w:tcW w:w="2155" w:type="pct"/>
            <w:vAlign w:val="center"/>
          </w:tcPr>
          <w:p>
            <w:pPr>
              <w:pStyle w:val="35"/>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尺寸：Φ</w:t>
            </w:r>
            <w:r>
              <w:rPr>
                <w:rFonts w:hint="eastAsia" w:asciiTheme="minorEastAsia" w:hAnsiTheme="minorEastAsia" w:eastAsiaTheme="minorEastAsia"/>
                <w:color w:val="000000"/>
                <w:sz w:val="21"/>
                <w:szCs w:val="21"/>
              </w:rPr>
              <w:t>9</w:t>
            </w:r>
            <w:r>
              <w:rPr>
                <w:rFonts w:asciiTheme="minorEastAsia" w:hAnsiTheme="minorEastAsia" w:eastAsiaTheme="minorEastAsia"/>
                <w:color w:val="000000"/>
                <w:sz w:val="21"/>
                <w:szCs w:val="21"/>
              </w:rPr>
              <w:t>00×1</w:t>
            </w:r>
            <w:r>
              <w:rPr>
                <w:rFonts w:hint="eastAsia" w:asciiTheme="minorEastAsia" w:hAnsiTheme="minorEastAsia" w:eastAsiaTheme="minorEastAsia"/>
                <w:color w:val="000000"/>
                <w:sz w:val="21"/>
                <w:szCs w:val="21"/>
              </w:rPr>
              <w:t>850mm</w:t>
            </w:r>
            <w:r>
              <w:rPr>
                <w:rFonts w:asciiTheme="minorEastAsia" w:hAnsiTheme="minorEastAsia" w:eastAsiaTheme="minorEastAsia"/>
                <w:color w:val="000000"/>
                <w:sz w:val="21"/>
                <w:szCs w:val="21"/>
              </w:rPr>
              <w:t>，玻璃钢材质罐体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continue"/>
            <w:vAlign w:val="center"/>
          </w:tcPr>
          <w:p>
            <w:pPr>
              <w:spacing w:line="276" w:lineRule="auto"/>
              <w:ind w:firstLine="420"/>
              <w:jc w:val="center"/>
              <w:rPr>
                <w:rFonts w:asciiTheme="minorEastAsia" w:hAnsiTheme="minorEastAsia" w:eastAsiaTheme="minorEastAsia"/>
                <w:color w:val="000000"/>
                <w:sz w:val="21"/>
                <w:szCs w:val="21"/>
              </w:rPr>
            </w:pPr>
          </w:p>
        </w:tc>
        <w:tc>
          <w:tcPr>
            <w:tcW w:w="680" w:type="pct"/>
            <w:vMerge w:val="continue"/>
            <w:vAlign w:val="center"/>
          </w:tcPr>
          <w:p>
            <w:pPr>
              <w:spacing w:line="276" w:lineRule="auto"/>
              <w:ind w:firstLine="420"/>
              <w:jc w:val="both"/>
              <w:rPr>
                <w:rFonts w:asciiTheme="minorEastAsia" w:hAnsiTheme="minorEastAsia" w:eastAsiaTheme="minorEastAsia"/>
                <w:color w:val="000000"/>
                <w:sz w:val="21"/>
                <w:szCs w:val="21"/>
              </w:rPr>
            </w:pP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过滤器提升泵</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2</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台</w:t>
            </w:r>
          </w:p>
        </w:tc>
        <w:tc>
          <w:tcPr>
            <w:tcW w:w="2155"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Q=</w:t>
            </w:r>
            <w:r>
              <w:rPr>
                <w:rFonts w:hint="eastAsia" w:asciiTheme="minorEastAsia" w:hAnsiTheme="minorEastAsia" w:eastAsiaTheme="minorEastAsia"/>
                <w:color w:val="000000"/>
                <w:sz w:val="21"/>
                <w:szCs w:val="21"/>
              </w:rPr>
              <w:t>10</w:t>
            </w:r>
            <w:r>
              <w:rPr>
                <w:rFonts w:asciiTheme="minorEastAsia" w:hAnsiTheme="minorEastAsia" w:eastAsiaTheme="minorEastAsia"/>
                <w:color w:val="000000"/>
                <w:sz w:val="21"/>
                <w:szCs w:val="21"/>
              </w:rPr>
              <w:t>m³/h，H=15m，N=</w:t>
            </w:r>
            <w:r>
              <w:rPr>
                <w:rFonts w:hint="eastAsia" w:asciiTheme="minorEastAsia" w:hAnsiTheme="minorEastAsia" w:eastAsiaTheme="minorEastAsia"/>
                <w:color w:val="000000"/>
                <w:sz w:val="21"/>
                <w:szCs w:val="21"/>
              </w:rPr>
              <w:t>1.1</w:t>
            </w:r>
            <w:r>
              <w:rPr>
                <w:rFonts w:asciiTheme="minorEastAsia" w:hAnsiTheme="minorEastAsia" w:eastAsiaTheme="minorEastAsia"/>
                <w:color w:val="000000"/>
                <w:sz w:val="21"/>
                <w:szCs w:val="21"/>
              </w:rPr>
              <w:t>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continue"/>
            <w:vAlign w:val="center"/>
          </w:tcPr>
          <w:p>
            <w:pPr>
              <w:spacing w:line="276" w:lineRule="auto"/>
              <w:ind w:firstLine="420"/>
              <w:jc w:val="center"/>
              <w:rPr>
                <w:rFonts w:asciiTheme="minorEastAsia" w:hAnsiTheme="minorEastAsia" w:eastAsiaTheme="minorEastAsia"/>
                <w:color w:val="000000"/>
                <w:sz w:val="21"/>
                <w:szCs w:val="21"/>
              </w:rPr>
            </w:pPr>
          </w:p>
        </w:tc>
        <w:tc>
          <w:tcPr>
            <w:tcW w:w="680" w:type="pct"/>
            <w:vMerge w:val="continue"/>
            <w:vAlign w:val="center"/>
          </w:tcPr>
          <w:p>
            <w:pPr>
              <w:spacing w:line="276" w:lineRule="auto"/>
              <w:ind w:firstLine="420"/>
              <w:jc w:val="both"/>
              <w:rPr>
                <w:rFonts w:asciiTheme="minorEastAsia" w:hAnsiTheme="minorEastAsia" w:eastAsiaTheme="minorEastAsia"/>
                <w:color w:val="000000"/>
                <w:sz w:val="21"/>
                <w:szCs w:val="21"/>
              </w:rPr>
            </w:pP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紫外消毒器</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台</w:t>
            </w:r>
          </w:p>
        </w:tc>
        <w:tc>
          <w:tcPr>
            <w:tcW w:w="2155"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N=0.</w:t>
            </w:r>
            <w:r>
              <w:rPr>
                <w:rFonts w:hint="eastAsia" w:asciiTheme="minorEastAsia" w:hAnsiTheme="minorEastAsia" w:eastAsiaTheme="minorEastAsia"/>
                <w:color w:val="000000"/>
                <w:sz w:val="21"/>
                <w:szCs w:val="21"/>
              </w:rPr>
              <w:t>3</w:t>
            </w:r>
            <w:r>
              <w:rPr>
                <w:rFonts w:asciiTheme="minorEastAsia" w:hAnsiTheme="minorEastAsia" w:eastAsiaTheme="minorEastAsia"/>
                <w:color w:val="000000"/>
                <w:sz w:val="21"/>
                <w:szCs w:val="21"/>
              </w:rPr>
              <w:t>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Merge w:val="continue"/>
            <w:vAlign w:val="center"/>
          </w:tcPr>
          <w:p>
            <w:pPr>
              <w:widowControl/>
              <w:spacing w:line="276" w:lineRule="auto"/>
              <w:ind w:firstLine="420"/>
              <w:jc w:val="center"/>
              <w:rPr>
                <w:rFonts w:asciiTheme="minorEastAsia" w:hAnsiTheme="minorEastAsia" w:eastAsiaTheme="minorEastAsia"/>
                <w:color w:val="000000"/>
                <w:sz w:val="21"/>
                <w:szCs w:val="21"/>
              </w:rPr>
            </w:pPr>
          </w:p>
        </w:tc>
        <w:tc>
          <w:tcPr>
            <w:tcW w:w="680" w:type="pct"/>
            <w:vMerge w:val="continue"/>
            <w:vAlign w:val="center"/>
          </w:tcPr>
          <w:p>
            <w:pPr>
              <w:widowControl/>
              <w:spacing w:line="276" w:lineRule="auto"/>
              <w:ind w:firstLine="420"/>
              <w:jc w:val="both"/>
              <w:rPr>
                <w:rFonts w:asciiTheme="minorEastAsia" w:hAnsiTheme="minorEastAsia" w:eastAsiaTheme="minorEastAsia"/>
                <w:color w:val="000000"/>
                <w:sz w:val="21"/>
                <w:szCs w:val="21"/>
              </w:rPr>
            </w:pP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电磁式流量计</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台</w:t>
            </w:r>
          </w:p>
        </w:tc>
        <w:tc>
          <w:tcPr>
            <w:tcW w:w="2155" w:type="pct"/>
            <w:vAlign w:val="center"/>
          </w:tcPr>
          <w:p>
            <w:pPr>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snapToGrid w:val="0"/>
                <w:sz w:val="21"/>
                <w:szCs w:val="21"/>
              </w:rPr>
              <w:t>WA-LLJ-</w:t>
            </w:r>
            <w:r>
              <w:rPr>
                <w:rFonts w:hint="eastAsia" w:asciiTheme="minorEastAsia" w:hAnsiTheme="minorEastAsia" w:eastAsiaTheme="minorEastAsia"/>
                <w:snapToGrid w:val="0"/>
                <w:sz w:val="21"/>
                <w:szCs w:val="21"/>
              </w:rPr>
              <w:t>5</w:t>
            </w:r>
            <w:r>
              <w:rPr>
                <w:rFonts w:asciiTheme="minorEastAsia" w:hAnsiTheme="minorEastAsia" w:eastAsiaTheme="minorEastAsia"/>
                <w:snapToGrid w:val="0"/>
                <w:sz w:val="21"/>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41" w:type="pct"/>
            <w:vAlign w:val="center"/>
          </w:tcPr>
          <w:p>
            <w:pPr>
              <w:widowControl/>
              <w:spacing w:line="276" w:lineRule="auto"/>
              <w:ind w:firstLine="0" w:firstLineChars="0"/>
              <w:jc w:val="center"/>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w:t>
            </w:r>
          </w:p>
        </w:tc>
        <w:tc>
          <w:tcPr>
            <w:tcW w:w="68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污泥脱水</w:t>
            </w:r>
          </w:p>
        </w:tc>
        <w:tc>
          <w:tcPr>
            <w:tcW w:w="827"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移动式污泥脱水车</w:t>
            </w:r>
          </w:p>
        </w:tc>
        <w:tc>
          <w:tcPr>
            <w:tcW w:w="520"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w:t>
            </w:r>
          </w:p>
        </w:tc>
        <w:tc>
          <w:tcPr>
            <w:tcW w:w="376"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台</w:t>
            </w:r>
          </w:p>
        </w:tc>
        <w:tc>
          <w:tcPr>
            <w:tcW w:w="2155" w:type="pct"/>
            <w:vAlign w:val="center"/>
          </w:tcPr>
          <w:p>
            <w:pPr>
              <w:widowControl/>
              <w:spacing w:line="276" w:lineRule="auto"/>
              <w:ind w:firstLine="0" w:firstLineChars="0"/>
              <w:jc w:val="both"/>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合水县新建7站共用1台</w:t>
            </w:r>
          </w:p>
        </w:tc>
      </w:tr>
    </w:tbl>
    <w:p>
      <w:pPr>
        <w:pStyle w:val="5"/>
      </w:pPr>
      <w:r>
        <w:rPr>
          <w:rFonts w:hint="eastAsia"/>
        </w:rPr>
        <w:t>2.1.4.</w:t>
      </w:r>
      <w:r>
        <w:t>3</w:t>
      </w:r>
      <w:r>
        <w:rPr>
          <w:rFonts w:hint="eastAsia"/>
        </w:rPr>
        <w:t>设计水量</w:t>
      </w:r>
      <w:r>
        <w:t>、水质指标</w:t>
      </w:r>
    </w:p>
    <w:p>
      <w:pPr>
        <w:ind w:firstLine="0" w:firstLineChars="0"/>
      </w:pPr>
      <w:r>
        <w:rPr>
          <w:rFonts w:hint="eastAsia"/>
        </w:rPr>
        <w:t>（1）设计</w:t>
      </w:r>
      <w:r>
        <w:t>水量</w:t>
      </w:r>
    </w:p>
    <w:p>
      <w:pPr>
        <w:ind w:firstLine="480"/>
      </w:pPr>
      <w:r>
        <w:rPr>
          <w:rFonts w:hint="eastAsia"/>
        </w:rPr>
        <w:t>根据</w:t>
      </w:r>
      <w:r>
        <w:rPr>
          <w:rFonts w:hint="eastAsia"/>
          <w:color w:val="000000" w:themeColor="text1"/>
        </w:rPr>
        <w:t>《合水县何家畔镇何家畔村</w:t>
      </w:r>
      <w:r>
        <w:rPr>
          <w:color w:val="000000" w:themeColor="text1"/>
        </w:rPr>
        <w:t>截污</w:t>
      </w:r>
      <w:r>
        <w:rPr>
          <w:rFonts w:hint="eastAsia"/>
          <w:color w:val="000000" w:themeColor="text1"/>
        </w:rPr>
        <w:t>控源工程</w:t>
      </w:r>
      <w:r>
        <w:rPr>
          <w:color w:val="000000" w:themeColor="text1"/>
        </w:rPr>
        <w:t>可行性研究报告》</w:t>
      </w:r>
      <w:r>
        <w:rPr>
          <w:rFonts w:hint="eastAsia"/>
        </w:rPr>
        <w:t>，</w:t>
      </w:r>
      <w:r>
        <w:t>确定</w:t>
      </w:r>
      <w:r>
        <w:rPr>
          <w:rFonts w:hint="eastAsia"/>
        </w:rPr>
        <w:t>合水县何家畔村</w:t>
      </w:r>
      <w:r>
        <w:t>截污</w:t>
      </w:r>
      <w:r>
        <w:rPr>
          <w:rFonts w:hint="eastAsia"/>
        </w:rPr>
        <w:t>控源</w:t>
      </w:r>
      <w:r>
        <w:t>工程，</w:t>
      </w:r>
      <w:r>
        <w:rPr>
          <w:rFonts w:hint="eastAsia"/>
        </w:rPr>
        <w:t>处理量为20</w:t>
      </w:r>
      <w:r>
        <w:t>0m</w:t>
      </w:r>
      <w:r>
        <w:rPr>
          <w:vertAlign w:val="superscript"/>
        </w:rPr>
        <w:t>3</w:t>
      </w:r>
      <w:r>
        <w:t>/d。</w:t>
      </w:r>
    </w:p>
    <w:p>
      <w:pPr>
        <w:ind w:firstLine="0" w:firstLineChars="0"/>
      </w:pPr>
      <w:r>
        <w:rPr>
          <w:rFonts w:hint="eastAsia"/>
        </w:rPr>
        <w:t>（2）设计</w:t>
      </w:r>
      <w:r>
        <w:t>进水水质</w:t>
      </w:r>
    </w:p>
    <w:p>
      <w:pPr>
        <w:ind w:firstLine="480"/>
      </w:pPr>
      <w:r>
        <w:t>综合</w:t>
      </w:r>
      <w:r>
        <w:rPr>
          <w:rFonts w:hint="eastAsia"/>
        </w:rPr>
        <w:t>《给水排水设计手册》（第五册）建议典型的生活污水水质及《西北地区农村生活污水处理技术指南》作为本项目的设计进水水质取值依据</w:t>
      </w:r>
      <w:r>
        <w:t>，污水处理站进水水质指标见表2.1-</w:t>
      </w:r>
      <w:r>
        <w:rPr>
          <w:rFonts w:hint="eastAsia"/>
        </w:rPr>
        <w:t>3。</w:t>
      </w:r>
    </w:p>
    <w:p>
      <w:pPr>
        <w:ind w:firstLine="422"/>
        <w:jc w:val="center"/>
        <w:rPr>
          <w:b/>
          <w:bCs/>
          <w:sz w:val="21"/>
          <w:szCs w:val="21"/>
        </w:rPr>
      </w:pPr>
      <w:r>
        <w:rPr>
          <w:b/>
          <w:bCs/>
          <w:sz w:val="21"/>
          <w:szCs w:val="21"/>
        </w:rPr>
        <w:t>表 2.1--</w:t>
      </w:r>
      <w:r>
        <w:rPr>
          <w:rFonts w:hint="eastAsia"/>
          <w:b/>
          <w:bCs/>
          <w:sz w:val="21"/>
          <w:szCs w:val="21"/>
        </w:rPr>
        <w:t>3</w:t>
      </w:r>
      <w:r>
        <w:rPr>
          <w:b/>
          <w:bCs/>
          <w:sz w:val="21"/>
          <w:szCs w:val="21"/>
        </w:rPr>
        <w:t xml:space="preserve"> 进水水质指标</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71"/>
        <w:gridCol w:w="2571"/>
        <w:gridCol w:w="25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序号</w:t>
            </w:r>
          </w:p>
        </w:tc>
        <w:tc>
          <w:tcPr>
            <w:tcW w:w="2571" w:type="dxa"/>
            <w:vAlign w:val="center"/>
          </w:tcPr>
          <w:p>
            <w:pPr>
              <w:ind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名称</w:t>
            </w:r>
          </w:p>
        </w:tc>
        <w:tc>
          <w:tcPr>
            <w:tcW w:w="2571" w:type="dxa"/>
            <w:vAlign w:val="center"/>
          </w:tcPr>
          <w:p>
            <w:pPr>
              <w:ind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1</w:t>
            </w:r>
          </w:p>
        </w:tc>
        <w:tc>
          <w:tcPr>
            <w:tcW w:w="2571" w:type="dxa"/>
            <w:vAlign w:val="center"/>
          </w:tcPr>
          <w:p>
            <w:pPr>
              <w:ind w:firstLine="0" w:firstLineChars="0"/>
              <w:jc w:val="center"/>
              <w:rPr>
                <w:rFonts w:eastAsiaTheme="minorEastAsia"/>
                <w:szCs w:val="24"/>
              </w:rPr>
            </w:pPr>
            <w:r>
              <w:rPr>
                <w:rFonts w:eastAsiaTheme="minorEastAsia"/>
                <w:szCs w:val="24"/>
              </w:rPr>
              <w:t>CODcr</w:t>
            </w:r>
            <w:r>
              <w:rPr>
                <w:rFonts w:hint="eastAsia" w:eastAsiaTheme="minorEastAsia"/>
                <w:szCs w:val="24"/>
              </w:rPr>
              <w:t>（</w:t>
            </w:r>
            <w:r>
              <w:rPr>
                <w:rFonts w:eastAsiaTheme="minorEastAsia"/>
                <w:szCs w:val="24"/>
              </w:rPr>
              <w:t>mg/L</w:t>
            </w:r>
            <w:r>
              <w:rPr>
                <w:rFonts w:hint="eastAsia" w:eastAsiaTheme="minorEastAsia"/>
                <w:szCs w:val="24"/>
              </w:rPr>
              <w:t>）</w:t>
            </w:r>
          </w:p>
        </w:tc>
        <w:tc>
          <w:tcPr>
            <w:tcW w:w="2571" w:type="dxa"/>
            <w:vAlign w:val="center"/>
          </w:tcPr>
          <w:p>
            <w:pPr>
              <w:ind w:firstLine="0" w:firstLineChars="0"/>
              <w:jc w:val="center"/>
              <w:rPr>
                <w:rFonts w:eastAsiaTheme="minorEastAsia"/>
                <w:szCs w:val="24"/>
              </w:rPr>
            </w:pPr>
            <w:r>
              <w:rPr>
                <w:rFonts w:eastAsiaTheme="minorEastAsia"/>
                <w:szCs w:val="24"/>
              </w:rPr>
              <w:t xml:space="preserve">≤ </w:t>
            </w:r>
            <w:r>
              <w:rPr>
                <w:rFonts w:hint="eastAsia" w:eastAsiaTheme="minorEastAsia"/>
                <w:szCs w:val="24"/>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2</w:t>
            </w:r>
          </w:p>
        </w:tc>
        <w:tc>
          <w:tcPr>
            <w:tcW w:w="2571" w:type="dxa"/>
            <w:vAlign w:val="center"/>
          </w:tcPr>
          <w:p>
            <w:pPr>
              <w:ind w:firstLine="0" w:firstLineChars="0"/>
              <w:jc w:val="center"/>
              <w:rPr>
                <w:rFonts w:eastAsiaTheme="minorEastAsia"/>
                <w:szCs w:val="24"/>
              </w:rPr>
            </w:pPr>
            <w:r>
              <w:rPr>
                <w:rFonts w:eastAsiaTheme="minorEastAsia"/>
                <w:szCs w:val="24"/>
              </w:rPr>
              <w:t>BOD</w:t>
            </w:r>
            <w:r>
              <w:rPr>
                <w:rFonts w:eastAsiaTheme="minorEastAsia"/>
                <w:szCs w:val="24"/>
                <w:vertAlign w:val="subscript"/>
              </w:rPr>
              <w:t>5</w:t>
            </w:r>
            <w:r>
              <w:rPr>
                <w:rFonts w:hint="eastAsia" w:eastAsiaTheme="minorEastAsia"/>
                <w:szCs w:val="24"/>
              </w:rPr>
              <w:t>（</w:t>
            </w:r>
            <w:r>
              <w:rPr>
                <w:rFonts w:eastAsiaTheme="minorEastAsia"/>
                <w:szCs w:val="24"/>
              </w:rPr>
              <w:t>mg/L</w:t>
            </w:r>
            <w:r>
              <w:rPr>
                <w:rFonts w:hint="eastAsia" w:eastAsiaTheme="minorEastAsia"/>
                <w:szCs w:val="24"/>
              </w:rPr>
              <w:t>）</w:t>
            </w:r>
          </w:p>
        </w:tc>
        <w:tc>
          <w:tcPr>
            <w:tcW w:w="2571" w:type="dxa"/>
            <w:vAlign w:val="center"/>
          </w:tcPr>
          <w:p>
            <w:pPr>
              <w:ind w:firstLine="0" w:firstLineChars="0"/>
              <w:jc w:val="center"/>
              <w:rPr>
                <w:rFonts w:eastAsiaTheme="minorEastAsia"/>
                <w:szCs w:val="24"/>
              </w:rPr>
            </w:pPr>
            <w:r>
              <w:rPr>
                <w:rFonts w:eastAsiaTheme="minorEastAsia"/>
                <w:szCs w:val="24"/>
              </w:rPr>
              <w:t xml:space="preserve">≤ </w:t>
            </w:r>
            <w:r>
              <w:rPr>
                <w:rFonts w:hint="eastAsia" w:eastAsiaTheme="minorEastAsia"/>
                <w:szCs w:val="24"/>
              </w:rPr>
              <w:t>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3</w:t>
            </w:r>
          </w:p>
        </w:tc>
        <w:tc>
          <w:tcPr>
            <w:tcW w:w="2571" w:type="dxa"/>
            <w:vAlign w:val="center"/>
          </w:tcPr>
          <w:p>
            <w:pPr>
              <w:ind w:firstLine="0" w:firstLineChars="0"/>
              <w:jc w:val="center"/>
              <w:rPr>
                <w:rFonts w:eastAsiaTheme="minorEastAsia"/>
                <w:szCs w:val="24"/>
              </w:rPr>
            </w:pPr>
            <w:r>
              <w:rPr>
                <w:rFonts w:eastAsiaTheme="minorEastAsia"/>
                <w:szCs w:val="24"/>
              </w:rPr>
              <w:t>SS</w:t>
            </w:r>
            <w:r>
              <w:rPr>
                <w:rFonts w:hint="eastAsia" w:eastAsiaTheme="minorEastAsia"/>
                <w:szCs w:val="24"/>
              </w:rPr>
              <w:t>（</w:t>
            </w:r>
            <w:r>
              <w:rPr>
                <w:rFonts w:eastAsiaTheme="minorEastAsia"/>
                <w:szCs w:val="24"/>
              </w:rPr>
              <w:t>mg/L</w:t>
            </w:r>
            <w:r>
              <w:rPr>
                <w:rFonts w:hint="eastAsia" w:eastAsiaTheme="minorEastAsia"/>
                <w:szCs w:val="24"/>
              </w:rPr>
              <w:t>）</w:t>
            </w:r>
          </w:p>
        </w:tc>
        <w:tc>
          <w:tcPr>
            <w:tcW w:w="2571" w:type="dxa"/>
            <w:vAlign w:val="center"/>
          </w:tcPr>
          <w:p>
            <w:pPr>
              <w:ind w:firstLine="0" w:firstLineChars="0"/>
              <w:jc w:val="center"/>
              <w:rPr>
                <w:rFonts w:eastAsiaTheme="minorEastAsia"/>
                <w:szCs w:val="24"/>
              </w:rPr>
            </w:pPr>
            <w:r>
              <w:rPr>
                <w:rFonts w:eastAsiaTheme="minorEastAsia"/>
                <w:szCs w:val="24"/>
              </w:rPr>
              <w:t>≤</w:t>
            </w:r>
            <w:r>
              <w:rPr>
                <w:rFonts w:hint="eastAsia" w:eastAsiaTheme="minorEastAsia"/>
                <w:szCs w:val="24"/>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4</w:t>
            </w:r>
          </w:p>
        </w:tc>
        <w:tc>
          <w:tcPr>
            <w:tcW w:w="2571" w:type="dxa"/>
            <w:vAlign w:val="center"/>
          </w:tcPr>
          <w:p>
            <w:pPr>
              <w:ind w:firstLine="0" w:firstLineChars="0"/>
              <w:jc w:val="center"/>
              <w:rPr>
                <w:rFonts w:eastAsiaTheme="minorEastAsia"/>
                <w:szCs w:val="24"/>
              </w:rPr>
            </w:pPr>
            <w:r>
              <w:rPr>
                <w:rFonts w:eastAsiaTheme="minorEastAsia"/>
                <w:szCs w:val="24"/>
              </w:rPr>
              <w:t>NH</w:t>
            </w:r>
            <w:r>
              <w:rPr>
                <w:rFonts w:eastAsiaTheme="minorEastAsia"/>
                <w:szCs w:val="24"/>
                <w:vertAlign w:val="subscript"/>
              </w:rPr>
              <w:t>3</w:t>
            </w:r>
            <w:r>
              <w:rPr>
                <w:rFonts w:eastAsiaTheme="minorEastAsia"/>
                <w:szCs w:val="24"/>
              </w:rPr>
              <w:t>-N</w:t>
            </w:r>
            <w:r>
              <w:rPr>
                <w:rFonts w:hint="eastAsia" w:eastAsiaTheme="minorEastAsia"/>
                <w:szCs w:val="24"/>
              </w:rPr>
              <w:t>（</w:t>
            </w:r>
            <w:r>
              <w:rPr>
                <w:rFonts w:eastAsiaTheme="minorEastAsia"/>
                <w:szCs w:val="24"/>
              </w:rPr>
              <w:t>mg/L</w:t>
            </w:r>
            <w:r>
              <w:rPr>
                <w:rFonts w:hint="eastAsia" w:eastAsiaTheme="minorEastAsia"/>
                <w:szCs w:val="24"/>
              </w:rPr>
              <w:t>）</w:t>
            </w:r>
          </w:p>
        </w:tc>
        <w:tc>
          <w:tcPr>
            <w:tcW w:w="2571" w:type="dxa"/>
            <w:vAlign w:val="center"/>
          </w:tcPr>
          <w:p>
            <w:pPr>
              <w:ind w:firstLine="0" w:firstLineChars="0"/>
              <w:jc w:val="center"/>
              <w:rPr>
                <w:rFonts w:eastAsiaTheme="minorEastAsia"/>
                <w:szCs w:val="24"/>
              </w:rPr>
            </w:pPr>
            <w:r>
              <w:rPr>
                <w:rFonts w:eastAsiaTheme="minorEastAsia"/>
                <w:szCs w:val="24"/>
              </w:rPr>
              <w:t>≤</w:t>
            </w:r>
            <w:r>
              <w:rPr>
                <w:rFonts w:hint="eastAsia" w:eastAsiaTheme="minorEastAsia"/>
                <w:szCs w:val="24"/>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5</w:t>
            </w:r>
          </w:p>
        </w:tc>
        <w:tc>
          <w:tcPr>
            <w:tcW w:w="2571" w:type="dxa"/>
            <w:vAlign w:val="center"/>
          </w:tcPr>
          <w:p>
            <w:pPr>
              <w:ind w:firstLine="0" w:firstLineChars="0"/>
              <w:jc w:val="center"/>
              <w:rPr>
                <w:rFonts w:eastAsiaTheme="minorEastAsia"/>
                <w:szCs w:val="24"/>
              </w:rPr>
            </w:pPr>
            <w:r>
              <w:rPr>
                <w:rFonts w:eastAsiaTheme="minorEastAsia"/>
                <w:szCs w:val="24"/>
              </w:rPr>
              <w:t>TN</w:t>
            </w:r>
          </w:p>
        </w:tc>
        <w:tc>
          <w:tcPr>
            <w:tcW w:w="2571" w:type="dxa"/>
            <w:vAlign w:val="center"/>
          </w:tcPr>
          <w:p>
            <w:pPr>
              <w:ind w:firstLine="0" w:firstLineChars="0"/>
              <w:jc w:val="center"/>
              <w:rPr>
                <w:rFonts w:eastAsiaTheme="minorEastAsia"/>
                <w:szCs w:val="24"/>
              </w:rPr>
            </w:pPr>
            <w:r>
              <w:rPr>
                <w:rFonts w:eastAsiaTheme="minorEastAsia"/>
                <w:szCs w:val="24"/>
              </w:rPr>
              <w:t>≤</w:t>
            </w:r>
            <w:r>
              <w:rPr>
                <w:rFonts w:hint="eastAsia" w:eastAsiaTheme="minorEastAsia"/>
                <w:szCs w:val="24"/>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6</w:t>
            </w:r>
          </w:p>
        </w:tc>
        <w:tc>
          <w:tcPr>
            <w:tcW w:w="2571" w:type="dxa"/>
            <w:vAlign w:val="center"/>
          </w:tcPr>
          <w:p>
            <w:pPr>
              <w:ind w:firstLine="0" w:firstLineChars="0"/>
              <w:jc w:val="center"/>
              <w:rPr>
                <w:rFonts w:eastAsiaTheme="minorEastAsia"/>
                <w:szCs w:val="24"/>
              </w:rPr>
            </w:pPr>
            <w:r>
              <w:rPr>
                <w:rFonts w:eastAsiaTheme="minorEastAsia"/>
                <w:szCs w:val="24"/>
              </w:rPr>
              <w:t>TP</w:t>
            </w:r>
          </w:p>
        </w:tc>
        <w:tc>
          <w:tcPr>
            <w:tcW w:w="2571" w:type="dxa"/>
            <w:vAlign w:val="center"/>
          </w:tcPr>
          <w:p>
            <w:pPr>
              <w:ind w:firstLine="0" w:firstLineChars="0"/>
              <w:jc w:val="center"/>
              <w:rPr>
                <w:rFonts w:eastAsiaTheme="minorEastAsia"/>
                <w:szCs w:val="24"/>
              </w:rPr>
            </w:pPr>
            <w:r>
              <w:rPr>
                <w:rFonts w:eastAsiaTheme="minorEastAsia"/>
                <w:szCs w:val="24"/>
              </w:rPr>
              <w:t>≤</w:t>
            </w:r>
            <w:r>
              <w:rPr>
                <w:rFonts w:hint="eastAsia" w:eastAsiaTheme="minorEastAsia"/>
                <w:szCs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 w:hRule="atLeast"/>
          <w:jc w:val="center"/>
        </w:trPr>
        <w:tc>
          <w:tcPr>
            <w:tcW w:w="2571" w:type="dxa"/>
            <w:vAlign w:val="center"/>
          </w:tcPr>
          <w:p>
            <w:pPr>
              <w:ind w:firstLine="199" w:firstLineChars="83"/>
              <w:jc w:val="center"/>
              <w:rPr>
                <w:rFonts w:eastAsiaTheme="minorEastAsia"/>
                <w:szCs w:val="24"/>
              </w:rPr>
            </w:pPr>
            <w:r>
              <w:rPr>
                <w:rFonts w:hint="eastAsia" w:eastAsiaTheme="minorEastAsia"/>
                <w:szCs w:val="24"/>
              </w:rPr>
              <w:t>7</w:t>
            </w:r>
          </w:p>
        </w:tc>
        <w:tc>
          <w:tcPr>
            <w:tcW w:w="2571" w:type="dxa"/>
            <w:vAlign w:val="center"/>
          </w:tcPr>
          <w:p>
            <w:pPr>
              <w:ind w:firstLine="0" w:firstLineChars="0"/>
              <w:jc w:val="center"/>
              <w:rPr>
                <w:rFonts w:eastAsiaTheme="minorEastAsia"/>
                <w:szCs w:val="24"/>
              </w:rPr>
            </w:pPr>
            <w:r>
              <w:rPr>
                <w:rFonts w:eastAsiaTheme="minorEastAsia"/>
                <w:szCs w:val="24"/>
              </w:rPr>
              <w:t>pH</w:t>
            </w:r>
          </w:p>
        </w:tc>
        <w:tc>
          <w:tcPr>
            <w:tcW w:w="2571" w:type="dxa"/>
            <w:vAlign w:val="center"/>
          </w:tcPr>
          <w:p>
            <w:pPr>
              <w:ind w:firstLine="0" w:firstLineChars="0"/>
              <w:jc w:val="center"/>
              <w:rPr>
                <w:rFonts w:eastAsiaTheme="minorEastAsia"/>
                <w:szCs w:val="24"/>
              </w:rPr>
            </w:pPr>
            <w:r>
              <w:rPr>
                <w:rFonts w:eastAsiaTheme="minorEastAsia"/>
                <w:szCs w:val="24"/>
              </w:rPr>
              <w:t>6～9</w:t>
            </w:r>
          </w:p>
        </w:tc>
      </w:tr>
    </w:tbl>
    <w:p>
      <w:pPr>
        <w:ind w:firstLine="0" w:firstLineChars="0"/>
      </w:pPr>
      <w:r>
        <w:rPr>
          <w:rFonts w:hint="eastAsia"/>
        </w:rPr>
        <w:t>（</w:t>
      </w:r>
      <w:r>
        <w:t>3</w:t>
      </w:r>
      <w:r>
        <w:rPr>
          <w:rFonts w:hint="eastAsia"/>
        </w:rPr>
        <w:t>）设计出水</w:t>
      </w:r>
      <w:r>
        <w:t>水质</w:t>
      </w:r>
    </w:p>
    <w:p>
      <w:pPr>
        <w:ind w:firstLine="480"/>
      </w:pPr>
      <w:r>
        <w:t>根据</w:t>
      </w:r>
      <w:r>
        <w:rPr>
          <w:rFonts w:hint="eastAsia"/>
        </w:rPr>
        <w:t>何家畔村</w:t>
      </w:r>
      <w:r>
        <w:t>的具体情况，污水处理站出水</w:t>
      </w:r>
      <w:r>
        <w:rPr>
          <w:rFonts w:hint="eastAsia"/>
        </w:rPr>
        <w:t>排向附近的受纳水体，</w:t>
      </w:r>
      <w:r>
        <w:t>污水处理站出水水质按《城镇污水处理厂污染物排放标准》（GB18918-2002）表1中一级A标准执行。据此确定出水水质指标见表2.1-</w:t>
      </w:r>
      <w:r>
        <w:rPr>
          <w:rFonts w:hint="eastAsia"/>
        </w:rPr>
        <w:t>4。</w:t>
      </w:r>
    </w:p>
    <w:p>
      <w:pPr>
        <w:ind w:firstLine="422"/>
        <w:jc w:val="center"/>
        <w:rPr>
          <w:b/>
          <w:bCs/>
          <w:sz w:val="21"/>
          <w:szCs w:val="21"/>
        </w:rPr>
      </w:pPr>
      <w:r>
        <w:rPr>
          <w:b/>
          <w:bCs/>
          <w:sz w:val="21"/>
          <w:szCs w:val="21"/>
        </w:rPr>
        <w:t>表2.1--</w:t>
      </w:r>
      <w:r>
        <w:rPr>
          <w:rFonts w:hint="eastAsia"/>
          <w:b/>
          <w:bCs/>
          <w:sz w:val="21"/>
          <w:szCs w:val="21"/>
        </w:rPr>
        <w:t>4</w:t>
      </w:r>
      <w:r>
        <w:rPr>
          <w:b/>
          <w:bCs/>
          <w:sz w:val="21"/>
          <w:szCs w:val="21"/>
        </w:rPr>
        <w:t xml:space="preserve"> 出水水质指标</w:t>
      </w:r>
    </w:p>
    <w:p>
      <w:pPr>
        <w:pStyle w:val="7"/>
        <w:spacing w:before="11" w:after="1"/>
        <w:ind w:firstLine="140"/>
        <w:rPr>
          <w:sz w:val="7"/>
        </w:rPr>
      </w:pP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71"/>
        <w:gridCol w:w="2571"/>
        <w:gridCol w:w="25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序号</w:t>
            </w:r>
          </w:p>
        </w:tc>
        <w:tc>
          <w:tcPr>
            <w:tcW w:w="2571" w:type="dxa"/>
            <w:vAlign w:val="center"/>
          </w:tcPr>
          <w:p>
            <w:pPr>
              <w:ind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名称</w:t>
            </w:r>
          </w:p>
        </w:tc>
        <w:tc>
          <w:tcPr>
            <w:tcW w:w="2571" w:type="dxa"/>
            <w:vAlign w:val="center"/>
          </w:tcPr>
          <w:p>
            <w:pPr>
              <w:ind w:firstLine="0" w:firstLineChars="0"/>
              <w:jc w:val="center"/>
              <w:rPr>
                <w:rFonts w:asciiTheme="minorEastAsia" w:hAnsiTheme="minorEastAsia" w:eastAsiaTheme="minorEastAsia"/>
                <w:b/>
                <w:szCs w:val="24"/>
              </w:rPr>
            </w:pPr>
            <w:r>
              <w:rPr>
                <w:rFonts w:hint="eastAsia" w:asciiTheme="minorEastAsia" w:hAnsiTheme="minorEastAsia" w:eastAsiaTheme="minorEastAsia"/>
                <w:b/>
                <w:szCs w:val="24"/>
              </w:rPr>
              <w:t>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1</w:t>
            </w:r>
          </w:p>
        </w:tc>
        <w:tc>
          <w:tcPr>
            <w:tcW w:w="2571" w:type="dxa"/>
            <w:vAlign w:val="center"/>
          </w:tcPr>
          <w:p>
            <w:pPr>
              <w:ind w:firstLine="0" w:firstLineChars="0"/>
              <w:jc w:val="center"/>
              <w:rPr>
                <w:rFonts w:eastAsiaTheme="minorEastAsia"/>
                <w:szCs w:val="24"/>
              </w:rPr>
            </w:pPr>
            <w:r>
              <w:rPr>
                <w:rFonts w:eastAsiaTheme="minorEastAsia"/>
                <w:szCs w:val="24"/>
              </w:rPr>
              <w:t>CODcr</w:t>
            </w:r>
          </w:p>
        </w:tc>
        <w:tc>
          <w:tcPr>
            <w:tcW w:w="2571" w:type="dxa"/>
            <w:vAlign w:val="center"/>
          </w:tcPr>
          <w:p>
            <w:pPr>
              <w:ind w:firstLine="0" w:firstLineChars="0"/>
              <w:jc w:val="center"/>
              <w:rPr>
                <w:rFonts w:eastAsiaTheme="minorEastAsia"/>
                <w:szCs w:val="24"/>
              </w:rPr>
            </w:pPr>
            <w:r>
              <w:rPr>
                <w:rFonts w:eastAsiaTheme="minorEastAsia"/>
                <w:szCs w:val="24"/>
              </w:rPr>
              <w:t>≤ 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2</w:t>
            </w:r>
          </w:p>
        </w:tc>
        <w:tc>
          <w:tcPr>
            <w:tcW w:w="2571" w:type="dxa"/>
            <w:vAlign w:val="center"/>
          </w:tcPr>
          <w:p>
            <w:pPr>
              <w:ind w:firstLine="0" w:firstLineChars="0"/>
              <w:jc w:val="center"/>
              <w:rPr>
                <w:rFonts w:eastAsiaTheme="minorEastAsia"/>
                <w:szCs w:val="24"/>
              </w:rPr>
            </w:pPr>
            <w:r>
              <w:rPr>
                <w:rFonts w:eastAsiaTheme="minorEastAsia"/>
                <w:szCs w:val="24"/>
              </w:rPr>
              <w:t>BOD</w:t>
            </w:r>
            <w:r>
              <w:rPr>
                <w:rFonts w:eastAsiaTheme="minorEastAsia"/>
                <w:szCs w:val="24"/>
                <w:vertAlign w:val="subscript"/>
              </w:rPr>
              <w:t>5</w:t>
            </w:r>
          </w:p>
        </w:tc>
        <w:tc>
          <w:tcPr>
            <w:tcW w:w="2571" w:type="dxa"/>
            <w:vAlign w:val="center"/>
          </w:tcPr>
          <w:p>
            <w:pPr>
              <w:ind w:firstLine="0" w:firstLineChars="0"/>
              <w:jc w:val="center"/>
              <w:rPr>
                <w:rFonts w:eastAsiaTheme="minorEastAsia"/>
                <w:szCs w:val="24"/>
              </w:rPr>
            </w:pPr>
            <w:r>
              <w:rPr>
                <w:rFonts w:eastAsiaTheme="minorEastAsia"/>
                <w:szCs w:val="24"/>
              </w:rPr>
              <w:t>≤ 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3</w:t>
            </w:r>
          </w:p>
        </w:tc>
        <w:tc>
          <w:tcPr>
            <w:tcW w:w="2571" w:type="dxa"/>
            <w:vAlign w:val="center"/>
          </w:tcPr>
          <w:p>
            <w:pPr>
              <w:ind w:firstLine="0" w:firstLineChars="0"/>
              <w:jc w:val="center"/>
              <w:rPr>
                <w:rFonts w:eastAsiaTheme="minorEastAsia"/>
                <w:szCs w:val="24"/>
              </w:rPr>
            </w:pPr>
            <w:r>
              <w:rPr>
                <w:rFonts w:eastAsiaTheme="minorEastAsia"/>
                <w:szCs w:val="24"/>
              </w:rPr>
              <w:t>SS</w:t>
            </w:r>
          </w:p>
        </w:tc>
        <w:tc>
          <w:tcPr>
            <w:tcW w:w="2571" w:type="dxa"/>
            <w:vAlign w:val="center"/>
          </w:tcPr>
          <w:p>
            <w:pPr>
              <w:ind w:firstLine="0" w:firstLineChars="0"/>
              <w:jc w:val="center"/>
              <w:rPr>
                <w:rFonts w:eastAsiaTheme="minorEastAsia"/>
                <w:szCs w:val="24"/>
              </w:rPr>
            </w:pPr>
            <w:r>
              <w:rPr>
                <w:rFonts w:eastAsiaTheme="minorEastAsia"/>
                <w:szCs w:val="24"/>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4</w:t>
            </w:r>
          </w:p>
        </w:tc>
        <w:tc>
          <w:tcPr>
            <w:tcW w:w="2571" w:type="dxa"/>
            <w:vAlign w:val="center"/>
          </w:tcPr>
          <w:p>
            <w:pPr>
              <w:ind w:firstLine="0" w:firstLineChars="0"/>
              <w:jc w:val="center"/>
              <w:rPr>
                <w:rFonts w:eastAsiaTheme="minorEastAsia"/>
                <w:szCs w:val="24"/>
              </w:rPr>
            </w:pPr>
            <w:r>
              <w:rPr>
                <w:rFonts w:eastAsiaTheme="minorEastAsia"/>
                <w:szCs w:val="24"/>
              </w:rPr>
              <w:t>NH3-N</w:t>
            </w:r>
          </w:p>
        </w:tc>
        <w:tc>
          <w:tcPr>
            <w:tcW w:w="2571" w:type="dxa"/>
            <w:vAlign w:val="center"/>
          </w:tcPr>
          <w:p>
            <w:pPr>
              <w:ind w:firstLine="0" w:firstLineChars="0"/>
              <w:jc w:val="center"/>
              <w:rPr>
                <w:rFonts w:eastAsiaTheme="minorEastAsia"/>
                <w:szCs w:val="24"/>
              </w:rPr>
            </w:pPr>
            <w:r>
              <w:rPr>
                <w:rFonts w:eastAsiaTheme="minorEastAsia"/>
                <w:szCs w:val="24"/>
              </w:rPr>
              <w:t>≤5（8）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5</w:t>
            </w:r>
          </w:p>
        </w:tc>
        <w:tc>
          <w:tcPr>
            <w:tcW w:w="2571" w:type="dxa"/>
            <w:vAlign w:val="center"/>
          </w:tcPr>
          <w:p>
            <w:pPr>
              <w:ind w:firstLine="0" w:firstLineChars="0"/>
              <w:jc w:val="center"/>
              <w:rPr>
                <w:rFonts w:eastAsiaTheme="minorEastAsia"/>
                <w:szCs w:val="24"/>
              </w:rPr>
            </w:pPr>
            <w:r>
              <w:rPr>
                <w:rFonts w:eastAsiaTheme="minorEastAsia"/>
                <w:szCs w:val="24"/>
              </w:rPr>
              <w:t>TN</w:t>
            </w:r>
          </w:p>
        </w:tc>
        <w:tc>
          <w:tcPr>
            <w:tcW w:w="2571" w:type="dxa"/>
            <w:vAlign w:val="center"/>
          </w:tcPr>
          <w:p>
            <w:pPr>
              <w:ind w:firstLine="0" w:firstLineChars="0"/>
              <w:jc w:val="center"/>
              <w:rPr>
                <w:rFonts w:eastAsiaTheme="minorEastAsia"/>
                <w:szCs w:val="24"/>
              </w:rPr>
            </w:pPr>
            <w:r>
              <w:rPr>
                <w:rFonts w:eastAsiaTheme="minorEastAsia"/>
                <w:szCs w:val="24"/>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6</w:t>
            </w:r>
          </w:p>
        </w:tc>
        <w:tc>
          <w:tcPr>
            <w:tcW w:w="2571" w:type="dxa"/>
            <w:vAlign w:val="center"/>
          </w:tcPr>
          <w:p>
            <w:pPr>
              <w:ind w:firstLine="0" w:firstLineChars="0"/>
              <w:jc w:val="center"/>
              <w:rPr>
                <w:rFonts w:eastAsiaTheme="minorEastAsia"/>
                <w:szCs w:val="24"/>
              </w:rPr>
            </w:pPr>
            <w:r>
              <w:rPr>
                <w:rFonts w:eastAsiaTheme="minorEastAsia"/>
                <w:szCs w:val="24"/>
              </w:rPr>
              <w:t>TP</w:t>
            </w:r>
          </w:p>
        </w:tc>
        <w:tc>
          <w:tcPr>
            <w:tcW w:w="2571" w:type="dxa"/>
            <w:vAlign w:val="center"/>
          </w:tcPr>
          <w:p>
            <w:pPr>
              <w:ind w:firstLine="0" w:firstLineChars="0"/>
              <w:jc w:val="center"/>
              <w:rPr>
                <w:rFonts w:eastAsiaTheme="minorEastAsia"/>
                <w:szCs w:val="24"/>
              </w:rPr>
            </w:pPr>
            <w:r>
              <w:rPr>
                <w:rFonts w:eastAsiaTheme="minorEastAsia"/>
                <w:szCs w:val="24"/>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7</w:t>
            </w:r>
          </w:p>
        </w:tc>
        <w:tc>
          <w:tcPr>
            <w:tcW w:w="2571" w:type="dxa"/>
            <w:vAlign w:val="center"/>
          </w:tcPr>
          <w:p>
            <w:pPr>
              <w:ind w:firstLine="0" w:firstLineChars="0"/>
              <w:jc w:val="center"/>
              <w:rPr>
                <w:rFonts w:eastAsiaTheme="minorEastAsia"/>
                <w:szCs w:val="24"/>
              </w:rPr>
            </w:pPr>
            <w:r>
              <w:rPr>
                <w:rFonts w:eastAsiaTheme="minorEastAsia"/>
                <w:szCs w:val="24"/>
              </w:rPr>
              <w:t>pH</w:t>
            </w:r>
          </w:p>
        </w:tc>
        <w:tc>
          <w:tcPr>
            <w:tcW w:w="2571" w:type="dxa"/>
            <w:vAlign w:val="center"/>
          </w:tcPr>
          <w:p>
            <w:pPr>
              <w:ind w:firstLine="0" w:firstLineChars="0"/>
              <w:jc w:val="center"/>
              <w:rPr>
                <w:rFonts w:eastAsiaTheme="minorEastAsia"/>
                <w:szCs w:val="24"/>
              </w:rPr>
            </w:pPr>
            <w:r>
              <w:rPr>
                <w:rFonts w:eastAsiaTheme="minorEastAsia"/>
                <w:szCs w:val="24"/>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8</w:t>
            </w:r>
          </w:p>
        </w:tc>
        <w:tc>
          <w:tcPr>
            <w:tcW w:w="2571" w:type="dxa"/>
            <w:vAlign w:val="center"/>
          </w:tcPr>
          <w:p>
            <w:pPr>
              <w:ind w:firstLine="0" w:firstLineChars="0"/>
              <w:jc w:val="center"/>
              <w:rPr>
                <w:rFonts w:eastAsiaTheme="minorEastAsia"/>
                <w:szCs w:val="24"/>
              </w:rPr>
            </w:pPr>
            <w:r>
              <w:rPr>
                <w:rFonts w:eastAsiaTheme="minorEastAsia"/>
                <w:szCs w:val="24"/>
              </w:rPr>
              <w:t>石油类</w:t>
            </w:r>
          </w:p>
        </w:tc>
        <w:tc>
          <w:tcPr>
            <w:tcW w:w="2571" w:type="dxa"/>
            <w:vAlign w:val="center"/>
          </w:tcPr>
          <w:p>
            <w:pPr>
              <w:ind w:firstLine="0" w:firstLineChars="0"/>
              <w:jc w:val="center"/>
              <w:rPr>
                <w:rFonts w:eastAsiaTheme="minorEastAsia"/>
                <w:szCs w:val="24"/>
              </w:rPr>
            </w:pPr>
            <w:r>
              <w:rPr>
                <w:rFonts w:eastAsiaTheme="minorEastAsia"/>
                <w:szCs w:val="24"/>
              </w:rPr>
              <w:t>≤ 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9</w:t>
            </w:r>
          </w:p>
        </w:tc>
        <w:tc>
          <w:tcPr>
            <w:tcW w:w="2571" w:type="dxa"/>
            <w:vAlign w:val="center"/>
          </w:tcPr>
          <w:p>
            <w:pPr>
              <w:ind w:firstLine="0" w:firstLineChars="0"/>
              <w:jc w:val="center"/>
              <w:rPr>
                <w:rFonts w:eastAsiaTheme="minorEastAsia"/>
                <w:szCs w:val="24"/>
              </w:rPr>
            </w:pPr>
            <w:r>
              <w:rPr>
                <w:rFonts w:eastAsiaTheme="minorEastAsia"/>
                <w:szCs w:val="24"/>
              </w:rPr>
              <w:t>阴离子表面活性剂</w:t>
            </w:r>
          </w:p>
        </w:tc>
        <w:tc>
          <w:tcPr>
            <w:tcW w:w="2571" w:type="dxa"/>
            <w:vAlign w:val="center"/>
          </w:tcPr>
          <w:p>
            <w:pPr>
              <w:ind w:firstLine="0" w:firstLineChars="0"/>
              <w:jc w:val="center"/>
              <w:rPr>
                <w:rFonts w:eastAsiaTheme="minorEastAsia"/>
                <w:szCs w:val="24"/>
              </w:rPr>
            </w:pPr>
            <w:r>
              <w:rPr>
                <w:rFonts w:eastAsiaTheme="minorEastAsia"/>
                <w:szCs w:val="24"/>
              </w:rPr>
              <w:t>≤ 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eastAsiaTheme="minorEastAsia"/>
                <w:szCs w:val="24"/>
              </w:rPr>
              <w:t>10</w:t>
            </w:r>
          </w:p>
        </w:tc>
        <w:tc>
          <w:tcPr>
            <w:tcW w:w="2571" w:type="dxa"/>
            <w:vAlign w:val="center"/>
          </w:tcPr>
          <w:p>
            <w:pPr>
              <w:ind w:firstLine="0" w:firstLineChars="0"/>
              <w:jc w:val="center"/>
              <w:rPr>
                <w:rFonts w:eastAsiaTheme="minorEastAsia"/>
                <w:szCs w:val="24"/>
              </w:rPr>
            </w:pPr>
            <w:r>
              <w:rPr>
                <w:rFonts w:eastAsiaTheme="minorEastAsia"/>
                <w:szCs w:val="24"/>
              </w:rPr>
              <w:t>动植物油</w:t>
            </w:r>
          </w:p>
        </w:tc>
        <w:tc>
          <w:tcPr>
            <w:tcW w:w="2571" w:type="dxa"/>
            <w:vAlign w:val="center"/>
          </w:tcPr>
          <w:p>
            <w:pPr>
              <w:ind w:firstLine="0" w:firstLineChars="0"/>
              <w:jc w:val="center"/>
              <w:rPr>
                <w:rFonts w:eastAsiaTheme="minorEastAsia"/>
                <w:szCs w:val="24"/>
              </w:rPr>
            </w:pPr>
            <w:r>
              <w:rPr>
                <w:rFonts w:eastAsiaTheme="minorEastAsia"/>
                <w:szCs w:val="24"/>
              </w:rPr>
              <w:t>≤ 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11</w:t>
            </w:r>
          </w:p>
        </w:tc>
        <w:tc>
          <w:tcPr>
            <w:tcW w:w="2571" w:type="dxa"/>
            <w:vAlign w:val="center"/>
          </w:tcPr>
          <w:p>
            <w:pPr>
              <w:ind w:firstLine="0" w:firstLineChars="0"/>
              <w:jc w:val="center"/>
              <w:rPr>
                <w:rFonts w:eastAsiaTheme="minorEastAsia"/>
                <w:szCs w:val="24"/>
              </w:rPr>
            </w:pPr>
            <w:r>
              <w:rPr>
                <w:rFonts w:eastAsiaTheme="minorEastAsia"/>
                <w:szCs w:val="24"/>
              </w:rPr>
              <w:t>色度</w:t>
            </w:r>
          </w:p>
        </w:tc>
        <w:tc>
          <w:tcPr>
            <w:tcW w:w="2571" w:type="dxa"/>
            <w:vAlign w:val="center"/>
          </w:tcPr>
          <w:p>
            <w:pPr>
              <w:ind w:firstLine="0" w:firstLineChars="0"/>
              <w:jc w:val="center"/>
              <w:rPr>
                <w:rFonts w:eastAsiaTheme="minorEastAsia"/>
                <w:szCs w:val="24"/>
              </w:rPr>
            </w:pPr>
            <w:r>
              <w:rPr>
                <w:rFonts w:eastAsiaTheme="minorEastAsia"/>
                <w:szCs w:val="24"/>
              </w:rPr>
              <w:t>≤ 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ind w:firstLine="0" w:firstLineChars="0"/>
              <w:jc w:val="center"/>
              <w:rPr>
                <w:rFonts w:eastAsiaTheme="minorEastAsia"/>
                <w:szCs w:val="24"/>
              </w:rPr>
            </w:pPr>
            <w:r>
              <w:rPr>
                <w:rFonts w:hint="eastAsia" w:eastAsiaTheme="minorEastAsia"/>
                <w:szCs w:val="24"/>
              </w:rPr>
              <w:t>12</w:t>
            </w:r>
          </w:p>
        </w:tc>
        <w:tc>
          <w:tcPr>
            <w:tcW w:w="2571" w:type="dxa"/>
            <w:vAlign w:val="center"/>
          </w:tcPr>
          <w:p>
            <w:pPr>
              <w:ind w:firstLine="199" w:firstLineChars="83"/>
              <w:jc w:val="center"/>
              <w:rPr>
                <w:rFonts w:eastAsiaTheme="minorEastAsia"/>
                <w:szCs w:val="24"/>
              </w:rPr>
            </w:pPr>
            <w:r>
              <w:rPr>
                <w:rFonts w:eastAsiaTheme="minorEastAsia"/>
                <w:szCs w:val="24"/>
              </w:rPr>
              <w:t>粪大肠菌群数</w:t>
            </w:r>
          </w:p>
        </w:tc>
        <w:tc>
          <w:tcPr>
            <w:tcW w:w="2571" w:type="dxa"/>
            <w:vAlign w:val="center"/>
          </w:tcPr>
          <w:p>
            <w:pPr>
              <w:ind w:firstLine="0" w:firstLineChars="0"/>
              <w:jc w:val="center"/>
              <w:rPr>
                <w:rFonts w:eastAsiaTheme="minorEastAsia"/>
                <w:szCs w:val="24"/>
              </w:rPr>
            </w:pPr>
            <w:r>
              <w:rPr>
                <w:rFonts w:eastAsiaTheme="minorEastAsia"/>
                <w:szCs w:val="24"/>
              </w:rPr>
              <w:t>≤ 1000</w:t>
            </w:r>
          </w:p>
        </w:tc>
      </w:tr>
    </w:tbl>
    <w:p>
      <w:pPr>
        <w:ind w:firstLine="480"/>
      </w:pPr>
      <w:r>
        <w:t>注：括号内数值为水温</w:t>
      </w:r>
      <w:r>
        <w:rPr>
          <w:rFonts w:eastAsia="Times New Roman"/>
        </w:rPr>
        <w:t>&gt;15</w:t>
      </w:r>
      <w:r>
        <w:t>°</w:t>
      </w:r>
      <w:r>
        <w:rPr>
          <w:rFonts w:eastAsia="Times New Roman"/>
        </w:rPr>
        <w:t xml:space="preserve">C </w:t>
      </w:r>
      <w:r>
        <w:t>时的控制指标，括号外数值为水温≤</w:t>
      </w:r>
      <w:r>
        <w:rPr>
          <w:rFonts w:eastAsia="Times New Roman"/>
        </w:rPr>
        <w:t>15</w:t>
      </w:r>
      <w:r>
        <w:t>°</w:t>
      </w:r>
      <w:r>
        <w:rPr>
          <w:rFonts w:eastAsia="Times New Roman"/>
        </w:rPr>
        <w:t xml:space="preserve">C </w:t>
      </w:r>
      <w:r>
        <w:t>时的控制指标。</w:t>
      </w:r>
    </w:p>
    <w:p>
      <w:pPr>
        <w:pStyle w:val="3"/>
      </w:pPr>
      <w:bookmarkStart w:id="10" w:name="_Toc57964351"/>
      <w:r>
        <w:rPr>
          <w:rFonts w:hint="eastAsia"/>
        </w:rPr>
        <w:t xml:space="preserve">2.2 </w:t>
      </w:r>
      <w:r>
        <w:t>区域概况</w:t>
      </w:r>
      <w:bookmarkEnd w:id="10"/>
    </w:p>
    <w:p>
      <w:pPr>
        <w:pStyle w:val="4"/>
      </w:pPr>
      <w:r>
        <w:rPr>
          <w:rFonts w:hint="eastAsia"/>
        </w:rPr>
        <w:t>2.</w:t>
      </w:r>
      <w:r>
        <w:t>2.</w:t>
      </w:r>
      <w:r>
        <w:rPr>
          <w:rFonts w:hint="eastAsia"/>
        </w:rPr>
        <w:t>1 自然</w:t>
      </w:r>
      <w:r>
        <w:t>概况</w:t>
      </w:r>
    </w:p>
    <w:p>
      <w:pPr>
        <w:pStyle w:val="5"/>
      </w:pPr>
      <w:r>
        <w:rPr>
          <w:rFonts w:hint="eastAsia"/>
        </w:rPr>
        <w:t>2.2.1.1地理位置</w:t>
      </w:r>
    </w:p>
    <w:p>
      <w:pPr>
        <w:ind w:firstLine="480"/>
      </w:pPr>
      <w:r>
        <w:rPr>
          <w:bCs/>
        </w:rPr>
        <w:t>合水县位于甘肃省东部，处于东径107°51'—108°42'、北纬35°36'—36°37'之间，东邻陕西省富县，西与西峰、庆城县相连，南与宁县接壤，北靠华池及陕西省志丹县。合水区位优势明显，国道309、211线、青兰高速交错过境，乡镇通油路率达到100%。合水县地势山川相间，东北高，西南低，子午岭纵贯南北，将全县分为东西两大部分，呈现出东水东流，西水西去之势，平均海拔1298.7m。</w:t>
      </w:r>
    </w:p>
    <w:p>
      <w:pPr>
        <w:ind w:firstLine="480"/>
      </w:pPr>
      <w:r>
        <w:t>何家畔</w:t>
      </w:r>
      <w:r>
        <w:rPr>
          <w:rFonts w:hint="eastAsia"/>
        </w:rPr>
        <w:t>镇</w:t>
      </w:r>
      <w:r>
        <w:t>位于合水县西南部，距县城39</w:t>
      </w:r>
      <w:r>
        <w:rPr>
          <w:rFonts w:hint="eastAsia"/>
        </w:rPr>
        <w:t>km</w:t>
      </w:r>
      <w:r>
        <w:t>，东隔马莲河畔与合水县吉岘乡相邻，南与宁县瓦斜乡接壤，西靠西峰区什社乡、温泉乡，北接庆城县赤城乡</w:t>
      </w:r>
      <w:r>
        <w:rPr>
          <w:rFonts w:hint="eastAsia"/>
        </w:rPr>
        <w:t>，</w:t>
      </w:r>
      <w:r>
        <w:t>总土地面积14.9万亩。</w:t>
      </w:r>
    </w:p>
    <w:p>
      <w:pPr>
        <w:pStyle w:val="5"/>
      </w:pPr>
      <w:r>
        <w:rPr>
          <w:rFonts w:hint="eastAsia"/>
        </w:rPr>
        <w:t>2.2.1.2地形、地貌</w:t>
      </w:r>
    </w:p>
    <w:p>
      <w:pPr>
        <w:ind w:firstLine="480"/>
      </w:pPr>
      <w:r>
        <w:rPr>
          <w:rFonts w:hint="eastAsia"/>
        </w:rPr>
        <w:t>华合水县位于甘肃东部黄土高原沟壑区内，地形可分为山、川、塬、岭四种类型。东北部为子午岭山地，子午岭由西北向东南斜贯全境，将全县分为西南、东北两部分。东北部为丘陵沟壑区，森林茂密，水草丰盛，为主要林牧区；西南部为高原沟壑区，塬面平坦，坡度多在3度到5度之间，海拔在979m至1387m，塬沟相对高差在150m到250m，沟谷“V”发育，塬区人口稠密，农业发达，是主要的经济区。其中工业集中区位于西华池塬上，地势北高南低，中隆侧伏，塬面狭长，南北26km，东西最宽处约8km，面积92km，海拔1155m至1336m。</w:t>
      </w:r>
    </w:p>
    <w:p>
      <w:pPr>
        <w:ind w:firstLine="480"/>
      </w:pPr>
      <w:r>
        <w:rPr>
          <w:rFonts w:hint="eastAsia"/>
        </w:rPr>
        <w:t>合水县土地资源丰富，质地良好，以质地优良肥力较高的黑垆土、黄绵土为主，土壤熟化层深厚，质地均匀，上层疏松，下层粘重，蓄水保墒，耕性良好，是农作物生长的优良土壤类型，属农作物适种的优质土质之一。项目区地表为第四纪全新世黄土覆盖，厚度2.6-3.2m左右。表层土壤为黑垆土，腐质土层厚、肥沃疏松、有机质含量高、保水保肥，垂直渗透能力强。土壤有机质平均含量1.21%，含氮0.086%，速效磷9.3PPM，速效钾126PPM，容重1.39g/cm</w:t>
      </w:r>
      <w:r>
        <w:rPr>
          <w:rFonts w:hint="eastAsia"/>
          <w:vertAlign w:val="superscript"/>
        </w:rPr>
        <w:t>3</w:t>
      </w:r>
      <w:r>
        <w:rPr>
          <w:rFonts w:hint="eastAsia"/>
        </w:rPr>
        <w:t>，空隙度53.6%，耕作层深30cm，田间持水量24%，有利于种植多种经济作物。</w:t>
      </w:r>
    </w:p>
    <w:p>
      <w:pPr>
        <w:ind w:firstLine="480"/>
      </w:pPr>
      <w:r>
        <w:rPr>
          <w:rFonts w:hint="eastAsia"/>
        </w:rPr>
        <w:t>何家畔镇境内多平塬，少山川，沟壑纵横。</w:t>
      </w:r>
    </w:p>
    <w:p>
      <w:pPr>
        <w:pStyle w:val="5"/>
      </w:pPr>
      <w:r>
        <w:t>2.2.1.</w:t>
      </w:r>
      <w:r>
        <w:rPr>
          <w:rFonts w:hint="eastAsia"/>
        </w:rPr>
        <w:t>3气候特征</w:t>
      </w:r>
    </w:p>
    <w:p>
      <w:pPr>
        <w:ind w:firstLine="480"/>
      </w:pPr>
      <w:r>
        <w:rPr>
          <w:rFonts w:hint="eastAsia"/>
        </w:rPr>
        <w:t>合水县最显著的气候是大陆性气候特征，光照充足，日温差大，年降水量相对偏少，东部温良湿润，西部温和干燥，冷暖转换相差半个月，受季风影响，四季气候明显。经合水县气象站多年监测显示，主要气象参数如表2.2-1所示</w:t>
      </w:r>
      <w:r>
        <w:t>。</w:t>
      </w:r>
    </w:p>
    <w:p>
      <w:pPr>
        <w:ind w:firstLine="422"/>
        <w:jc w:val="center"/>
        <w:rPr>
          <w:b/>
          <w:bCs/>
          <w:sz w:val="21"/>
          <w:szCs w:val="21"/>
        </w:rPr>
      </w:pPr>
      <w:r>
        <w:rPr>
          <w:b/>
          <w:bCs/>
          <w:sz w:val="21"/>
          <w:szCs w:val="21"/>
        </w:rPr>
        <w:t>表</w:t>
      </w:r>
      <w:r>
        <w:rPr>
          <w:rFonts w:hint="eastAsia"/>
          <w:b/>
          <w:bCs/>
          <w:sz w:val="21"/>
          <w:szCs w:val="21"/>
        </w:rPr>
        <w:t>2.2-1  合水</w:t>
      </w:r>
      <w:r>
        <w:rPr>
          <w:b/>
          <w:bCs/>
          <w:sz w:val="21"/>
          <w:szCs w:val="21"/>
        </w:rPr>
        <w:t>县常年气象要素统计表</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2850"/>
        <w:gridCol w:w="2151"/>
        <w:gridCol w:w="2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531" w:type="dxa"/>
            <w:gridSpan w:val="2"/>
            <w:vAlign w:val="center"/>
          </w:tcPr>
          <w:p>
            <w:pPr>
              <w:spacing w:line="240" w:lineRule="auto"/>
              <w:ind w:firstLine="0" w:firstLineChars="0"/>
              <w:jc w:val="center"/>
              <w:rPr>
                <w:b/>
                <w:bCs/>
                <w:szCs w:val="21"/>
              </w:rPr>
            </w:pPr>
            <w:r>
              <w:rPr>
                <w:b/>
                <w:bCs/>
                <w:szCs w:val="21"/>
              </w:rPr>
              <w:t>气象要素</w:t>
            </w:r>
          </w:p>
        </w:tc>
        <w:tc>
          <w:tcPr>
            <w:tcW w:w="2151" w:type="dxa"/>
            <w:vAlign w:val="center"/>
          </w:tcPr>
          <w:p>
            <w:pPr>
              <w:spacing w:line="240" w:lineRule="auto"/>
              <w:ind w:firstLine="0" w:firstLineChars="0"/>
              <w:jc w:val="center"/>
              <w:rPr>
                <w:b/>
                <w:bCs/>
                <w:szCs w:val="21"/>
              </w:rPr>
            </w:pPr>
            <w:r>
              <w:rPr>
                <w:b/>
                <w:bCs/>
                <w:szCs w:val="21"/>
              </w:rPr>
              <w:t>单位</w:t>
            </w:r>
          </w:p>
        </w:tc>
        <w:tc>
          <w:tcPr>
            <w:tcW w:w="2332" w:type="dxa"/>
            <w:vAlign w:val="center"/>
          </w:tcPr>
          <w:p>
            <w:pPr>
              <w:spacing w:line="240" w:lineRule="auto"/>
              <w:ind w:firstLine="0" w:firstLineChars="0"/>
              <w:jc w:val="center"/>
              <w:rPr>
                <w:b/>
                <w:bCs/>
                <w:szCs w:val="21"/>
              </w:rPr>
            </w:pPr>
            <w:r>
              <w:rPr>
                <w:b/>
                <w:bCs/>
                <w:szCs w:val="21"/>
              </w:rPr>
              <w:t>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1" w:type="dxa"/>
            <w:vMerge w:val="restart"/>
            <w:vAlign w:val="center"/>
          </w:tcPr>
          <w:p>
            <w:pPr>
              <w:spacing w:line="240" w:lineRule="auto"/>
              <w:ind w:firstLine="0" w:firstLineChars="0"/>
              <w:jc w:val="center"/>
              <w:rPr>
                <w:szCs w:val="21"/>
              </w:rPr>
            </w:pPr>
            <w:r>
              <w:rPr>
                <w:szCs w:val="21"/>
              </w:rPr>
              <w:t>气温</w:t>
            </w:r>
          </w:p>
        </w:tc>
        <w:tc>
          <w:tcPr>
            <w:tcW w:w="2850" w:type="dxa"/>
            <w:vAlign w:val="center"/>
          </w:tcPr>
          <w:p>
            <w:pPr>
              <w:spacing w:line="240" w:lineRule="auto"/>
              <w:ind w:firstLine="0" w:firstLineChars="0"/>
              <w:jc w:val="center"/>
              <w:rPr>
                <w:szCs w:val="21"/>
              </w:rPr>
            </w:pPr>
            <w:r>
              <w:rPr>
                <w:szCs w:val="21"/>
              </w:rPr>
              <w:t>年平均</w:t>
            </w:r>
          </w:p>
        </w:tc>
        <w:tc>
          <w:tcPr>
            <w:tcW w:w="2151" w:type="dxa"/>
            <w:vAlign w:val="center"/>
          </w:tcPr>
          <w:p>
            <w:pPr>
              <w:spacing w:line="240" w:lineRule="auto"/>
              <w:ind w:firstLine="0" w:firstLineChars="0"/>
              <w:jc w:val="center"/>
              <w:rPr>
                <w:szCs w:val="21"/>
              </w:rPr>
            </w:pPr>
            <w:r>
              <w:rPr>
                <w:szCs w:val="21"/>
              </w:rPr>
              <w:t>℃</w:t>
            </w:r>
          </w:p>
        </w:tc>
        <w:tc>
          <w:tcPr>
            <w:tcW w:w="2332" w:type="dxa"/>
            <w:vAlign w:val="center"/>
          </w:tcPr>
          <w:p>
            <w:pPr>
              <w:spacing w:line="240" w:lineRule="auto"/>
              <w:ind w:firstLine="0" w:firstLineChars="0"/>
              <w:jc w:val="center"/>
              <w:rPr>
                <w:szCs w:val="21"/>
              </w:rPr>
            </w:pPr>
            <w:r>
              <w:rPr>
                <w:color w:val="000000"/>
                <w:szCs w:val="21"/>
              </w:rPr>
              <w:t>9~12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81" w:type="dxa"/>
            <w:vMerge w:val="continue"/>
            <w:vAlign w:val="center"/>
          </w:tcPr>
          <w:p>
            <w:pPr>
              <w:spacing w:line="240" w:lineRule="auto"/>
              <w:ind w:firstLine="480"/>
              <w:jc w:val="center"/>
              <w:rPr>
                <w:szCs w:val="21"/>
              </w:rPr>
            </w:pPr>
          </w:p>
        </w:tc>
        <w:tc>
          <w:tcPr>
            <w:tcW w:w="2850" w:type="dxa"/>
            <w:vAlign w:val="center"/>
          </w:tcPr>
          <w:p>
            <w:pPr>
              <w:spacing w:line="240" w:lineRule="auto"/>
              <w:ind w:firstLine="0" w:firstLineChars="0"/>
              <w:jc w:val="center"/>
              <w:rPr>
                <w:szCs w:val="21"/>
              </w:rPr>
            </w:pPr>
            <w:r>
              <w:rPr>
                <w:szCs w:val="21"/>
              </w:rPr>
              <w:t>极端最高</w:t>
            </w:r>
          </w:p>
        </w:tc>
        <w:tc>
          <w:tcPr>
            <w:tcW w:w="2151" w:type="dxa"/>
            <w:vAlign w:val="center"/>
          </w:tcPr>
          <w:p>
            <w:pPr>
              <w:spacing w:line="240" w:lineRule="auto"/>
              <w:ind w:firstLine="0" w:firstLineChars="0"/>
              <w:jc w:val="center"/>
              <w:rPr>
                <w:szCs w:val="21"/>
              </w:rPr>
            </w:pPr>
            <w:r>
              <w:rPr>
                <w:szCs w:val="21"/>
              </w:rPr>
              <w:t>℃</w:t>
            </w:r>
          </w:p>
        </w:tc>
        <w:tc>
          <w:tcPr>
            <w:tcW w:w="2332" w:type="dxa"/>
            <w:vAlign w:val="center"/>
          </w:tcPr>
          <w:p>
            <w:pPr>
              <w:spacing w:line="240" w:lineRule="auto"/>
              <w:ind w:firstLine="0" w:firstLineChars="0"/>
              <w:jc w:val="center"/>
              <w:rPr>
                <w:color w:val="000000"/>
                <w:szCs w:val="21"/>
              </w:rPr>
            </w:pPr>
            <w:r>
              <w:rPr>
                <w:szCs w:val="21"/>
              </w:rPr>
              <w:t>3</w:t>
            </w:r>
            <w:r>
              <w:rPr>
                <w:rFonts w:hint="eastAsia"/>
                <w:szCs w:val="21"/>
              </w:rPr>
              <w:t>6</w:t>
            </w: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681" w:type="dxa"/>
            <w:vMerge w:val="continue"/>
            <w:vAlign w:val="center"/>
          </w:tcPr>
          <w:p>
            <w:pPr>
              <w:spacing w:line="240" w:lineRule="auto"/>
              <w:ind w:firstLine="480"/>
              <w:jc w:val="center"/>
              <w:rPr>
                <w:szCs w:val="21"/>
              </w:rPr>
            </w:pPr>
          </w:p>
        </w:tc>
        <w:tc>
          <w:tcPr>
            <w:tcW w:w="2850" w:type="dxa"/>
            <w:vAlign w:val="center"/>
          </w:tcPr>
          <w:p>
            <w:pPr>
              <w:spacing w:line="240" w:lineRule="auto"/>
              <w:ind w:firstLine="0" w:firstLineChars="0"/>
              <w:jc w:val="center"/>
              <w:rPr>
                <w:szCs w:val="21"/>
              </w:rPr>
            </w:pPr>
            <w:r>
              <w:rPr>
                <w:szCs w:val="21"/>
              </w:rPr>
              <w:t>极端最低</w:t>
            </w:r>
          </w:p>
        </w:tc>
        <w:tc>
          <w:tcPr>
            <w:tcW w:w="2151" w:type="dxa"/>
            <w:vAlign w:val="center"/>
          </w:tcPr>
          <w:p>
            <w:pPr>
              <w:spacing w:line="240" w:lineRule="auto"/>
              <w:ind w:firstLine="0" w:firstLineChars="0"/>
              <w:jc w:val="center"/>
              <w:rPr>
                <w:szCs w:val="21"/>
              </w:rPr>
            </w:pPr>
            <w:r>
              <w:rPr>
                <w:szCs w:val="21"/>
              </w:rPr>
              <w:t>℃</w:t>
            </w:r>
          </w:p>
        </w:tc>
        <w:tc>
          <w:tcPr>
            <w:tcW w:w="2332" w:type="dxa"/>
            <w:vAlign w:val="center"/>
          </w:tcPr>
          <w:p>
            <w:pPr>
              <w:spacing w:line="240" w:lineRule="auto"/>
              <w:ind w:firstLine="0" w:firstLineChars="0"/>
              <w:jc w:val="center"/>
              <w:rPr>
                <w:szCs w:val="21"/>
              </w:rPr>
            </w:pPr>
            <w:r>
              <w:rPr>
                <w:szCs w:val="21"/>
              </w:rPr>
              <w:t>-2</w:t>
            </w:r>
            <w:r>
              <w:rPr>
                <w:rFonts w:hint="eastAsia"/>
                <w:szCs w:val="21"/>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531" w:type="dxa"/>
            <w:gridSpan w:val="2"/>
            <w:vAlign w:val="center"/>
          </w:tcPr>
          <w:p>
            <w:pPr>
              <w:spacing w:line="240" w:lineRule="auto"/>
              <w:ind w:firstLine="0" w:firstLineChars="0"/>
              <w:jc w:val="center"/>
              <w:rPr>
                <w:szCs w:val="21"/>
              </w:rPr>
            </w:pPr>
            <w:r>
              <w:rPr>
                <w:szCs w:val="21"/>
              </w:rPr>
              <w:t>年平均降水量</w:t>
            </w:r>
          </w:p>
        </w:tc>
        <w:tc>
          <w:tcPr>
            <w:tcW w:w="2151" w:type="dxa"/>
            <w:vAlign w:val="center"/>
          </w:tcPr>
          <w:p>
            <w:pPr>
              <w:spacing w:line="240" w:lineRule="auto"/>
              <w:ind w:firstLine="0" w:firstLineChars="0"/>
              <w:jc w:val="center"/>
              <w:rPr>
                <w:szCs w:val="21"/>
              </w:rPr>
            </w:pPr>
            <w:r>
              <w:rPr>
                <w:szCs w:val="21"/>
              </w:rPr>
              <w:t>mm</w:t>
            </w:r>
          </w:p>
        </w:tc>
        <w:tc>
          <w:tcPr>
            <w:tcW w:w="2332" w:type="dxa"/>
            <w:vAlign w:val="center"/>
          </w:tcPr>
          <w:p>
            <w:pPr>
              <w:spacing w:line="240" w:lineRule="auto"/>
              <w:ind w:firstLine="0" w:firstLineChars="0"/>
              <w:jc w:val="center"/>
              <w:rPr>
                <w:szCs w:val="21"/>
              </w:rPr>
            </w:pPr>
            <w:r>
              <w:rPr>
                <w:rFonts w:hint="eastAsia"/>
                <w:szCs w:val="21"/>
              </w:rPr>
              <w:t>521.6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531" w:type="dxa"/>
            <w:gridSpan w:val="2"/>
            <w:vAlign w:val="center"/>
          </w:tcPr>
          <w:p>
            <w:pPr>
              <w:spacing w:line="240" w:lineRule="auto"/>
              <w:ind w:firstLine="0" w:firstLineChars="0"/>
              <w:jc w:val="center"/>
              <w:rPr>
                <w:szCs w:val="21"/>
              </w:rPr>
            </w:pPr>
            <w:r>
              <w:rPr>
                <w:szCs w:val="21"/>
              </w:rPr>
              <w:t>年平均蒸发量</w:t>
            </w:r>
          </w:p>
        </w:tc>
        <w:tc>
          <w:tcPr>
            <w:tcW w:w="2151" w:type="dxa"/>
            <w:vAlign w:val="center"/>
          </w:tcPr>
          <w:p>
            <w:pPr>
              <w:spacing w:line="240" w:lineRule="auto"/>
              <w:ind w:firstLine="0" w:firstLineChars="0"/>
              <w:jc w:val="center"/>
              <w:rPr>
                <w:szCs w:val="21"/>
              </w:rPr>
            </w:pPr>
            <w:r>
              <w:rPr>
                <w:szCs w:val="21"/>
              </w:rPr>
              <w:t>mm</w:t>
            </w:r>
          </w:p>
        </w:tc>
        <w:tc>
          <w:tcPr>
            <w:tcW w:w="2332" w:type="dxa"/>
            <w:vAlign w:val="center"/>
          </w:tcPr>
          <w:p>
            <w:pPr>
              <w:spacing w:line="240" w:lineRule="auto"/>
              <w:ind w:firstLine="0" w:firstLineChars="0"/>
              <w:jc w:val="center"/>
              <w:rPr>
                <w:szCs w:val="21"/>
              </w:rPr>
            </w:pPr>
            <w:r>
              <w:rPr>
                <w:rFonts w:hint="eastAsia"/>
                <w:szCs w:val="21"/>
              </w:rPr>
              <w:t>1638.5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81" w:type="dxa"/>
            <w:vMerge w:val="restart"/>
            <w:vAlign w:val="center"/>
          </w:tcPr>
          <w:p>
            <w:pPr>
              <w:spacing w:line="240" w:lineRule="auto"/>
              <w:ind w:firstLine="0" w:firstLineChars="0"/>
              <w:jc w:val="center"/>
              <w:rPr>
                <w:szCs w:val="21"/>
              </w:rPr>
            </w:pPr>
            <w:r>
              <w:rPr>
                <w:szCs w:val="21"/>
              </w:rPr>
              <w:t>风速</w:t>
            </w:r>
          </w:p>
        </w:tc>
        <w:tc>
          <w:tcPr>
            <w:tcW w:w="2850" w:type="dxa"/>
            <w:vAlign w:val="center"/>
          </w:tcPr>
          <w:p>
            <w:pPr>
              <w:spacing w:line="240" w:lineRule="auto"/>
              <w:ind w:firstLine="0" w:firstLineChars="0"/>
              <w:jc w:val="center"/>
              <w:rPr>
                <w:szCs w:val="21"/>
              </w:rPr>
            </w:pPr>
            <w:r>
              <w:rPr>
                <w:szCs w:val="21"/>
              </w:rPr>
              <w:t>平均</w:t>
            </w:r>
          </w:p>
        </w:tc>
        <w:tc>
          <w:tcPr>
            <w:tcW w:w="2151" w:type="dxa"/>
            <w:vAlign w:val="center"/>
          </w:tcPr>
          <w:p>
            <w:pPr>
              <w:spacing w:line="240" w:lineRule="auto"/>
              <w:ind w:firstLine="0" w:firstLineChars="0"/>
              <w:jc w:val="center"/>
              <w:rPr>
                <w:szCs w:val="21"/>
              </w:rPr>
            </w:pPr>
            <w:r>
              <w:rPr>
                <w:szCs w:val="21"/>
              </w:rPr>
              <w:t>m/s</w:t>
            </w:r>
          </w:p>
        </w:tc>
        <w:tc>
          <w:tcPr>
            <w:tcW w:w="2332" w:type="dxa"/>
            <w:vAlign w:val="center"/>
          </w:tcPr>
          <w:p>
            <w:pPr>
              <w:spacing w:line="240" w:lineRule="auto"/>
              <w:ind w:firstLine="0" w:firstLineChars="0"/>
              <w:jc w:val="center"/>
              <w:rPr>
                <w:szCs w:val="21"/>
              </w:rPr>
            </w:pPr>
            <w:r>
              <w:rPr>
                <w:rFonts w:hint="eastAsia"/>
                <w:szCs w:val="21"/>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681" w:type="dxa"/>
            <w:vMerge w:val="continue"/>
            <w:vAlign w:val="center"/>
          </w:tcPr>
          <w:p>
            <w:pPr>
              <w:spacing w:line="240" w:lineRule="auto"/>
              <w:ind w:firstLine="480"/>
              <w:jc w:val="center"/>
              <w:rPr>
                <w:szCs w:val="21"/>
              </w:rPr>
            </w:pPr>
          </w:p>
        </w:tc>
        <w:tc>
          <w:tcPr>
            <w:tcW w:w="2850" w:type="dxa"/>
            <w:vAlign w:val="center"/>
          </w:tcPr>
          <w:p>
            <w:pPr>
              <w:spacing w:line="240" w:lineRule="auto"/>
              <w:ind w:firstLine="0" w:firstLineChars="0"/>
              <w:jc w:val="center"/>
              <w:rPr>
                <w:szCs w:val="21"/>
              </w:rPr>
            </w:pPr>
            <w:r>
              <w:rPr>
                <w:szCs w:val="21"/>
              </w:rPr>
              <w:t>主导风向</w:t>
            </w:r>
          </w:p>
        </w:tc>
        <w:tc>
          <w:tcPr>
            <w:tcW w:w="2151" w:type="dxa"/>
            <w:vAlign w:val="center"/>
          </w:tcPr>
          <w:p>
            <w:pPr>
              <w:spacing w:line="240" w:lineRule="auto"/>
              <w:ind w:firstLine="0" w:firstLineChars="0"/>
              <w:jc w:val="center"/>
              <w:rPr>
                <w:szCs w:val="21"/>
              </w:rPr>
            </w:pPr>
            <w:r>
              <w:rPr>
                <w:szCs w:val="21"/>
              </w:rPr>
              <w:t>/</w:t>
            </w:r>
          </w:p>
        </w:tc>
        <w:tc>
          <w:tcPr>
            <w:tcW w:w="2332" w:type="dxa"/>
            <w:vAlign w:val="center"/>
          </w:tcPr>
          <w:p>
            <w:pPr>
              <w:spacing w:line="240" w:lineRule="auto"/>
              <w:ind w:firstLine="0" w:firstLineChars="0"/>
              <w:jc w:val="center"/>
              <w:rPr>
                <w:szCs w:val="21"/>
              </w:rPr>
            </w:pPr>
            <w:r>
              <w:rPr>
                <w:rFonts w:hint="eastAsia"/>
                <w:szCs w:val="21"/>
              </w:rPr>
              <w:t>冬季NW；夏季SE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531" w:type="dxa"/>
            <w:gridSpan w:val="2"/>
            <w:vAlign w:val="center"/>
          </w:tcPr>
          <w:p>
            <w:pPr>
              <w:spacing w:line="240" w:lineRule="auto"/>
              <w:ind w:firstLine="0" w:firstLineChars="0"/>
              <w:jc w:val="center"/>
              <w:rPr>
                <w:szCs w:val="21"/>
              </w:rPr>
            </w:pPr>
            <w:r>
              <w:rPr>
                <w:rFonts w:hint="eastAsia"/>
                <w:szCs w:val="21"/>
              </w:rPr>
              <w:t>年平均</w:t>
            </w:r>
            <w:r>
              <w:rPr>
                <w:szCs w:val="21"/>
              </w:rPr>
              <w:t>日照时数</w:t>
            </w:r>
          </w:p>
        </w:tc>
        <w:tc>
          <w:tcPr>
            <w:tcW w:w="2151" w:type="dxa"/>
            <w:vAlign w:val="center"/>
          </w:tcPr>
          <w:p>
            <w:pPr>
              <w:spacing w:line="240" w:lineRule="auto"/>
              <w:ind w:firstLine="0" w:firstLineChars="0"/>
              <w:jc w:val="center"/>
              <w:rPr>
                <w:szCs w:val="21"/>
              </w:rPr>
            </w:pPr>
            <w:r>
              <w:rPr>
                <w:szCs w:val="21"/>
              </w:rPr>
              <w:t>h</w:t>
            </w:r>
          </w:p>
        </w:tc>
        <w:tc>
          <w:tcPr>
            <w:tcW w:w="2332" w:type="dxa"/>
            <w:vAlign w:val="center"/>
          </w:tcPr>
          <w:p>
            <w:pPr>
              <w:spacing w:line="240" w:lineRule="auto"/>
              <w:ind w:firstLine="0" w:firstLineChars="0"/>
              <w:jc w:val="center"/>
              <w:rPr>
                <w:szCs w:val="21"/>
              </w:rPr>
            </w:pPr>
            <w:r>
              <w:rPr>
                <w:szCs w:val="21"/>
              </w:rPr>
              <w:t>2250</w:t>
            </w:r>
            <w:r>
              <w:rPr>
                <w:color w:val="000000"/>
                <w:szCs w:val="21"/>
              </w:rPr>
              <w:t>~</w:t>
            </w:r>
            <w:r>
              <w:rPr>
                <w:rFonts w:hint="eastAsia"/>
                <w:color w:val="000000"/>
                <w:szCs w:val="21"/>
              </w:rPr>
              <w:t>2600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1" w:type="dxa"/>
            <w:gridSpan w:val="2"/>
            <w:vAlign w:val="center"/>
          </w:tcPr>
          <w:p>
            <w:pPr>
              <w:spacing w:line="240" w:lineRule="auto"/>
              <w:ind w:firstLine="0" w:firstLineChars="0"/>
              <w:jc w:val="center"/>
              <w:rPr>
                <w:szCs w:val="21"/>
              </w:rPr>
            </w:pPr>
            <w:r>
              <w:rPr>
                <w:rFonts w:hint="eastAsia"/>
                <w:szCs w:val="21"/>
              </w:rPr>
              <w:t>年平均</w:t>
            </w:r>
            <w:r>
              <w:rPr>
                <w:szCs w:val="21"/>
              </w:rPr>
              <w:t>无霜期</w:t>
            </w:r>
          </w:p>
        </w:tc>
        <w:tc>
          <w:tcPr>
            <w:tcW w:w="2151" w:type="dxa"/>
            <w:vAlign w:val="center"/>
          </w:tcPr>
          <w:p>
            <w:pPr>
              <w:spacing w:line="240" w:lineRule="auto"/>
              <w:ind w:firstLine="0" w:firstLineChars="0"/>
              <w:jc w:val="center"/>
              <w:rPr>
                <w:szCs w:val="21"/>
              </w:rPr>
            </w:pPr>
            <w:r>
              <w:rPr>
                <w:szCs w:val="21"/>
              </w:rPr>
              <w:t>d</w:t>
            </w:r>
          </w:p>
        </w:tc>
        <w:tc>
          <w:tcPr>
            <w:tcW w:w="2332" w:type="dxa"/>
            <w:vAlign w:val="center"/>
          </w:tcPr>
          <w:p>
            <w:pPr>
              <w:spacing w:line="240" w:lineRule="auto"/>
              <w:ind w:firstLine="0" w:firstLineChars="0"/>
              <w:jc w:val="center"/>
              <w:rPr>
                <w:szCs w:val="21"/>
              </w:rPr>
            </w:pPr>
            <w:r>
              <w:rPr>
                <w:szCs w:val="21"/>
              </w:rPr>
              <w:t>1</w:t>
            </w:r>
            <w:r>
              <w:rPr>
                <w:rFonts w:hint="eastAsia"/>
                <w:szCs w:val="21"/>
              </w:rPr>
              <w:t>4</w:t>
            </w:r>
            <w:r>
              <w:rPr>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31" w:type="dxa"/>
            <w:gridSpan w:val="2"/>
            <w:vAlign w:val="center"/>
          </w:tcPr>
          <w:p>
            <w:pPr>
              <w:spacing w:line="240" w:lineRule="auto"/>
              <w:ind w:firstLine="0" w:firstLineChars="0"/>
              <w:jc w:val="center"/>
              <w:rPr>
                <w:szCs w:val="21"/>
              </w:rPr>
            </w:pPr>
            <w:r>
              <w:rPr>
                <w:rFonts w:hint="eastAsia"/>
                <w:szCs w:val="21"/>
              </w:rPr>
              <w:t>年平均相对湿度</w:t>
            </w:r>
          </w:p>
        </w:tc>
        <w:tc>
          <w:tcPr>
            <w:tcW w:w="2151" w:type="dxa"/>
            <w:vAlign w:val="center"/>
          </w:tcPr>
          <w:p>
            <w:pPr>
              <w:spacing w:line="240" w:lineRule="auto"/>
              <w:ind w:firstLine="0" w:firstLineChars="0"/>
              <w:jc w:val="center"/>
              <w:rPr>
                <w:szCs w:val="21"/>
              </w:rPr>
            </w:pPr>
            <w:r>
              <w:rPr>
                <w:rFonts w:hint="eastAsia"/>
                <w:szCs w:val="21"/>
              </w:rPr>
              <w:t>/</w:t>
            </w:r>
          </w:p>
        </w:tc>
        <w:tc>
          <w:tcPr>
            <w:tcW w:w="2332" w:type="dxa"/>
            <w:vAlign w:val="center"/>
          </w:tcPr>
          <w:p>
            <w:pPr>
              <w:spacing w:line="240" w:lineRule="auto"/>
              <w:ind w:firstLine="0" w:firstLineChars="0"/>
              <w:jc w:val="center"/>
              <w:rPr>
                <w:szCs w:val="21"/>
              </w:rPr>
            </w:pPr>
            <w:r>
              <w:rPr>
                <w:rFonts w:hint="eastAsia"/>
                <w:szCs w:val="21"/>
              </w:rPr>
              <w:t>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531" w:type="dxa"/>
            <w:gridSpan w:val="2"/>
            <w:vAlign w:val="center"/>
          </w:tcPr>
          <w:p>
            <w:pPr>
              <w:spacing w:line="240" w:lineRule="auto"/>
              <w:ind w:firstLine="199" w:firstLineChars="83"/>
              <w:jc w:val="center"/>
              <w:rPr>
                <w:szCs w:val="21"/>
              </w:rPr>
            </w:pPr>
            <w:r>
              <w:rPr>
                <w:szCs w:val="21"/>
              </w:rPr>
              <w:t>最大冻深</w:t>
            </w:r>
          </w:p>
        </w:tc>
        <w:tc>
          <w:tcPr>
            <w:tcW w:w="2151" w:type="dxa"/>
            <w:vAlign w:val="center"/>
          </w:tcPr>
          <w:p>
            <w:pPr>
              <w:spacing w:line="240" w:lineRule="auto"/>
              <w:ind w:firstLine="0" w:firstLineChars="0"/>
              <w:jc w:val="center"/>
              <w:rPr>
                <w:szCs w:val="21"/>
              </w:rPr>
            </w:pPr>
            <w:r>
              <w:rPr>
                <w:szCs w:val="21"/>
              </w:rPr>
              <w:t>cm</w:t>
            </w:r>
          </w:p>
        </w:tc>
        <w:tc>
          <w:tcPr>
            <w:tcW w:w="2332" w:type="dxa"/>
            <w:vAlign w:val="center"/>
          </w:tcPr>
          <w:p>
            <w:pPr>
              <w:spacing w:line="240" w:lineRule="auto"/>
              <w:ind w:firstLine="0" w:firstLineChars="0"/>
              <w:jc w:val="center"/>
              <w:rPr>
                <w:szCs w:val="21"/>
              </w:rPr>
            </w:pPr>
            <w:r>
              <w:rPr>
                <w:rFonts w:hint="eastAsia"/>
                <w:szCs w:val="21"/>
              </w:rPr>
              <w:t>89</w:t>
            </w:r>
          </w:p>
        </w:tc>
      </w:tr>
    </w:tbl>
    <w:p>
      <w:pPr>
        <w:pStyle w:val="5"/>
      </w:pPr>
      <w:r>
        <w:t>2.2.1.</w:t>
      </w:r>
      <w:r>
        <w:rPr>
          <w:rFonts w:hint="eastAsia"/>
        </w:rPr>
        <w:t>4河流水系</w:t>
      </w:r>
    </w:p>
    <w:p>
      <w:pPr>
        <w:ind w:firstLine="480"/>
      </w:pPr>
      <w:r>
        <w:rPr>
          <w:rFonts w:hint="eastAsia"/>
        </w:rPr>
        <w:t>合水县总属黄河流域，分属泾河、北洛河两大水系，境内主要河流有马莲河、合水川、固城河、葫芦河，另有鸳鸯河、冉家河、崖窑儿河、太乐河、小川子河等支沟，主要河流中除合水川和固城河发源于本县外，其余河流均为过境河流。县境内河流以子午岭为界，子午岭以西马莲河、合水川、固城河等注入泾河，属泾河水系；子午岭以东葫芦河注入北洛河，属北洛河水系。</w:t>
      </w:r>
    </w:p>
    <w:p>
      <w:pPr>
        <w:ind w:firstLine="480"/>
      </w:pPr>
      <w:r>
        <w:rPr>
          <w:rFonts w:hint="eastAsia"/>
        </w:rPr>
        <w:t>（1）马莲河</w:t>
      </w:r>
    </w:p>
    <w:p>
      <w:pPr>
        <w:ind w:firstLine="480"/>
      </w:pPr>
      <w:r>
        <w:rPr>
          <w:rFonts w:hint="eastAsia"/>
        </w:rPr>
        <w:t>马莲河是合水县境内第一大河流，发源于宁夏回族自治区盐池县麻黄山，于环县甜水堡流入庆阳市，在板桥镇孟家桥流入合水县境内，于本县何家畔乡铁链川出境流入宁县，在宁县政平汇入泾河。马莲河总河长366 km，总流域面积19086km2，合水县境内河长35.7 km，境内流域面积1796.06 km2，河道平均坡降1.45‰。根据马莲河出口控制站—雨落坪水文站50年实测资料统计，多年平均流量为14.2 m3/s，多年平均径流量为44900万m3。径流年内变化较大，汛期5～10月径流量占年径流量的78.3%，主汛期7~9月径流量占年径流量的60.4%，非汛期11～4月径流量占年径流量量的21.7%。多年平均含沙量为250kg/m3，多年平均输沙量为12200万t，多年平均输沙模数为6400t/ km2﹒a。县境内马莲河主要支流有合水川、固城川、太乐沟等。</w:t>
      </w:r>
    </w:p>
    <w:p>
      <w:pPr>
        <w:ind w:firstLine="480"/>
      </w:pPr>
      <w:r>
        <w:rPr>
          <w:rFonts w:hint="eastAsia"/>
        </w:rPr>
        <w:t>（2）合水川</w:t>
      </w:r>
    </w:p>
    <w:p>
      <w:pPr>
        <w:ind w:firstLine="480"/>
      </w:pPr>
      <w:r>
        <w:rPr>
          <w:rFonts w:hint="eastAsia"/>
        </w:rPr>
        <w:t>发源于子午岭西麓三官桥，经蒿咀铺、老城镇、板桥三乡镇，汇干湫沟、北川、瓦岗川诸水于板桥清凉寺汇入马莲河，河长46km，流域面积830.14km2，合水县境内流域面积817.64 km2，河道平均比降5.4‰，多年平均流量0.48m3/s，多年平均径流量0.15亿m3。</w:t>
      </w:r>
    </w:p>
    <w:p>
      <w:pPr>
        <w:ind w:firstLine="480"/>
      </w:pPr>
      <w:r>
        <w:rPr>
          <w:rFonts w:hint="eastAsia"/>
        </w:rPr>
        <w:t>（3）固城河</w:t>
      </w:r>
    </w:p>
    <w:p>
      <w:pPr>
        <w:ind w:firstLine="480"/>
      </w:pPr>
      <w:r>
        <w:rPr>
          <w:rFonts w:hint="eastAsia"/>
        </w:rPr>
        <w:t>固城河是马莲河一级支流，发源于子午岭午亭子西侧，经固城、吉岘两个乡，在吉岘沟门前出境，流入宁县南义乡，于宁县赵家小台汇入马莲河。合水县境内河长63km，流域面积673.28km2，平均比降3.2‰，多年平均流量0.61m3/s，多年平均径流量0.19亿m3。</w:t>
      </w:r>
    </w:p>
    <w:p>
      <w:pPr>
        <w:ind w:firstLine="480"/>
      </w:pPr>
      <w:r>
        <w:rPr>
          <w:rFonts w:hint="eastAsia"/>
        </w:rPr>
        <w:t>（4）葫芦河</w:t>
      </w:r>
    </w:p>
    <w:p>
      <w:pPr>
        <w:ind w:firstLine="480"/>
      </w:pPr>
      <w:r>
        <w:rPr>
          <w:rFonts w:hint="eastAsia"/>
        </w:rPr>
        <w:t>发源于华池县紫坊畔，自东华池镇进入本县太白镇，在瓦川口出境，于陕西省富县的瓦窑处汇入北洛河。合水县以上流域面积2335.92km2，境内河长28.5km，流域面积1145.72 km2，河道平均比降3.5‰，合水县以上流域多年平均流量1.80m3/s，多年平均径流量0.57亿m3。何家畔乡流域水系及马莲河流域水文站示意图如图 2.2-1 所示。</w:t>
      </w:r>
    </w:p>
    <w:p>
      <w:pPr>
        <w:ind w:firstLine="480"/>
      </w:pPr>
      <w:r>
        <w:rPr>
          <w:rFonts w:hint="eastAsia"/>
        </w:rPr>
        <w:t>本次本次合水县何家畔镇何家畔村截污控源工程位于何家畔村西侧，排污口断面位置位于浅水河，最终流入马莲河。</w:t>
      </w:r>
    </w:p>
    <w:p>
      <w:pPr>
        <w:pStyle w:val="5"/>
      </w:pPr>
      <w:r>
        <w:t>2.2.1.</w:t>
      </w:r>
      <w:r>
        <w:rPr>
          <w:rFonts w:hint="eastAsia"/>
        </w:rPr>
        <w:t>5径流</w:t>
      </w:r>
    </w:p>
    <w:p>
      <w:pPr>
        <w:ind w:firstLine="480"/>
      </w:pPr>
      <w:r>
        <w:rPr>
          <w:rFonts w:hint="eastAsia"/>
        </w:rPr>
        <w:t>（1）径流特性</w:t>
      </w:r>
    </w:p>
    <w:p>
      <w:pPr>
        <w:pStyle w:val="7"/>
        <w:spacing w:before="147" w:line="352" w:lineRule="auto"/>
        <w:ind w:right="111" w:firstLine="480"/>
        <w:jc w:val="both"/>
      </w:pPr>
      <w:r>
        <w:rPr>
          <w:rFonts w:hint="eastAsia"/>
        </w:rPr>
        <w:t>马莲河流域面积为19019km</w:t>
      </w:r>
      <w:r>
        <w:rPr>
          <w:rFonts w:hint="eastAsia"/>
          <w:vertAlign w:val="superscript"/>
        </w:rPr>
        <w:t>2</w:t>
      </w:r>
      <w:r>
        <w:rPr>
          <w:rFonts w:hint="eastAsia"/>
        </w:rPr>
        <w:t>，</w:t>
      </w:r>
      <w:r>
        <w:t>径流的年内分配受河流补给类型、流域自然地理特征以及气候条件影响，差异较大。合水县境内河流补给主要以大气降水为主，径流过程与降水过程相对应。4～6 月为春汛期，由上游冰雪融水和降雨补给；7～9 月为夏秋洪水期，以大面积降雨补给为主；10月为秋季平水期，以地下水补给及河槽储蓄量为主；11～次年3月为冬季枯水期，以地下水补给为主，水量</w:t>
      </w:r>
      <w:r>
        <w:rPr>
          <w:rFonts w:hint="eastAsia"/>
        </w:rPr>
        <w:t>相对</w:t>
      </w:r>
      <w:r>
        <w:t>稳定；径流与降水量的年际变化及年内分配是相应的。 径流具有年际变化较大，年内分配不均匀的特点。</w:t>
      </w:r>
    </w:p>
    <w:p>
      <w:pPr>
        <w:ind w:firstLine="480"/>
      </w:pPr>
      <w:r>
        <w:rPr>
          <w:lang w:val="en-US" w:bidi="ar-SA"/>
        </w:rPr>
        <w:pict>
          <v:shape id="_x0000_s1053" o:spid="_x0000_s1053" o:spt="61" type="#_x0000_t61" style="position:absolute;left:0pt;margin-left:206pt;margin-top:253.75pt;height:32.25pt;width:70.5pt;z-index:251669504;mso-width-relative:page;mso-height-relative:page;" coordsize="21600,21600" adj="24817,35565">
            <v:path/>
            <v:fill focussize="0,0"/>
            <v:stroke joinstyle="miter"/>
            <v:imagedata o:title=""/>
            <o:lock v:ext="edit"/>
            <v:textbox>
              <w:txbxContent>
                <w:p>
                  <w:pPr>
                    <w:spacing w:line="240" w:lineRule="auto"/>
                    <w:ind w:firstLine="0" w:firstLineChars="0"/>
                    <w:rPr>
                      <w:sz w:val="18"/>
                      <w:szCs w:val="18"/>
                    </w:rPr>
                  </w:pPr>
                  <w:r>
                    <w:rPr>
                      <w:rFonts w:hint="eastAsia"/>
                      <w:sz w:val="18"/>
                      <w:szCs w:val="18"/>
                    </w:rPr>
                    <w:t>何家畔村污水处理厂排污口</w:t>
                  </w:r>
                </w:p>
              </w:txbxContent>
            </v:textbox>
          </v:shape>
        </w:pict>
      </w:r>
      <w:r>
        <w:rPr>
          <w:lang w:val="en-US" w:bidi="ar-SA"/>
        </w:rPr>
        <w:pict>
          <v:shape id="_x0000_s1097" o:spid="_x0000_s1097" o:spt="61" type="#_x0000_t61" style="position:absolute;left:0pt;margin-left:352.25pt;margin-top:124pt;height:19.5pt;width:36pt;z-index:251674624;mso-width-relative:page;mso-height-relative:page;" coordsize="21600,21600" adj="-34200,103680">
            <v:path/>
            <v:fill focussize="0,0"/>
            <v:stroke joinstyle="miter"/>
            <v:imagedata o:title=""/>
            <o:lock v:ext="edit"/>
            <v:textbox>
              <w:txbxContent>
                <w:p>
                  <w:pPr>
                    <w:spacing w:line="240" w:lineRule="auto"/>
                    <w:ind w:firstLine="0" w:firstLineChars="0"/>
                    <w:rPr>
                      <w:sz w:val="18"/>
                      <w:szCs w:val="18"/>
                    </w:rPr>
                  </w:pPr>
                  <w:r>
                    <w:rPr>
                      <w:rFonts w:hint="eastAsia"/>
                      <w:sz w:val="18"/>
                      <w:szCs w:val="18"/>
                    </w:rPr>
                    <w:t>贾桥</w:t>
                  </w:r>
                </w:p>
              </w:txbxContent>
            </v:textbox>
          </v:shape>
        </w:pict>
      </w:r>
      <w:r>
        <w:rPr>
          <w:lang w:val="en-US" w:bidi="ar-SA"/>
        </w:rPr>
        <w:drawing>
          <wp:inline distT="0" distB="0" distL="0" distR="0">
            <wp:extent cx="5486400" cy="54597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5486400" cy="5459730"/>
                    </a:xfrm>
                    <a:prstGeom prst="rect">
                      <a:avLst/>
                    </a:prstGeom>
                  </pic:spPr>
                </pic:pic>
              </a:graphicData>
            </a:graphic>
          </wp:inline>
        </w:drawing>
      </w:r>
    </w:p>
    <w:p>
      <w:pPr>
        <w:ind w:firstLine="422"/>
        <w:jc w:val="center"/>
      </w:pPr>
      <w:r>
        <w:rPr>
          <w:b/>
          <w:bCs/>
          <w:sz w:val="21"/>
          <w:szCs w:val="21"/>
        </w:rPr>
        <w:t xml:space="preserve">图 </w:t>
      </w:r>
      <w:r>
        <w:rPr>
          <w:rFonts w:eastAsia="Times New Roman" w:cs="Times New Roman"/>
          <w:b/>
          <w:bCs/>
          <w:sz w:val="21"/>
          <w:szCs w:val="21"/>
        </w:rPr>
        <w:t>2.2-</w:t>
      </w:r>
      <w:r>
        <w:rPr>
          <w:rFonts w:hint="eastAsia" w:cs="Times New Roman" w:eastAsiaTheme="minorEastAsia"/>
          <w:b/>
          <w:bCs/>
          <w:sz w:val="21"/>
          <w:szCs w:val="21"/>
        </w:rPr>
        <w:t>1</w:t>
      </w:r>
      <w:r>
        <w:rPr>
          <w:rFonts w:eastAsia="Times New Roman" w:cs="Times New Roman"/>
          <w:b/>
          <w:bCs/>
          <w:spacing w:val="-1"/>
          <w:sz w:val="21"/>
          <w:szCs w:val="21"/>
        </w:rPr>
        <w:t xml:space="preserve"> </w:t>
      </w:r>
      <w:r>
        <w:rPr>
          <w:rFonts w:hint="eastAsia"/>
          <w:b/>
          <w:bCs/>
          <w:sz w:val="21"/>
          <w:szCs w:val="21"/>
        </w:rPr>
        <w:t>何家畔镇</w:t>
      </w:r>
      <w:r>
        <w:rPr>
          <w:b/>
          <w:bCs/>
          <w:sz w:val="21"/>
          <w:szCs w:val="21"/>
        </w:rPr>
        <w:t>流域水系及</w:t>
      </w:r>
      <w:r>
        <w:rPr>
          <w:rFonts w:hint="eastAsia"/>
          <w:b/>
          <w:bCs/>
          <w:sz w:val="21"/>
          <w:szCs w:val="21"/>
        </w:rPr>
        <w:t>马莲河</w:t>
      </w:r>
      <w:r>
        <w:rPr>
          <w:b/>
          <w:bCs/>
          <w:sz w:val="21"/>
          <w:szCs w:val="21"/>
        </w:rPr>
        <w:t>流域水文站示意图</w:t>
      </w:r>
    </w:p>
    <w:p>
      <w:pPr>
        <w:ind w:firstLine="480"/>
      </w:pPr>
      <w:r>
        <w:rPr>
          <w:rFonts w:hint="eastAsia"/>
        </w:rPr>
        <w:t>（2）资料和理性检验</w:t>
      </w:r>
    </w:p>
    <w:p>
      <w:pPr>
        <w:ind w:firstLine="480"/>
      </w:pPr>
      <w:r>
        <w:rPr>
          <w:rFonts w:hint="eastAsia"/>
        </w:rPr>
        <w:t>本次论证断面盖家川（F=465 km</w:t>
      </w:r>
      <w:r>
        <w:rPr>
          <w:rFonts w:hint="eastAsia"/>
          <w:vertAlign w:val="superscript"/>
        </w:rPr>
        <w:t>2</w:t>
      </w:r>
      <w:r>
        <w:rPr>
          <w:rFonts w:hint="eastAsia"/>
        </w:rPr>
        <w:t>），排污口论证断面盖家川聂家川以上流域面积362km</w:t>
      </w:r>
      <w:r>
        <w:rPr>
          <w:rFonts w:hint="eastAsia"/>
          <w:vertAlign w:val="superscript"/>
        </w:rPr>
        <w:t>2</w:t>
      </w:r>
      <w:r>
        <w:rPr>
          <w:rFonts w:hint="eastAsia"/>
        </w:rPr>
        <w:t>，</w:t>
      </w:r>
      <w:r>
        <w:t xml:space="preserve">根据流域面积大小选用相邻支流蔡 </w:t>
      </w:r>
      <w:r>
        <w:rPr>
          <w:spacing w:val="2"/>
        </w:rPr>
        <w:t>家庙河蔡家庙站（</w:t>
      </w:r>
      <w:r>
        <w:rPr>
          <w:rFonts w:eastAsia="Times New Roman" w:cs="Times New Roman"/>
          <w:spacing w:val="2"/>
        </w:rPr>
        <w:t>F=270km</w:t>
      </w:r>
      <w:r>
        <w:rPr>
          <w:rFonts w:eastAsia="Times New Roman" w:cs="Times New Roman"/>
          <w:spacing w:val="2"/>
          <w:position w:val="11"/>
          <w:sz w:val="16"/>
          <w:szCs w:val="16"/>
        </w:rPr>
        <w:t>2</w:t>
      </w:r>
      <w:r>
        <w:rPr>
          <w:spacing w:val="2"/>
        </w:rPr>
        <w:t>）作为排污口论证断面参证站。</w:t>
      </w:r>
      <w:r>
        <w:rPr>
          <w:rFonts w:hint="eastAsia"/>
        </w:rPr>
        <w:t>马莲河干流设有洪德、曲子、庆阳、雨落坪水文站，盖家川汇入口位于马莲河庆阳站（F=10603km2）和雨落坪站（F=19019km2）之间，</w:t>
      </w:r>
      <w:r>
        <w:t>故本次径流计算以庆阳站和</w:t>
      </w:r>
      <w:r>
        <w:rPr>
          <w:spacing w:val="-84"/>
        </w:rPr>
        <w:t xml:space="preserve"> </w:t>
      </w:r>
      <w:r>
        <w:t>雨落坪站为参证站，</w:t>
      </w:r>
      <w:r>
        <w:rPr>
          <w:rFonts w:hint="eastAsia"/>
        </w:rPr>
        <w:t>主要参证站详情见表2.2-2。</w:t>
      </w:r>
    </w:p>
    <w:p>
      <w:pPr>
        <w:tabs>
          <w:tab w:val="left" w:pos="2817"/>
        </w:tabs>
        <w:spacing w:before="36"/>
        <w:ind w:left="218" w:right="111" w:firstLine="422"/>
        <w:jc w:val="center"/>
        <w:rPr>
          <w:rFonts w:ascii="宋体" w:hAnsi="宋体"/>
          <w:b/>
          <w:bCs/>
          <w:sz w:val="21"/>
          <w:szCs w:val="21"/>
        </w:rPr>
      </w:pPr>
    </w:p>
    <w:p>
      <w:pPr>
        <w:tabs>
          <w:tab w:val="left" w:pos="2817"/>
        </w:tabs>
        <w:spacing w:before="36"/>
        <w:ind w:left="218" w:right="111" w:firstLine="422"/>
        <w:jc w:val="center"/>
        <w:rPr>
          <w:rFonts w:ascii="宋体" w:hAnsi="宋体"/>
          <w:b/>
          <w:bCs/>
          <w:sz w:val="21"/>
          <w:szCs w:val="21"/>
        </w:rPr>
      </w:pPr>
    </w:p>
    <w:p>
      <w:pPr>
        <w:tabs>
          <w:tab w:val="left" w:pos="2817"/>
        </w:tabs>
        <w:spacing w:before="36"/>
        <w:ind w:left="218" w:right="111" w:firstLine="422"/>
        <w:jc w:val="center"/>
        <w:rPr>
          <w:rFonts w:ascii="宋体" w:hAnsi="宋体"/>
          <w:b/>
          <w:bCs/>
          <w:sz w:val="21"/>
          <w:szCs w:val="21"/>
        </w:rPr>
      </w:pPr>
    </w:p>
    <w:p>
      <w:pPr>
        <w:tabs>
          <w:tab w:val="left" w:pos="2817"/>
        </w:tabs>
        <w:spacing w:before="36"/>
        <w:ind w:left="218" w:right="111" w:firstLine="422"/>
        <w:jc w:val="center"/>
        <w:rPr>
          <w:rFonts w:ascii="宋体" w:hAnsi="宋体"/>
          <w:b/>
          <w:bCs/>
          <w:sz w:val="21"/>
          <w:szCs w:val="21"/>
        </w:rPr>
      </w:pPr>
    </w:p>
    <w:p>
      <w:pPr>
        <w:tabs>
          <w:tab w:val="left" w:pos="2817"/>
        </w:tabs>
        <w:spacing w:before="36"/>
        <w:ind w:left="218" w:right="111" w:firstLine="422"/>
        <w:jc w:val="center"/>
        <w:rPr>
          <w:rFonts w:ascii="宋体" w:hAnsi="宋体"/>
          <w:b/>
          <w:bCs/>
          <w:sz w:val="21"/>
          <w:szCs w:val="21"/>
        </w:rPr>
      </w:pPr>
      <w:r>
        <w:rPr>
          <w:rFonts w:ascii="宋体" w:hAnsi="宋体"/>
          <w:b/>
          <w:bCs/>
          <w:sz w:val="21"/>
          <w:szCs w:val="21"/>
        </w:rPr>
        <w:t>表</w:t>
      </w:r>
      <w:r>
        <w:rPr>
          <w:rFonts w:ascii="宋体" w:hAnsi="宋体"/>
          <w:b/>
          <w:bCs/>
          <w:spacing w:val="-54"/>
          <w:sz w:val="21"/>
          <w:szCs w:val="21"/>
        </w:rPr>
        <w:t xml:space="preserve"> </w:t>
      </w:r>
      <w:r>
        <w:rPr>
          <w:rFonts w:eastAsia="Times New Roman" w:cs="Times New Roman"/>
          <w:b/>
          <w:bCs/>
          <w:sz w:val="21"/>
          <w:szCs w:val="21"/>
        </w:rPr>
        <w:t>2.2-</w:t>
      </w:r>
      <w:r>
        <w:rPr>
          <w:rFonts w:hint="eastAsia" w:cs="Times New Roman" w:eastAsiaTheme="minorEastAsia"/>
          <w:b/>
          <w:bCs/>
          <w:sz w:val="21"/>
          <w:szCs w:val="21"/>
        </w:rPr>
        <w:t xml:space="preserve">2 </w:t>
      </w:r>
      <w:r>
        <w:rPr>
          <w:rFonts w:hint="eastAsia" w:ascii="宋体" w:hAnsi="宋体"/>
          <w:b/>
          <w:bCs/>
          <w:sz w:val="21"/>
          <w:szCs w:val="21"/>
        </w:rPr>
        <w:t>马莲河</w:t>
      </w:r>
      <w:r>
        <w:rPr>
          <w:rFonts w:ascii="宋体" w:hAnsi="宋体"/>
          <w:b/>
          <w:bCs/>
          <w:sz w:val="21"/>
          <w:szCs w:val="21"/>
        </w:rPr>
        <w:t>主要参证水文站一览表</w:t>
      </w:r>
    </w:p>
    <w:tbl>
      <w:tblPr>
        <w:tblStyle w:val="31"/>
        <w:tblW w:w="0" w:type="auto"/>
        <w:jc w:val="center"/>
        <w:tblLayout w:type="fixed"/>
        <w:tblCellMar>
          <w:top w:w="0" w:type="dxa"/>
          <w:left w:w="0" w:type="dxa"/>
          <w:bottom w:w="0" w:type="dxa"/>
          <w:right w:w="0" w:type="dxa"/>
        </w:tblCellMar>
      </w:tblPr>
      <w:tblGrid>
        <w:gridCol w:w="1668"/>
        <w:gridCol w:w="1985"/>
        <w:gridCol w:w="1133"/>
        <w:gridCol w:w="1803"/>
        <w:gridCol w:w="1940"/>
      </w:tblGrid>
      <w:tr>
        <w:tblPrEx>
          <w:tblCellMar>
            <w:top w:w="0" w:type="dxa"/>
            <w:left w:w="0" w:type="dxa"/>
            <w:bottom w:w="0" w:type="dxa"/>
            <w:right w:w="0" w:type="dxa"/>
          </w:tblCellMar>
        </w:tblPrEx>
        <w:trPr>
          <w:trHeight w:val="454" w:hRule="exact"/>
          <w:jc w:val="center"/>
        </w:trPr>
        <w:tc>
          <w:tcPr>
            <w:tcW w:w="1668" w:type="dxa"/>
            <w:tcBorders>
              <w:top w:val="single" w:color="000000" w:sz="4" w:space="0"/>
              <w:left w:val="single" w:color="000000" w:sz="4" w:space="0"/>
              <w:bottom w:val="single" w:color="000000" w:sz="4" w:space="0"/>
              <w:right w:val="single" w:color="000000" w:sz="4" w:space="0"/>
            </w:tcBorders>
            <w:vAlign w:val="center"/>
          </w:tcPr>
          <w:p>
            <w:pPr>
              <w:pStyle w:val="32"/>
              <w:spacing w:before="71"/>
              <w:ind w:firstLine="0" w:firstLineChars="0"/>
              <w:rPr>
                <w:rFonts w:ascii="宋体" w:hAnsi="宋体" w:eastAsiaTheme="minorEastAsia"/>
                <w:sz w:val="21"/>
                <w:szCs w:val="21"/>
              </w:rPr>
            </w:pPr>
            <w:r>
              <w:rPr>
                <w:rFonts w:ascii="宋体" w:hAnsi="宋体" w:eastAsiaTheme="minorEastAsia"/>
                <w:sz w:val="21"/>
                <w:szCs w:val="21"/>
              </w:rPr>
              <w:t>站名</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32"/>
              <w:spacing w:before="71"/>
              <w:ind w:firstLine="0" w:firstLineChars="0"/>
              <w:rPr>
                <w:rFonts w:ascii="宋体" w:hAnsi="宋体" w:eastAsiaTheme="minorEastAsia"/>
                <w:sz w:val="21"/>
                <w:szCs w:val="21"/>
              </w:rPr>
            </w:pPr>
            <w:r>
              <w:rPr>
                <w:rFonts w:ascii="宋体" w:hAnsi="宋体" w:eastAsiaTheme="minorEastAsia"/>
                <w:sz w:val="21"/>
                <w:szCs w:val="21"/>
              </w:rPr>
              <w:t>断面位置</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32"/>
              <w:spacing w:before="118"/>
              <w:ind w:right="5" w:firstLine="0" w:firstLineChars="0"/>
              <w:rPr>
                <w:rFonts w:eastAsia="Times New Roman" w:cs="Times New Roman" w:asciiTheme="minorHAnsi" w:hAnsiTheme="minorHAnsi"/>
                <w:sz w:val="21"/>
                <w:szCs w:val="21"/>
              </w:rPr>
            </w:pPr>
            <w:r>
              <w:rPr>
                <w:rFonts w:asciiTheme="minorHAnsi" w:hAnsiTheme="minorHAnsi" w:eastAsiaTheme="minorEastAsia"/>
                <w:sz w:val="21"/>
              </w:rPr>
              <w:t>F</w:t>
            </w:r>
          </w:p>
        </w:tc>
        <w:tc>
          <w:tcPr>
            <w:tcW w:w="1803" w:type="dxa"/>
            <w:tcBorders>
              <w:top w:val="single" w:color="000000" w:sz="4" w:space="0"/>
              <w:left w:val="single" w:color="000000" w:sz="4" w:space="0"/>
              <w:bottom w:val="single" w:color="000000" w:sz="4" w:space="0"/>
              <w:right w:val="single" w:color="000000" w:sz="4" w:space="0"/>
            </w:tcBorders>
            <w:vAlign w:val="center"/>
          </w:tcPr>
          <w:p>
            <w:pPr>
              <w:pStyle w:val="32"/>
              <w:spacing w:before="71"/>
              <w:ind w:firstLine="0" w:firstLineChars="0"/>
              <w:rPr>
                <w:rFonts w:ascii="宋体" w:hAnsi="宋体" w:eastAsiaTheme="minorEastAsia"/>
                <w:sz w:val="21"/>
                <w:szCs w:val="21"/>
              </w:rPr>
            </w:pPr>
            <w:r>
              <w:rPr>
                <w:rFonts w:ascii="宋体" w:hAnsi="宋体" w:eastAsiaTheme="minorEastAsia"/>
                <w:sz w:val="21"/>
                <w:szCs w:val="21"/>
              </w:rPr>
              <w:t>建站日期</w:t>
            </w:r>
          </w:p>
        </w:tc>
        <w:tc>
          <w:tcPr>
            <w:tcW w:w="1940" w:type="dxa"/>
            <w:tcBorders>
              <w:top w:val="single" w:color="000000" w:sz="4" w:space="0"/>
              <w:left w:val="single" w:color="000000" w:sz="4" w:space="0"/>
              <w:bottom w:val="single" w:color="000000" w:sz="4" w:space="0"/>
              <w:right w:val="single" w:color="000000" w:sz="4" w:space="0"/>
            </w:tcBorders>
            <w:vAlign w:val="center"/>
          </w:tcPr>
          <w:p>
            <w:pPr>
              <w:pStyle w:val="32"/>
              <w:spacing w:before="71"/>
              <w:ind w:firstLine="0" w:firstLineChars="0"/>
              <w:rPr>
                <w:rFonts w:ascii="宋体" w:hAnsi="宋体" w:eastAsiaTheme="minorEastAsia"/>
                <w:sz w:val="21"/>
                <w:szCs w:val="21"/>
              </w:rPr>
            </w:pPr>
            <w:r>
              <w:rPr>
                <w:rFonts w:ascii="宋体" w:hAnsi="宋体" w:eastAsiaTheme="minorEastAsia"/>
                <w:sz w:val="21"/>
                <w:szCs w:val="21"/>
              </w:rPr>
              <w:t>资料年份</w:t>
            </w:r>
          </w:p>
        </w:tc>
      </w:tr>
      <w:tr>
        <w:tblPrEx>
          <w:tblCellMar>
            <w:top w:w="0" w:type="dxa"/>
            <w:left w:w="0" w:type="dxa"/>
            <w:bottom w:w="0" w:type="dxa"/>
            <w:right w:w="0" w:type="dxa"/>
          </w:tblCellMar>
        </w:tblPrEx>
        <w:trPr>
          <w:trHeight w:val="454" w:hRule="exact"/>
          <w:jc w:val="center"/>
        </w:trPr>
        <w:tc>
          <w:tcPr>
            <w:tcW w:w="1668" w:type="dxa"/>
            <w:tcBorders>
              <w:top w:val="single" w:color="000000" w:sz="4" w:space="0"/>
              <w:left w:val="single" w:color="000000" w:sz="4" w:space="0"/>
              <w:bottom w:val="single" w:color="000000" w:sz="4" w:space="0"/>
              <w:right w:val="single" w:color="000000" w:sz="4" w:space="0"/>
            </w:tcBorders>
            <w:vAlign w:val="center"/>
          </w:tcPr>
          <w:p>
            <w:pPr>
              <w:pStyle w:val="32"/>
              <w:spacing w:before="71"/>
              <w:ind w:firstLine="0" w:firstLineChars="0"/>
              <w:rPr>
                <w:rFonts w:ascii="宋体" w:hAnsi="宋体" w:eastAsiaTheme="minorEastAsia"/>
                <w:sz w:val="21"/>
                <w:szCs w:val="21"/>
              </w:rPr>
            </w:pPr>
            <w:r>
              <w:rPr>
                <w:rFonts w:ascii="宋体" w:hAnsi="宋体" w:eastAsiaTheme="minorEastAsia"/>
                <w:sz w:val="21"/>
                <w:szCs w:val="21"/>
              </w:rPr>
              <w:t>庆阳水文站</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32"/>
              <w:spacing w:before="71"/>
              <w:ind w:firstLine="0" w:firstLineChars="0"/>
              <w:rPr>
                <w:rFonts w:ascii="宋体" w:hAnsi="宋体" w:eastAsiaTheme="minorEastAsia"/>
                <w:sz w:val="21"/>
                <w:szCs w:val="21"/>
              </w:rPr>
            </w:pPr>
            <w:r>
              <w:rPr>
                <w:rFonts w:ascii="宋体" w:hAnsi="宋体" w:eastAsiaTheme="minorEastAsia"/>
                <w:sz w:val="21"/>
                <w:szCs w:val="21"/>
              </w:rPr>
              <w:t>庆阳县城西门外</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32"/>
              <w:spacing w:before="118"/>
              <w:ind w:firstLine="0" w:firstLineChars="0"/>
              <w:rPr>
                <w:rFonts w:eastAsia="Times New Roman" w:cs="Times New Roman" w:asciiTheme="minorHAnsi" w:hAnsiTheme="minorHAnsi"/>
                <w:sz w:val="21"/>
                <w:szCs w:val="21"/>
              </w:rPr>
            </w:pPr>
            <w:r>
              <w:rPr>
                <w:rFonts w:asciiTheme="minorHAnsi" w:hAnsiTheme="minorHAnsi" w:eastAsiaTheme="minorEastAsia"/>
                <w:sz w:val="21"/>
              </w:rPr>
              <w:t>10603</w:t>
            </w:r>
          </w:p>
        </w:tc>
        <w:tc>
          <w:tcPr>
            <w:tcW w:w="1803" w:type="dxa"/>
            <w:tcBorders>
              <w:top w:val="single" w:color="000000" w:sz="4" w:space="0"/>
              <w:left w:val="single" w:color="000000" w:sz="4" w:space="0"/>
              <w:bottom w:val="single" w:color="000000" w:sz="4" w:space="0"/>
              <w:right w:val="single" w:color="000000" w:sz="4" w:space="0"/>
            </w:tcBorders>
            <w:vAlign w:val="center"/>
          </w:tcPr>
          <w:p>
            <w:pPr>
              <w:pStyle w:val="32"/>
              <w:spacing w:before="118"/>
              <w:ind w:firstLine="0" w:firstLineChars="0"/>
              <w:rPr>
                <w:rFonts w:eastAsia="Times New Roman" w:cs="Times New Roman" w:asciiTheme="minorHAnsi" w:hAnsiTheme="minorHAnsi"/>
                <w:sz w:val="21"/>
                <w:szCs w:val="21"/>
              </w:rPr>
            </w:pPr>
            <w:r>
              <w:rPr>
                <w:rFonts w:asciiTheme="minorHAnsi" w:hAnsiTheme="minorHAnsi" w:eastAsiaTheme="minorEastAsia"/>
                <w:sz w:val="21"/>
              </w:rPr>
              <w:t>1951.9</w:t>
            </w:r>
          </w:p>
        </w:tc>
        <w:tc>
          <w:tcPr>
            <w:tcW w:w="1940" w:type="dxa"/>
            <w:tcBorders>
              <w:top w:val="single" w:color="000000" w:sz="4" w:space="0"/>
              <w:left w:val="single" w:color="000000" w:sz="4" w:space="0"/>
              <w:bottom w:val="single" w:color="000000" w:sz="4" w:space="0"/>
              <w:right w:val="single" w:color="000000" w:sz="4" w:space="0"/>
            </w:tcBorders>
            <w:vAlign w:val="center"/>
          </w:tcPr>
          <w:p>
            <w:pPr>
              <w:pStyle w:val="32"/>
              <w:spacing w:before="118"/>
              <w:ind w:firstLine="0" w:firstLineChars="0"/>
              <w:rPr>
                <w:rFonts w:eastAsia="Times New Roman" w:cs="Times New Roman" w:asciiTheme="minorHAnsi" w:hAnsiTheme="minorHAnsi"/>
                <w:sz w:val="21"/>
                <w:szCs w:val="21"/>
              </w:rPr>
            </w:pPr>
            <w:r>
              <w:rPr>
                <w:rFonts w:asciiTheme="minorHAnsi" w:hAnsiTheme="minorHAnsi" w:eastAsiaTheme="minorEastAsia"/>
                <w:sz w:val="21"/>
              </w:rPr>
              <w:t>1956.1-2016.12</w:t>
            </w:r>
          </w:p>
        </w:tc>
      </w:tr>
      <w:tr>
        <w:tblPrEx>
          <w:tblCellMar>
            <w:top w:w="0" w:type="dxa"/>
            <w:left w:w="0" w:type="dxa"/>
            <w:bottom w:w="0" w:type="dxa"/>
            <w:right w:w="0" w:type="dxa"/>
          </w:tblCellMar>
        </w:tblPrEx>
        <w:trPr>
          <w:trHeight w:val="456" w:hRule="exact"/>
          <w:jc w:val="center"/>
        </w:trPr>
        <w:tc>
          <w:tcPr>
            <w:tcW w:w="1668" w:type="dxa"/>
            <w:tcBorders>
              <w:top w:val="single" w:color="000000" w:sz="4" w:space="0"/>
              <w:left w:val="single" w:color="000000" w:sz="4" w:space="0"/>
              <w:bottom w:val="single" w:color="000000" w:sz="4" w:space="0"/>
              <w:right w:val="single" w:color="000000" w:sz="4" w:space="0"/>
            </w:tcBorders>
            <w:vAlign w:val="center"/>
          </w:tcPr>
          <w:p>
            <w:pPr>
              <w:pStyle w:val="32"/>
              <w:spacing w:before="74"/>
              <w:ind w:firstLineChars="0"/>
              <w:rPr>
                <w:rFonts w:ascii="宋体" w:hAnsi="宋体" w:eastAsiaTheme="minorEastAsia"/>
                <w:sz w:val="21"/>
                <w:szCs w:val="21"/>
              </w:rPr>
            </w:pPr>
            <w:r>
              <w:rPr>
                <w:rFonts w:ascii="宋体" w:hAnsi="宋体" w:eastAsiaTheme="minorEastAsia"/>
                <w:sz w:val="21"/>
                <w:szCs w:val="21"/>
              </w:rPr>
              <w:t>雨落坪水文站</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32"/>
              <w:spacing w:before="74"/>
              <w:ind w:firstLine="0" w:firstLineChars="0"/>
              <w:rPr>
                <w:rFonts w:ascii="宋体" w:hAnsi="宋体" w:eastAsiaTheme="minorEastAsia"/>
                <w:sz w:val="21"/>
                <w:szCs w:val="21"/>
              </w:rPr>
            </w:pPr>
            <w:r>
              <w:rPr>
                <w:rFonts w:ascii="宋体" w:hAnsi="宋体" w:eastAsiaTheme="minorEastAsia"/>
                <w:sz w:val="21"/>
                <w:szCs w:val="21"/>
              </w:rPr>
              <w:t>宁县新庄镇雨落坪</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32"/>
              <w:spacing w:before="120"/>
              <w:ind w:firstLine="0" w:firstLineChars="0"/>
              <w:rPr>
                <w:rFonts w:eastAsia="Times New Roman" w:cs="Times New Roman" w:asciiTheme="minorHAnsi" w:hAnsiTheme="minorHAnsi"/>
                <w:sz w:val="21"/>
                <w:szCs w:val="21"/>
              </w:rPr>
            </w:pPr>
            <w:r>
              <w:rPr>
                <w:rFonts w:asciiTheme="minorHAnsi" w:hAnsiTheme="minorHAnsi" w:eastAsiaTheme="minorEastAsia"/>
                <w:sz w:val="21"/>
              </w:rPr>
              <w:t>19019</w:t>
            </w:r>
          </w:p>
        </w:tc>
        <w:tc>
          <w:tcPr>
            <w:tcW w:w="1803" w:type="dxa"/>
            <w:tcBorders>
              <w:top w:val="single" w:color="000000" w:sz="4" w:space="0"/>
              <w:left w:val="single" w:color="000000" w:sz="4" w:space="0"/>
              <w:bottom w:val="single" w:color="000000" w:sz="4" w:space="0"/>
              <w:right w:val="single" w:color="000000" w:sz="4" w:space="0"/>
            </w:tcBorders>
            <w:vAlign w:val="center"/>
          </w:tcPr>
          <w:p>
            <w:pPr>
              <w:pStyle w:val="32"/>
              <w:spacing w:before="120"/>
              <w:ind w:firstLine="0" w:firstLineChars="0"/>
              <w:rPr>
                <w:rFonts w:eastAsia="Times New Roman" w:cs="Times New Roman" w:asciiTheme="minorHAnsi" w:hAnsiTheme="minorHAnsi"/>
                <w:sz w:val="21"/>
                <w:szCs w:val="21"/>
              </w:rPr>
            </w:pPr>
            <w:r>
              <w:rPr>
                <w:rFonts w:asciiTheme="minorHAnsi" w:hAnsiTheme="minorHAnsi" w:eastAsiaTheme="minorEastAsia"/>
                <w:sz w:val="21"/>
              </w:rPr>
              <w:t>1954.9</w:t>
            </w:r>
          </w:p>
        </w:tc>
        <w:tc>
          <w:tcPr>
            <w:tcW w:w="1940" w:type="dxa"/>
            <w:tcBorders>
              <w:top w:val="single" w:color="000000" w:sz="4" w:space="0"/>
              <w:left w:val="single" w:color="000000" w:sz="4" w:space="0"/>
              <w:bottom w:val="single" w:color="000000" w:sz="4" w:space="0"/>
              <w:right w:val="single" w:color="000000" w:sz="4" w:space="0"/>
            </w:tcBorders>
            <w:vAlign w:val="center"/>
          </w:tcPr>
          <w:p>
            <w:pPr>
              <w:pStyle w:val="32"/>
              <w:spacing w:before="120"/>
              <w:ind w:firstLine="0" w:firstLineChars="0"/>
              <w:rPr>
                <w:rFonts w:eastAsia="Times New Roman" w:cs="Times New Roman" w:asciiTheme="minorHAnsi" w:hAnsiTheme="minorHAnsi"/>
                <w:sz w:val="21"/>
                <w:szCs w:val="21"/>
              </w:rPr>
            </w:pPr>
            <w:r>
              <w:rPr>
                <w:rFonts w:asciiTheme="minorHAnsi" w:hAnsiTheme="minorHAnsi" w:eastAsiaTheme="minorEastAsia"/>
                <w:sz w:val="21"/>
              </w:rPr>
              <w:t>1956.1-2016.12</w:t>
            </w:r>
          </w:p>
        </w:tc>
      </w:tr>
      <w:tr>
        <w:tblPrEx>
          <w:tblCellMar>
            <w:top w:w="0" w:type="dxa"/>
            <w:left w:w="0" w:type="dxa"/>
            <w:bottom w:w="0" w:type="dxa"/>
            <w:right w:w="0" w:type="dxa"/>
          </w:tblCellMar>
        </w:tblPrEx>
        <w:trPr>
          <w:trHeight w:val="454" w:hRule="exact"/>
          <w:jc w:val="center"/>
        </w:trPr>
        <w:tc>
          <w:tcPr>
            <w:tcW w:w="1668" w:type="dxa"/>
            <w:tcBorders>
              <w:top w:val="single" w:color="000000" w:sz="4" w:space="0"/>
              <w:left w:val="single" w:color="000000" w:sz="4" w:space="0"/>
              <w:bottom w:val="single" w:color="000000" w:sz="4" w:space="0"/>
              <w:right w:val="single" w:color="000000" w:sz="4" w:space="0"/>
            </w:tcBorders>
            <w:vAlign w:val="center"/>
          </w:tcPr>
          <w:p>
            <w:pPr>
              <w:pStyle w:val="32"/>
              <w:spacing w:before="71"/>
              <w:ind w:firstLineChars="0"/>
              <w:rPr>
                <w:rFonts w:ascii="宋体" w:hAnsi="宋体" w:eastAsiaTheme="minorEastAsia"/>
                <w:sz w:val="21"/>
                <w:szCs w:val="21"/>
              </w:rPr>
            </w:pPr>
            <w:r>
              <w:rPr>
                <w:rFonts w:ascii="宋体" w:hAnsi="宋体" w:eastAsiaTheme="minorEastAsia"/>
                <w:sz w:val="21"/>
                <w:szCs w:val="21"/>
              </w:rPr>
              <w:t>蔡家庙水文站</w:t>
            </w:r>
          </w:p>
        </w:tc>
        <w:tc>
          <w:tcPr>
            <w:tcW w:w="1985" w:type="dxa"/>
            <w:tcBorders>
              <w:top w:val="single" w:color="000000" w:sz="4" w:space="0"/>
              <w:left w:val="single" w:color="000000" w:sz="4" w:space="0"/>
              <w:bottom w:val="single" w:color="000000" w:sz="4" w:space="0"/>
              <w:right w:val="single" w:color="000000" w:sz="4" w:space="0"/>
            </w:tcBorders>
            <w:vAlign w:val="center"/>
          </w:tcPr>
          <w:p>
            <w:pPr>
              <w:pStyle w:val="32"/>
              <w:spacing w:before="71"/>
              <w:ind w:firstLine="0" w:firstLineChars="0"/>
              <w:rPr>
                <w:rFonts w:ascii="宋体" w:hAnsi="宋体" w:eastAsiaTheme="minorEastAsia"/>
                <w:sz w:val="21"/>
                <w:szCs w:val="21"/>
              </w:rPr>
            </w:pPr>
            <w:r>
              <w:rPr>
                <w:rFonts w:ascii="宋体" w:hAnsi="宋体" w:eastAsiaTheme="minorEastAsia"/>
                <w:sz w:val="21"/>
                <w:szCs w:val="21"/>
              </w:rPr>
              <w:t>蔡家庙村</w:t>
            </w:r>
          </w:p>
        </w:tc>
        <w:tc>
          <w:tcPr>
            <w:tcW w:w="1133" w:type="dxa"/>
            <w:tcBorders>
              <w:top w:val="single" w:color="000000" w:sz="4" w:space="0"/>
              <w:left w:val="single" w:color="000000" w:sz="4" w:space="0"/>
              <w:bottom w:val="single" w:color="000000" w:sz="4" w:space="0"/>
              <w:right w:val="single" w:color="000000" w:sz="4" w:space="0"/>
            </w:tcBorders>
            <w:vAlign w:val="center"/>
          </w:tcPr>
          <w:p>
            <w:pPr>
              <w:pStyle w:val="32"/>
              <w:spacing w:before="118"/>
              <w:ind w:right="2" w:firstLine="0" w:firstLineChars="0"/>
              <w:rPr>
                <w:rFonts w:eastAsia="Times New Roman" w:cs="Times New Roman" w:asciiTheme="minorHAnsi" w:hAnsiTheme="minorHAnsi"/>
                <w:sz w:val="21"/>
                <w:szCs w:val="21"/>
              </w:rPr>
            </w:pPr>
            <w:r>
              <w:rPr>
                <w:rFonts w:asciiTheme="minorHAnsi" w:hAnsiTheme="minorHAnsi" w:eastAsiaTheme="minorEastAsia"/>
                <w:sz w:val="21"/>
              </w:rPr>
              <w:t>270</w:t>
            </w:r>
          </w:p>
        </w:tc>
        <w:tc>
          <w:tcPr>
            <w:tcW w:w="1803" w:type="dxa"/>
            <w:tcBorders>
              <w:top w:val="single" w:color="000000" w:sz="4" w:space="0"/>
              <w:left w:val="single" w:color="000000" w:sz="4" w:space="0"/>
              <w:bottom w:val="single" w:color="000000" w:sz="4" w:space="0"/>
              <w:right w:val="single" w:color="000000" w:sz="4" w:space="0"/>
            </w:tcBorders>
            <w:vAlign w:val="center"/>
          </w:tcPr>
          <w:p>
            <w:pPr>
              <w:pStyle w:val="32"/>
              <w:spacing w:before="118"/>
              <w:ind w:firstLine="0" w:firstLineChars="0"/>
              <w:rPr>
                <w:rFonts w:eastAsia="Times New Roman" w:cs="Times New Roman" w:asciiTheme="minorHAnsi" w:hAnsiTheme="minorHAnsi"/>
                <w:sz w:val="21"/>
                <w:szCs w:val="21"/>
              </w:rPr>
            </w:pPr>
            <w:r>
              <w:rPr>
                <w:rFonts w:asciiTheme="minorHAnsi" w:hAnsiTheme="minorHAnsi" w:eastAsiaTheme="minorEastAsia"/>
                <w:sz w:val="21"/>
              </w:rPr>
              <w:t>1980.6</w:t>
            </w:r>
          </w:p>
        </w:tc>
        <w:tc>
          <w:tcPr>
            <w:tcW w:w="1940" w:type="dxa"/>
            <w:tcBorders>
              <w:top w:val="single" w:color="000000" w:sz="4" w:space="0"/>
              <w:left w:val="single" w:color="000000" w:sz="4" w:space="0"/>
              <w:bottom w:val="single" w:color="000000" w:sz="4" w:space="0"/>
              <w:right w:val="single" w:color="000000" w:sz="4" w:space="0"/>
            </w:tcBorders>
            <w:vAlign w:val="center"/>
          </w:tcPr>
          <w:p>
            <w:pPr>
              <w:pStyle w:val="32"/>
              <w:spacing w:before="118"/>
              <w:ind w:firstLine="0" w:firstLineChars="0"/>
              <w:rPr>
                <w:rFonts w:eastAsia="Times New Roman" w:cs="Times New Roman" w:asciiTheme="minorHAnsi" w:hAnsiTheme="minorHAnsi"/>
                <w:sz w:val="21"/>
                <w:szCs w:val="21"/>
              </w:rPr>
            </w:pPr>
            <w:r>
              <w:rPr>
                <w:rFonts w:asciiTheme="minorHAnsi" w:hAnsiTheme="minorHAnsi" w:eastAsiaTheme="minorEastAsia"/>
                <w:sz w:val="21"/>
              </w:rPr>
              <w:t>1981.1-2016.12</w:t>
            </w:r>
          </w:p>
        </w:tc>
      </w:tr>
    </w:tbl>
    <w:p>
      <w:pPr>
        <w:ind w:firstLine="141"/>
        <w:rPr>
          <w:rFonts w:ascii="宋体" w:hAnsi="宋体"/>
          <w:b/>
          <w:bCs/>
          <w:sz w:val="7"/>
          <w:szCs w:val="7"/>
        </w:rPr>
      </w:pPr>
    </w:p>
    <w:p>
      <w:pPr>
        <w:pStyle w:val="7"/>
        <w:spacing w:before="46"/>
        <w:ind w:left="218" w:right="111" w:firstLine="480"/>
      </w:pPr>
      <w:r>
        <w:t xml:space="preserve">庆阳站和雨落坪为黄委会设立站，蔡家庙站为甘肃省水文水资源局设立站， </w:t>
      </w:r>
      <w:r>
        <w:rPr>
          <w:spacing w:val="-3"/>
        </w:rPr>
        <w:t>各站均为基本水文站，其水文测验规范，观测项目较齐全。所有观测项目的水文</w:t>
      </w:r>
      <w:r>
        <w:rPr>
          <w:spacing w:val="-102"/>
        </w:rPr>
        <w:t xml:space="preserve"> </w:t>
      </w:r>
      <w:r>
        <w:t>测验数据整编均符合国家技术规范要求，数据成果可靠。</w:t>
      </w:r>
    </w:p>
    <w:p>
      <w:pPr>
        <w:pStyle w:val="7"/>
        <w:spacing w:before="38"/>
        <w:ind w:left="218" w:right="111" w:firstLine="480"/>
      </w:pPr>
      <w:r>
        <w:rPr>
          <w:rFonts w:hint="eastAsia"/>
        </w:rPr>
        <w:t>绘制参证站</w:t>
      </w:r>
      <w:r>
        <w:rPr>
          <w:rFonts w:eastAsia="Times New Roman" w:cs="Times New Roman"/>
        </w:rPr>
        <w:t>1956</w:t>
      </w:r>
      <w:r>
        <w:t>～</w:t>
      </w:r>
      <w:r>
        <w:rPr>
          <w:rFonts w:eastAsia="Times New Roman" w:cs="Times New Roman"/>
        </w:rPr>
        <w:t>2016</w:t>
      </w:r>
      <w:r>
        <w:rPr>
          <w:rFonts w:hint="eastAsia"/>
        </w:rPr>
        <w:t>年年径流时序图和差积曲线图，见图</w:t>
      </w:r>
      <w:r>
        <w:rPr>
          <w:rFonts w:hint="eastAsia"/>
          <w:color w:val="000000" w:themeColor="text1"/>
        </w:rPr>
        <w:t>2.2-2-2.2-7</w:t>
      </w:r>
      <w:r>
        <w:rPr>
          <w:rFonts w:hint="eastAsia"/>
        </w:rPr>
        <w:t>。</w:t>
      </w:r>
      <w:r>
        <w:rPr>
          <w:spacing w:val="-3"/>
        </w:rPr>
        <w:t>由年径流差积曲线可以看出，可以看出马莲河上下游参证站年径流系列总体包含</w:t>
      </w:r>
      <w:r>
        <w:rPr>
          <w:spacing w:val="-104"/>
        </w:rPr>
        <w:t xml:space="preserve"> </w:t>
      </w:r>
      <w:r>
        <w:t>了平水</w:t>
      </w:r>
      <w:r>
        <w:rPr>
          <w:rFonts w:eastAsia="Times New Roman" w:cs="Times New Roman"/>
        </w:rPr>
        <w:t>~</w:t>
      </w:r>
      <w:r>
        <w:t>最丰偏枯偏丰</w:t>
      </w:r>
      <w:r>
        <w:rPr>
          <w:rFonts w:eastAsia="Times New Roman" w:cs="Times New Roman"/>
        </w:rPr>
        <w:t>~</w:t>
      </w:r>
      <w:r>
        <w:t>平水</w:t>
      </w:r>
      <w:r>
        <w:rPr>
          <w:rFonts w:eastAsia="Times New Roman" w:cs="Times New Roman"/>
        </w:rPr>
        <w:t>~</w:t>
      </w:r>
      <w:r>
        <w:t xml:space="preserve">最枯的样本，系列包含丰平枯水年份，且变化规律 基本一致，说明系列代表性较好。庆阳水文站系列中包含了 </w:t>
      </w:r>
      <w:r>
        <w:rPr>
          <w:rFonts w:eastAsia="Times New Roman" w:cs="Times New Roman"/>
        </w:rPr>
        <w:t xml:space="preserve">10 </w:t>
      </w:r>
      <w:r>
        <w:t>个丰水年、</w:t>
      </w:r>
      <w:r>
        <w:rPr>
          <w:rFonts w:eastAsia="Times New Roman" w:cs="Times New Roman"/>
        </w:rPr>
        <w:t>8</w:t>
      </w:r>
      <w:r>
        <w:rPr>
          <w:rFonts w:eastAsia="Times New Roman" w:cs="Times New Roman"/>
          <w:spacing w:val="-27"/>
        </w:rPr>
        <w:t xml:space="preserve"> </w:t>
      </w:r>
      <w:r>
        <w:t>个 偏丰年、</w:t>
      </w:r>
      <w:r>
        <w:rPr>
          <w:rFonts w:eastAsia="Times New Roman" w:cs="Times New Roman"/>
        </w:rPr>
        <w:t xml:space="preserve">12 </w:t>
      </w:r>
      <w:r>
        <w:t>个平水年、</w:t>
      </w:r>
      <w:r>
        <w:rPr>
          <w:rFonts w:eastAsia="Times New Roman" w:cs="Times New Roman"/>
        </w:rPr>
        <w:t xml:space="preserve">20 </w:t>
      </w:r>
      <w:r>
        <w:rPr>
          <w:spacing w:val="-3"/>
        </w:rPr>
        <w:t>个偏枯年，</w:t>
      </w:r>
      <w:r>
        <w:rPr>
          <w:rFonts w:eastAsia="Times New Roman" w:cs="Times New Roman"/>
          <w:spacing w:val="-3"/>
        </w:rPr>
        <w:t>11</w:t>
      </w:r>
      <w:r>
        <w:rPr>
          <w:rFonts w:eastAsia="Times New Roman" w:cs="Times New Roman"/>
          <w:spacing w:val="-9"/>
        </w:rPr>
        <w:t xml:space="preserve"> </w:t>
      </w:r>
      <w:r>
        <w:t>个枯水年；雨落坪水文站系列中包含了</w:t>
      </w:r>
      <w:r>
        <w:rPr>
          <w:rFonts w:eastAsia="Times New Roman" w:cs="Times New Roman"/>
        </w:rPr>
        <w:t xml:space="preserve">8 </w:t>
      </w:r>
      <w:r>
        <w:t>个丰水年、</w:t>
      </w:r>
      <w:r>
        <w:rPr>
          <w:rFonts w:eastAsia="Times New Roman" w:cs="Times New Roman"/>
        </w:rPr>
        <w:t xml:space="preserve">12 </w:t>
      </w:r>
      <w:r>
        <w:t>个偏丰年、</w:t>
      </w:r>
      <w:r>
        <w:rPr>
          <w:rFonts w:eastAsia="Times New Roman" w:cs="Times New Roman"/>
        </w:rPr>
        <w:t xml:space="preserve">9 </w:t>
      </w:r>
      <w:r>
        <w:t>个平水年、</w:t>
      </w:r>
      <w:r>
        <w:rPr>
          <w:rFonts w:eastAsia="Times New Roman" w:cs="Times New Roman"/>
        </w:rPr>
        <w:t xml:space="preserve">18 </w:t>
      </w:r>
      <w:r>
        <w:t>个偏枯年，</w:t>
      </w:r>
      <w:r>
        <w:rPr>
          <w:rFonts w:eastAsia="Times New Roman" w:cs="Times New Roman"/>
        </w:rPr>
        <w:t>14</w:t>
      </w:r>
      <w:r>
        <w:rPr>
          <w:rFonts w:eastAsia="Times New Roman" w:cs="Times New Roman"/>
          <w:spacing w:val="28"/>
        </w:rPr>
        <w:t xml:space="preserve"> </w:t>
      </w:r>
      <w:r>
        <w:t xml:space="preserve">个枯水年；蔡家庙水 文站系列中包含了 </w:t>
      </w:r>
      <w:r>
        <w:rPr>
          <w:rFonts w:eastAsia="Times New Roman" w:cs="Times New Roman"/>
        </w:rPr>
        <w:t xml:space="preserve">4 </w:t>
      </w:r>
      <w:r>
        <w:rPr>
          <w:spacing w:val="-4"/>
        </w:rPr>
        <w:t>个丰水年、</w:t>
      </w:r>
      <w:r>
        <w:rPr>
          <w:rFonts w:eastAsia="Times New Roman" w:cs="Times New Roman"/>
          <w:spacing w:val="-4"/>
        </w:rPr>
        <w:t xml:space="preserve">5 </w:t>
      </w:r>
      <w:r>
        <w:rPr>
          <w:spacing w:val="-5"/>
        </w:rPr>
        <w:t>个偏丰年、</w:t>
      </w:r>
      <w:r>
        <w:rPr>
          <w:rFonts w:eastAsia="Times New Roman" w:cs="Times New Roman"/>
          <w:spacing w:val="-5"/>
        </w:rPr>
        <w:t xml:space="preserve">11 </w:t>
      </w:r>
      <w:r>
        <w:rPr>
          <w:spacing w:val="-3"/>
        </w:rPr>
        <w:t>个平水年、</w:t>
      </w:r>
      <w:r>
        <w:rPr>
          <w:rFonts w:eastAsia="Times New Roman" w:cs="Times New Roman"/>
          <w:spacing w:val="-3"/>
        </w:rPr>
        <w:t xml:space="preserve">10 </w:t>
      </w:r>
      <w:r>
        <w:rPr>
          <w:spacing w:val="-4"/>
        </w:rPr>
        <w:t>个偏枯年，</w:t>
      </w:r>
      <w:r>
        <w:rPr>
          <w:rFonts w:eastAsia="Times New Roman" w:cs="Times New Roman"/>
          <w:spacing w:val="-4"/>
        </w:rPr>
        <w:t>7</w:t>
      </w:r>
      <w:r>
        <w:rPr>
          <w:rFonts w:eastAsia="Times New Roman" w:cs="Times New Roman"/>
          <w:spacing w:val="-34"/>
        </w:rPr>
        <w:t xml:space="preserve"> </w:t>
      </w:r>
      <w:r>
        <w:t>个枯 水年；资料系列具有一定的代表性。</w:t>
      </w:r>
    </w:p>
    <w:p>
      <w:pPr>
        <w:ind w:firstLine="166" w:firstLineChars="83"/>
        <w:jc w:val="center"/>
      </w:pPr>
      <w:r>
        <w:rPr>
          <w:rFonts w:ascii="宋体" w:hAnsi="宋体"/>
          <w:position w:val="-105"/>
          <w:sz w:val="20"/>
          <w:szCs w:val="20"/>
          <w:lang w:val="en-US" w:bidi="ar-SA"/>
        </w:rPr>
        <w:drawing>
          <wp:inline distT="0" distB="0" distL="0" distR="0">
            <wp:extent cx="5295900" cy="3209925"/>
            <wp:effectExtent l="0" t="0" r="0" b="0"/>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8.png"/>
                    <pic:cNvPicPr>
                      <a:picLocks noChangeAspect="1"/>
                    </pic:cNvPicPr>
                  </pic:nvPicPr>
                  <pic:blipFill>
                    <a:blip r:embed="rId26" cstate="print"/>
                    <a:stretch>
                      <a:fillRect/>
                    </a:stretch>
                  </pic:blipFill>
                  <pic:spPr>
                    <a:xfrm>
                      <a:off x="0" y="0"/>
                      <a:ext cx="5297606" cy="3210959"/>
                    </a:xfrm>
                    <a:prstGeom prst="rect">
                      <a:avLst/>
                    </a:prstGeom>
                  </pic:spPr>
                </pic:pic>
              </a:graphicData>
            </a:graphic>
          </wp:inline>
        </w:drawing>
      </w:r>
    </w:p>
    <w:p>
      <w:pPr>
        <w:tabs>
          <w:tab w:val="left" w:pos="2932"/>
        </w:tabs>
        <w:spacing w:before="82"/>
        <w:ind w:left="1914" w:right="111" w:firstLine="422"/>
        <w:rPr>
          <w:rFonts w:ascii="宋体" w:hAnsi="宋体"/>
          <w:b/>
          <w:bCs/>
          <w:sz w:val="21"/>
          <w:szCs w:val="21"/>
        </w:rPr>
      </w:pPr>
      <w:r>
        <w:rPr>
          <w:rFonts w:ascii="宋体" w:hAnsi="宋体"/>
          <w:b/>
          <w:bCs/>
          <w:sz w:val="21"/>
          <w:szCs w:val="21"/>
        </w:rPr>
        <w:t>图</w:t>
      </w:r>
      <w:r>
        <w:rPr>
          <w:rFonts w:ascii="宋体" w:hAnsi="宋体"/>
          <w:b/>
          <w:bCs/>
          <w:spacing w:val="-53"/>
          <w:sz w:val="21"/>
          <w:szCs w:val="21"/>
        </w:rPr>
        <w:t xml:space="preserve"> </w:t>
      </w:r>
      <w:r>
        <w:rPr>
          <w:rFonts w:eastAsia="Times New Roman" w:cs="Times New Roman"/>
          <w:b/>
          <w:bCs/>
          <w:sz w:val="21"/>
          <w:szCs w:val="21"/>
        </w:rPr>
        <w:t>2.2-</w:t>
      </w:r>
      <w:r>
        <w:rPr>
          <w:rFonts w:hint="eastAsia" w:cs="Times New Roman" w:eastAsiaTheme="minorEastAsia"/>
          <w:b/>
          <w:bCs/>
          <w:sz w:val="21"/>
          <w:szCs w:val="21"/>
        </w:rPr>
        <w:t>2</w:t>
      </w:r>
      <w:r>
        <w:rPr>
          <w:rFonts w:eastAsia="Times New Roman" w:cs="Times New Roman"/>
          <w:b/>
          <w:bCs/>
          <w:sz w:val="21"/>
          <w:szCs w:val="21"/>
        </w:rPr>
        <w:tab/>
      </w:r>
      <w:r>
        <w:rPr>
          <w:rFonts w:hint="eastAsia" w:ascii="宋体" w:hAnsi="宋体"/>
          <w:b/>
          <w:bCs/>
          <w:sz w:val="21"/>
          <w:szCs w:val="21"/>
        </w:rPr>
        <w:t>庆阳</w:t>
      </w:r>
      <w:r>
        <w:rPr>
          <w:rFonts w:ascii="宋体" w:hAnsi="宋体"/>
          <w:b/>
          <w:bCs/>
          <w:sz w:val="21"/>
          <w:szCs w:val="21"/>
        </w:rPr>
        <w:t>站</w:t>
      </w:r>
      <w:r>
        <w:rPr>
          <w:rFonts w:ascii="宋体" w:hAnsi="宋体"/>
          <w:b/>
          <w:bCs/>
          <w:spacing w:val="-55"/>
          <w:sz w:val="21"/>
          <w:szCs w:val="21"/>
        </w:rPr>
        <w:t xml:space="preserve"> </w:t>
      </w:r>
      <w:r>
        <w:rPr>
          <w:rFonts w:eastAsia="Times New Roman" w:cs="Times New Roman"/>
          <w:b/>
          <w:bCs/>
          <w:sz w:val="21"/>
          <w:szCs w:val="21"/>
        </w:rPr>
        <w:t>195</w:t>
      </w:r>
      <w:r>
        <w:rPr>
          <w:rFonts w:hint="eastAsia" w:cs="Times New Roman" w:eastAsiaTheme="minorEastAsia"/>
          <w:b/>
          <w:bCs/>
          <w:sz w:val="21"/>
          <w:szCs w:val="21"/>
        </w:rPr>
        <w:t>6</w:t>
      </w:r>
      <w:r>
        <w:rPr>
          <w:rFonts w:ascii="宋体" w:hAnsi="宋体"/>
          <w:b/>
          <w:bCs/>
          <w:sz w:val="21"/>
          <w:szCs w:val="21"/>
        </w:rPr>
        <w:t>～</w:t>
      </w:r>
      <w:r>
        <w:rPr>
          <w:rFonts w:eastAsia="Times New Roman" w:cs="Times New Roman"/>
          <w:b/>
          <w:bCs/>
          <w:sz w:val="21"/>
          <w:szCs w:val="21"/>
        </w:rPr>
        <w:t>20</w:t>
      </w:r>
      <w:r>
        <w:rPr>
          <w:rFonts w:hint="eastAsia" w:cs="Times New Roman" w:eastAsiaTheme="minorEastAsia"/>
          <w:b/>
          <w:bCs/>
          <w:sz w:val="21"/>
          <w:szCs w:val="21"/>
        </w:rPr>
        <w:t>16</w:t>
      </w:r>
      <w:r>
        <w:rPr>
          <w:rFonts w:ascii="宋体" w:hAnsi="宋体"/>
          <w:b/>
          <w:bCs/>
          <w:sz w:val="21"/>
          <w:szCs w:val="21"/>
        </w:rPr>
        <w:t>年年径流量时序图</w:t>
      </w:r>
    </w:p>
    <w:p>
      <w:pPr>
        <w:tabs>
          <w:tab w:val="left" w:pos="2932"/>
        </w:tabs>
        <w:spacing w:before="82"/>
        <w:ind w:right="111" w:firstLine="199" w:firstLineChars="95"/>
        <w:rPr>
          <w:rFonts w:ascii="宋体" w:hAnsi="宋体"/>
          <w:sz w:val="21"/>
          <w:szCs w:val="21"/>
        </w:rPr>
      </w:pPr>
    </w:p>
    <w:p>
      <w:pPr>
        <w:ind w:firstLine="166" w:firstLineChars="83"/>
        <w:jc w:val="center"/>
      </w:pPr>
      <w:r>
        <w:rPr>
          <w:rFonts w:ascii="宋体" w:hAnsi="宋体"/>
          <w:position w:val="-107"/>
          <w:sz w:val="20"/>
          <w:szCs w:val="20"/>
          <w:lang w:val="en-US" w:bidi="ar-SA"/>
        </w:rPr>
        <w:drawing>
          <wp:inline distT="0" distB="0" distL="0" distR="0">
            <wp:extent cx="5264150" cy="3421380"/>
            <wp:effectExtent l="0" t="0" r="0" b="0"/>
            <wp:docPr id="4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png"/>
                    <pic:cNvPicPr>
                      <a:picLocks noChangeAspect="1"/>
                    </pic:cNvPicPr>
                  </pic:nvPicPr>
                  <pic:blipFill>
                    <a:blip r:embed="rId27" cstate="print"/>
                    <a:stretch>
                      <a:fillRect/>
                    </a:stretch>
                  </pic:blipFill>
                  <pic:spPr>
                    <a:xfrm>
                      <a:off x="0" y="0"/>
                      <a:ext cx="5264783" cy="3421951"/>
                    </a:xfrm>
                    <a:prstGeom prst="rect">
                      <a:avLst/>
                    </a:prstGeom>
                  </pic:spPr>
                </pic:pic>
              </a:graphicData>
            </a:graphic>
          </wp:inline>
        </w:drawing>
      </w:r>
    </w:p>
    <w:p>
      <w:pPr>
        <w:tabs>
          <w:tab w:val="left" w:pos="2932"/>
        </w:tabs>
        <w:spacing w:before="82"/>
        <w:ind w:left="1914" w:right="111" w:firstLine="422"/>
        <w:rPr>
          <w:rFonts w:ascii="宋体" w:hAnsi="宋体"/>
          <w:b/>
          <w:bCs/>
          <w:sz w:val="21"/>
          <w:szCs w:val="21"/>
        </w:rPr>
      </w:pPr>
      <w:r>
        <w:rPr>
          <w:rFonts w:ascii="宋体" w:hAnsi="宋体"/>
          <w:b/>
          <w:bCs/>
          <w:sz w:val="21"/>
          <w:szCs w:val="21"/>
        </w:rPr>
        <w:t>图</w:t>
      </w:r>
      <w:r>
        <w:rPr>
          <w:rFonts w:ascii="宋体" w:hAnsi="宋体"/>
          <w:b/>
          <w:bCs/>
          <w:spacing w:val="-53"/>
          <w:sz w:val="21"/>
          <w:szCs w:val="21"/>
        </w:rPr>
        <w:t xml:space="preserve"> </w:t>
      </w:r>
      <w:r>
        <w:rPr>
          <w:rFonts w:eastAsia="Times New Roman" w:cs="Times New Roman"/>
          <w:b/>
          <w:bCs/>
          <w:sz w:val="21"/>
          <w:szCs w:val="21"/>
        </w:rPr>
        <w:t>2.2-</w:t>
      </w:r>
      <w:r>
        <w:rPr>
          <w:rFonts w:hint="eastAsia" w:cs="Times New Roman" w:eastAsiaTheme="minorEastAsia"/>
          <w:b/>
          <w:bCs/>
          <w:sz w:val="21"/>
          <w:szCs w:val="21"/>
        </w:rPr>
        <w:t>3</w:t>
      </w:r>
      <w:r>
        <w:rPr>
          <w:rFonts w:eastAsia="Times New Roman" w:cs="Times New Roman"/>
          <w:b/>
          <w:bCs/>
          <w:sz w:val="21"/>
          <w:szCs w:val="21"/>
        </w:rPr>
        <w:tab/>
      </w:r>
      <w:r>
        <w:rPr>
          <w:rFonts w:hint="eastAsia" w:ascii="宋体" w:hAnsi="宋体"/>
          <w:b/>
          <w:bCs/>
          <w:sz w:val="21"/>
          <w:szCs w:val="21"/>
        </w:rPr>
        <w:t>庆阳</w:t>
      </w:r>
      <w:r>
        <w:rPr>
          <w:rFonts w:ascii="宋体" w:hAnsi="宋体"/>
          <w:b/>
          <w:bCs/>
          <w:sz w:val="21"/>
          <w:szCs w:val="21"/>
        </w:rPr>
        <w:t>站</w:t>
      </w:r>
      <w:r>
        <w:rPr>
          <w:rFonts w:ascii="宋体" w:hAnsi="宋体"/>
          <w:b/>
          <w:bCs/>
          <w:spacing w:val="-55"/>
          <w:sz w:val="21"/>
          <w:szCs w:val="21"/>
        </w:rPr>
        <w:t xml:space="preserve"> </w:t>
      </w:r>
      <w:r>
        <w:rPr>
          <w:rFonts w:eastAsia="Times New Roman" w:cs="Times New Roman"/>
          <w:b/>
          <w:bCs/>
          <w:sz w:val="21"/>
          <w:szCs w:val="21"/>
        </w:rPr>
        <w:t>195</w:t>
      </w:r>
      <w:r>
        <w:rPr>
          <w:rFonts w:hint="eastAsia" w:cs="Times New Roman" w:eastAsiaTheme="minorEastAsia"/>
          <w:b/>
          <w:bCs/>
          <w:sz w:val="21"/>
          <w:szCs w:val="21"/>
        </w:rPr>
        <w:t>6</w:t>
      </w:r>
      <w:r>
        <w:rPr>
          <w:rFonts w:ascii="宋体" w:hAnsi="宋体"/>
          <w:b/>
          <w:bCs/>
          <w:sz w:val="21"/>
          <w:szCs w:val="21"/>
        </w:rPr>
        <w:t>～</w:t>
      </w:r>
      <w:r>
        <w:rPr>
          <w:rFonts w:hint="eastAsia" w:cs="Times New Roman" w:asciiTheme="minorEastAsia" w:hAnsiTheme="minorEastAsia" w:eastAsiaTheme="minorEastAsia"/>
          <w:b/>
          <w:bCs/>
          <w:sz w:val="21"/>
          <w:szCs w:val="21"/>
        </w:rPr>
        <w:t>2016</w:t>
      </w:r>
      <w:r>
        <w:rPr>
          <w:rFonts w:ascii="宋体" w:hAnsi="宋体"/>
          <w:b/>
          <w:bCs/>
          <w:sz w:val="21"/>
          <w:szCs w:val="21"/>
        </w:rPr>
        <w:t>年年径流</w:t>
      </w:r>
      <w:r>
        <w:rPr>
          <w:rFonts w:hint="eastAsia" w:ascii="宋体" w:hAnsi="宋体"/>
          <w:b/>
          <w:bCs/>
          <w:sz w:val="21"/>
          <w:szCs w:val="21"/>
        </w:rPr>
        <w:t>差积曲线</w:t>
      </w:r>
      <w:r>
        <w:rPr>
          <w:rFonts w:ascii="宋体" w:hAnsi="宋体"/>
          <w:b/>
          <w:bCs/>
          <w:sz w:val="21"/>
          <w:szCs w:val="21"/>
        </w:rPr>
        <w:t>图</w:t>
      </w:r>
    </w:p>
    <w:p>
      <w:pPr>
        <w:tabs>
          <w:tab w:val="left" w:pos="2932"/>
        </w:tabs>
        <w:spacing w:before="82"/>
        <w:ind w:right="111" w:firstLine="188" w:firstLineChars="94"/>
        <w:jc w:val="center"/>
        <w:rPr>
          <w:rFonts w:ascii="宋体" w:hAnsi="宋体"/>
          <w:b/>
          <w:bCs/>
          <w:sz w:val="21"/>
          <w:szCs w:val="21"/>
        </w:rPr>
      </w:pPr>
      <w:r>
        <w:rPr>
          <w:rFonts w:ascii="宋体" w:hAnsi="宋体"/>
          <w:position w:val="-105"/>
          <w:sz w:val="20"/>
          <w:szCs w:val="20"/>
          <w:lang w:val="en-US" w:bidi="ar-SA"/>
        </w:rPr>
        <w:drawing>
          <wp:inline distT="0" distB="0" distL="0" distR="0">
            <wp:extent cx="5038725" cy="3374390"/>
            <wp:effectExtent l="0" t="0" r="0" b="0"/>
            <wp:docPr id="4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png"/>
                    <pic:cNvPicPr>
                      <a:picLocks noChangeAspect="1"/>
                    </pic:cNvPicPr>
                  </pic:nvPicPr>
                  <pic:blipFill>
                    <a:blip r:embed="rId28" cstate="print"/>
                    <a:stretch>
                      <a:fillRect/>
                    </a:stretch>
                  </pic:blipFill>
                  <pic:spPr>
                    <a:xfrm>
                      <a:off x="0" y="0"/>
                      <a:ext cx="5038767" cy="3374516"/>
                    </a:xfrm>
                    <a:prstGeom prst="rect">
                      <a:avLst/>
                    </a:prstGeom>
                  </pic:spPr>
                </pic:pic>
              </a:graphicData>
            </a:graphic>
          </wp:inline>
        </w:drawing>
      </w:r>
    </w:p>
    <w:p>
      <w:pPr>
        <w:tabs>
          <w:tab w:val="left" w:pos="2932"/>
        </w:tabs>
        <w:spacing w:before="82"/>
        <w:ind w:left="1914" w:right="111" w:firstLine="422"/>
        <w:rPr>
          <w:rFonts w:ascii="宋体" w:hAnsi="宋体"/>
          <w:b/>
          <w:bCs/>
          <w:sz w:val="21"/>
          <w:szCs w:val="21"/>
        </w:rPr>
      </w:pPr>
      <w:r>
        <w:rPr>
          <w:rFonts w:ascii="宋体" w:hAnsi="宋体"/>
          <w:b/>
          <w:bCs/>
          <w:sz w:val="21"/>
          <w:szCs w:val="21"/>
        </w:rPr>
        <w:t>图</w:t>
      </w:r>
      <w:r>
        <w:rPr>
          <w:rFonts w:ascii="宋体" w:hAnsi="宋体"/>
          <w:b/>
          <w:bCs/>
          <w:spacing w:val="-53"/>
          <w:sz w:val="21"/>
          <w:szCs w:val="21"/>
        </w:rPr>
        <w:t xml:space="preserve"> </w:t>
      </w:r>
      <w:r>
        <w:rPr>
          <w:rFonts w:eastAsia="Times New Roman" w:cs="Times New Roman"/>
          <w:b/>
          <w:bCs/>
          <w:sz w:val="21"/>
          <w:szCs w:val="21"/>
        </w:rPr>
        <w:t>2.2-</w:t>
      </w:r>
      <w:r>
        <w:rPr>
          <w:rFonts w:hint="eastAsia" w:cs="Times New Roman" w:eastAsiaTheme="minorEastAsia"/>
          <w:b/>
          <w:bCs/>
          <w:sz w:val="21"/>
          <w:szCs w:val="21"/>
        </w:rPr>
        <w:t>4</w:t>
      </w:r>
      <w:r>
        <w:rPr>
          <w:rFonts w:eastAsia="Times New Roman" w:cs="Times New Roman"/>
          <w:b/>
          <w:bCs/>
          <w:sz w:val="21"/>
          <w:szCs w:val="21"/>
        </w:rPr>
        <w:tab/>
      </w:r>
      <w:r>
        <w:rPr>
          <w:rFonts w:hint="eastAsia" w:ascii="宋体" w:hAnsi="宋体"/>
          <w:b/>
          <w:bCs/>
          <w:sz w:val="21"/>
          <w:szCs w:val="21"/>
        </w:rPr>
        <w:t>雨落坪</w:t>
      </w:r>
      <w:r>
        <w:rPr>
          <w:rFonts w:ascii="宋体" w:hAnsi="宋体"/>
          <w:b/>
          <w:bCs/>
          <w:sz w:val="21"/>
          <w:szCs w:val="21"/>
        </w:rPr>
        <w:t>站</w:t>
      </w:r>
      <w:r>
        <w:rPr>
          <w:rFonts w:ascii="宋体" w:hAnsi="宋体"/>
          <w:b/>
          <w:bCs/>
          <w:spacing w:val="-55"/>
          <w:sz w:val="21"/>
          <w:szCs w:val="21"/>
        </w:rPr>
        <w:t xml:space="preserve"> </w:t>
      </w:r>
      <w:r>
        <w:rPr>
          <w:rFonts w:eastAsia="Times New Roman" w:cs="Times New Roman"/>
          <w:b/>
          <w:bCs/>
          <w:sz w:val="21"/>
          <w:szCs w:val="21"/>
        </w:rPr>
        <w:t>195</w:t>
      </w:r>
      <w:r>
        <w:rPr>
          <w:rFonts w:hint="eastAsia" w:cs="Times New Roman" w:eastAsiaTheme="minorEastAsia"/>
          <w:b/>
          <w:bCs/>
          <w:sz w:val="21"/>
          <w:szCs w:val="21"/>
        </w:rPr>
        <w:t>6</w:t>
      </w:r>
      <w:r>
        <w:rPr>
          <w:rFonts w:ascii="宋体" w:hAnsi="宋体"/>
          <w:b/>
          <w:bCs/>
          <w:sz w:val="21"/>
          <w:szCs w:val="21"/>
        </w:rPr>
        <w:t>～</w:t>
      </w:r>
      <w:r>
        <w:rPr>
          <w:rFonts w:eastAsia="Times New Roman" w:cs="Times New Roman"/>
          <w:b/>
          <w:bCs/>
          <w:sz w:val="21"/>
          <w:szCs w:val="21"/>
        </w:rPr>
        <w:t>20</w:t>
      </w:r>
      <w:r>
        <w:rPr>
          <w:rFonts w:hint="eastAsia" w:cs="Times New Roman" w:eastAsiaTheme="minorEastAsia"/>
          <w:b/>
          <w:bCs/>
          <w:sz w:val="21"/>
          <w:szCs w:val="21"/>
        </w:rPr>
        <w:t>16</w:t>
      </w:r>
      <w:r>
        <w:rPr>
          <w:rFonts w:ascii="宋体" w:hAnsi="宋体"/>
          <w:b/>
          <w:bCs/>
          <w:sz w:val="21"/>
          <w:szCs w:val="21"/>
        </w:rPr>
        <w:t>年年径流量时序图</w:t>
      </w:r>
    </w:p>
    <w:p>
      <w:pPr>
        <w:ind w:firstLine="480"/>
        <w:jc w:val="both"/>
      </w:pPr>
    </w:p>
    <w:p>
      <w:pPr>
        <w:ind w:firstLine="0" w:firstLineChars="0"/>
        <w:jc w:val="center"/>
      </w:pPr>
      <w:r>
        <w:rPr>
          <w:rFonts w:ascii="宋体" w:hAnsi="宋体"/>
          <w:position w:val="-112"/>
          <w:sz w:val="20"/>
          <w:szCs w:val="20"/>
          <w:lang w:val="en-US" w:bidi="ar-SA"/>
        </w:rPr>
        <w:drawing>
          <wp:inline distT="0" distB="0" distL="0" distR="0">
            <wp:extent cx="5218430" cy="3580130"/>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1.png"/>
                    <pic:cNvPicPr>
                      <a:picLocks noChangeAspect="1"/>
                    </pic:cNvPicPr>
                  </pic:nvPicPr>
                  <pic:blipFill>
                    <a:blip r:embed="rId29" cstate="print"/>
                    <a:stretch>
                      <a:fillRect/>
                    </a:stretch>
                  </pic:blipFill>
                  <pic:spPr>
                    <a:xfrm>
                      <a:off x="0" y="0"/>
                      <a:ext cx="5218980" cy="3580638"/>
                    </a:xfrm>
                    <a:prstGeom prst="rect">
                      <a:avLst/>
                    </a:prstGeom>
                  </pic:spPr>
                </pic:pic>
              </a:graphicData>
            </a:graphic>
          </wp:inline>
        </w:drawing>
      </w:r>
    </w:p>
    <w:p>
      <w:pPr>
        <w:tabs>
          <w:tab w:val="left" w:pos="2932"/>
        </w:tabs>
        <w:spacing w:before="82"/>
        <w:ind w:left="1914" w:right="111" w:firstLine="422"/>
        <w:rPr>
          <w:rFonts w:ascii="宋体" w:hAnsi="宋体"/>
          <w:b/>
          <w:bCs/>
          <w:sz w:val="21"/>
          <w:szCs w:val="21"/>
        </w:rPr>
      </w:pPr>
      <w:r>
        <w:rPr>
          <w:rFonts w:ascii="宋体" w:hAnsi="宋体"/>
          <w:b/>
          <w:bCs/>
          <w:sz w:val="21"/>
          <w:szCs w:val="21"/>
        </w:rPr>
        <w:t>图</w:t>
      </w:r>
      <w:r>
        <w:rPr>
          <w:rFonts w:ascii="宋体" w:hAnsi="宋体"/>
          <w:b/>
          <w:bCs/>
          <w:spacing w:val="-53"/>
          <w:sz w:val="21"/>
          <w:szCs w:val="21"/>
        </w:rPr>
        <w:t xml:space="preserve"> </w:t>
      </w:r>
      <w:r>
        <w:rPr>
          <w:rFonts w:eastAsia="Times New Roman" w:cs="Times New Roman"/>
          <w:b/>
          <w:bCs/>
          <w:sz w:val="21"/>
          <w:szCs w:val="21"/>
        </w:rPr>
        <w:t>2.2-</w:t>
      </w:r>
      <w:r>
        <w:rPr>
          <w:rFonts w:hint="eastAsia" w:cs="Times New Roman" w:eastAsiaTheme="minorEastAsia"/>
          <w:b/>
          <w:bCs/>
          <w:sz w:val="21"/>
          <w:szCs w:val="21"/>
        </w:rPr>
        <w:t>5</w:t>
      </w:r>
      <w:r>
        <w:rPr>
          <w:rFonts w:eastAsia="Times New Roman" w:cs="Times New Roman"/>
          <w:b/>
          <w:bCs/>
          <w:sz w:val="21"/>
          <w:szCs w:val="21"/>
        </w:rPr>
        <w:tab/>
      </w:r>
      <w:r>
        <w:rPr>
          <w:rFonts w:hint="eastAsia" w:ascii="宋体" w:hAnsi="宋体"/>
          <w:b/>
          <w:bCs/>
          <w:sz w:val="21"/>
          <w:szCs w:val="21"/>
        </w:rPr>
        <w:t>雨落坪</w:t>
      </w:r>
      <w:r>
        <w:rPr>
          <w:rFonts w:ascii="宋体" w:hAnsi="宋体"/>
          <w:b/>
          <w:bCs/>
          <w:sz w:val="21"/>
          <w:szCs w:val="21"/>
        </w:rPr>
        <w:t>站</w:t>
      </w:r>
      <w:r>
        <w:rPr>
          <w:rFonts w:ascii="宋体" w:hAnsi="宋体"/>
          <w:b/>
          <w:bCs/>
          <w:spacing w:val="-55"/>
          <w:sz w:val="21"/>
          <w:szCs w:val="21"/>
        </w:rPr>
        <w:t xml:space="preserve"> </w:t>
      </w:r>
      <w:r>
        <w:rPr>
          <w:rFonts w:eastAsia="Times New Roman" w:cs="Times New Roman"/>
          <w:b/>
          <w:bCs/>
          <w:sz w:val="21"/>
          <w:szCs w:val="21"/>
        </w:rPr>
        <w:t>195</w:t>
      </w:r>
      <w:r>
        <w:rPr>
          <w:rFonts w:hint="eastAsia" w:cs="Times New Roman" w:eastAsiaTheme="minorEastAsia"/>
          <w:b/>
          <w:bCs/>
          <w:sz w:val="21"/>
          <w:szCs w:val="21"/>
        </w:rPr>
        <w:t>6</w:t>
      </w:r>
      <w:r>
        <w:rPr>
          <w:rFonts w:ascii="宋体" w:hAnsi="宋体"/>
          <w:b/>
          <w:bCs/>
          <w:sz w:val="21"/>
          <w:szCs w:val="21"/>
        </w:rPr>
        <w:t>～</w:t>
      </w:r>
      <w:r>
        <w:rPr>
          <w:rFonts w:hint="eastAsia" w:cs="Times New Roman" w:asciiTheme="minorEastAsia" w:hAnsiTheme="minorEastAsia" w:eastAsiaTheme="minorEastAsia"/>
          <w:b/>
          <w:bCs/>
          <w:sz w:val="21"/>
          <w:szCs w:val="21"/>
        </w:rPr>
        <w:t>2016</w:t>
      </w:r>
      <w:r>
        <w:rPr>
          <w:rFonts w:ascii="宋体" w:hAnsi="宋体"/>
          <w:b/>
          <w:bCs/>
          <w:sz w:val="21"/>
          <w:szCs w:val="21"/>
        </w:rPr>
        <w:t>年年径流</w:t>
      </w:r>
      <w:r>
        <w:rPr>
          <w:rFonts w:hint="eastAsia" w:ascii="宋体" w:hAnsi="宋体"/>
          <w:b/>
          <w:bCs/>
          <w:sz w:val="21"/>
          <w:szCs w:val="21"/>
        </w:rPr>
        <w:t>差积曲线</w:t>
      </w:r>
      <w:r>
        <w:rPr>
          <w:rFonts w:ascii="宋体" w:hAnsi="宋体"/>
          <w:b/>
          <w:bCs/>
          <w:sz w:val="21"/>
          <w:szCs w:val="21"/>
        </w:rPr>
        <w:t>图</w:t>
      </w:r>
    </w:p>
    <w:p>
      <w:pPr>
        <w:ind w:firstLine="0" w:firstLineChars="0"/>
        <w:jc w:val="center"/>
      </w:pPr>
    </w:p>
    <w:p>
      <w:pPr>
        <w:ind w:firstLine="0" w:firstLineChars="0"/>
        <w:jc w:val="center"/>
      </w:pPr>
      <w:r>
        <w:rPr>
          <w:rFonts w:ascii="宋体" w:hAnsi="宋体"/>
          <w:position w:val="-107"/>
          <w:sz w:val="20"/>
          <w:szCs w:val="20"/>
          <w:lang w:val="en-US" w:bidi="ar-SA"/>
        </w:rPr>
        <w:drawing>
          <wp:inline distT="0" distB="0" distL="0" distR="0">
            <wp:extent cx="5170170" cy="3428365"/>
            <wp:effectExtent l="0" t="0" r="0" b="0"/>
            <wp:docPr id="4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a:picLocks noChangeAspect="1"/>
                    </pic:cNvPicPr>
                  </pic:nvPicPr>
                  <pic:blipFill>
                    <a:blip r:embed="rId30" cstate="print"/>
                    <a:stretch>
                      <a:fillRect/>
                    </a:stretch>
                  </pic:blipFill>
                  <pic:spPr>
                    <a:xfrm>
                      <a:off x="0" y="0"/>
                      <a:ext cx="5170213" cy="3428714"/>
                    </a:xfrm>
                    <a:prstGeom prst="rect">
                      <a:avLst/>
                    </a:prstGeom>
                  </pic:spPr>
                </pic:pic>
              </a:graphicData>
            </a:graphic>
          </wp:inline>
        </w:drawing>
      </w:r>
    </w:p>
    <w:p>
      <w:pPr>
        <w:tabs>
          <w:tab w:val="left" w:pos="2932"/>
        </w:tabs>
        <w:spacing w:before="82"/>
        <w:ind w:left="1914" w:right="111" w:firstLine="422"/>
        <w:rPr>
          <w:rFonts w:ascii="宋体" w:hAnsi="宋体"/>
          <w:b/>
          <w:bCs/>
          <w:sz w:val="21"/>
          <w:szCs w:val="21"/>
        </w:rPr>
      </w:pPr>
      <w:r>
        <w:rPr>
          <w:rFonts w:ascii="宋体" w:hAnsi="宋体"/>
          <w:b/>
          <w:bCs/>
          <w:sz w:val="21"/>
          <w:szCs w:val="21"/>
        </w:rPr>
        <w:t>图</w:t>
      </w:r>
      <w:r>
        <w:rPr>
          <w:rFonts w:ascii="宋体" w:hAnsi="宋体"/>
          <w:b/>
          <w:bCs/>
          <w:spacing w:val="-53"/>
          <w:sz w:val="21"/>
          <w:szCs w:val="21"/>
        </w:rPr>
        <w:t xml:space="preserve"> </w:t>
      </w:r>
      <w:r>
        <w:rPr>
          <w:rFonts w:eastAsia="Times New Roman" w:cs="Times New Roman"/>
          <w:b/>
          <w:bCs/>
          <w:sz w:val="21"/>
          <w:szCs w:val="21"/>
        </w:rPr>
        <w:t>2.2-</w:t>
      </w:r>
      <w:r>
        <w:rPr>
          <w:rFonts w:hint="eastAsia" w:cs="Times New Roman" w:eastAsiaTheme="minorEastAsia"/>
          <w:b/>
          <w:bCs/>
          <w:sz w:val="21"/>
          <w:szCs w:val="21"/>
        </w:rPr>
        <w:t>6</w:t>
      </w:r>
      <w:r>
        <w:rPr>
          <w:rFonts w:eastAsia="Times New Roman" w:cs="Times New Roman"/>
          <w:b/>
          <w:bCs/>
          <w:sz w:val="21"/>
          <w:szCs w:val="21"/>
        </w:rPr>
        <w:tab/>
      </w:r>
      <w:r>
        <w:rPr>
          <w:rFonts w:hint="eastAsia" w:ascii="宋体" w:hAnsi="宋体"/>
          <w:b/>
          <w:bCs/>
          <w:sz w:val="21"/>
          <w:szCs w:val="21"/>
        </w:rPr>
        <w:t>蔡家庙</w:t>
      </w:r>
      <w:r>
        <w:rPr>
          <w:rFonts w:ascii="宋体" w:hAnsi="宋体"/>
          <w:b/>
          <w:bCs/>
          <w:sz w:val="21"/>
          <w:szCs w:val="21"/>
        </w:rPr>
        <w:t>站</w:t>
      </w:r>
      <w:r>
        <w:rPr>
          <w:rFonts w:ascii="宋体" w:hAnsi="宋体"/>
          <w:b/>
          <w:bCs/>
          <w:spacing w:val="-55"/>
          <w:sz w:val="21"/>
          <w:szCs w:val="21"/>
        </w:rPr>
        <w:t xml:space="preserve"> </w:t>
      </w:r>
      <w:r>
        <w:rPr>
          <w:rFonts w:eastAsia="Times New Roman" w:cs="Times New Roman"/>
          <w:b/>
          <w:bCs/>
          <w:sz w:val="21"/>
          <w:szCs w:val="21"/>
        </w:rPr>
        <w:t>195</w:t>
      </w:r>
      <w:r>
        <w:rPr>
          <w:rFonts w:hint="eastAsia" w:cs="Times New Roman" w:eastAsiaTheme="minorEastAsia"/>
          <w:b/>
          <w:bCs/>
          <w:sz w:val="21"/>
          <w:szCs w:val="21"/>
        </w:rPr>
        <w:t>6</w:t>
      </w:r>
      <w:r>
        <w:rPr>
          <w:rFonts w:ascii="宋体" w:hAnsi="宋体"/>
          <w:b/>
          <w:bCs/>
          <w:sz w:val="21"/>
          <w:szCs w:val="21"/>
        </w:rPr>
        <w:t>～</w:t>
      </w:r>
      <w:r>
        <w:rPr>
          <w:rFonts w:eastAsia="Times New Roman" w:cs="Times New Roman"/>
          <w:b/>
          <w:bCs/>
          <w:sz w:val="21"/>
          <w:szCs w:val="21"/>
        </w:rPr>
        <w:t>20</w:t>
      </w:r>
      <w:r>
        <w:rPr>
          <w:rFonts w:hint="eastAsia" w:cs="Times New Roman" w:eastAsiaTheme="minorEastAsia"/>
          <w:b/>
          <w:bCs/>
          <w:sz w:val="21"/>
          <w:szCs w:val="21"/>
        </w:rPr>
        <w:t>16</w:t>
      </w:r>
      <w:r>
        <w:rPr>
          <w:rFonts w:ascii="宋体" w:hAnsi="宋体"/>
          <w:b/>
          <w:bCs/>
          <w:sz w:val="21"/>
          <w:szCs w:val="21"/>
        </w:rPr>
        <w:t>年年径流量时序图</w:t>
      </w:r>
    </w:p>
    <w:p>
      <w:pPr>
        <w:ind w:firstLine="0" w:firstLineChars="0"/>
        <w:jc w:val="center"/>
      </w:pPr>
    </w:p>
    <w:p>
      <w:pPr>
        <w:ind w:firstLine="0" w:firstLineChars="0"/>
        <w:jc w:val="center"/>
      </w:pPr>
      <w:r>
        <w:rPr>
          <w:rFonts w:ascii="宋体" w:hAnsi="宋体"/>
          <w:position w:val="-99"/>
          <w:sz w:val="20"/>
          <w:szCs w:val="20"/>
          <w:lang w:val="en-US" w:bidi="ar-SA"/>
        </w:rPr>
        <w:drawing>
          <wp:inline distT="0" distB="0" distL="0" distR="0">
            <wp:extent cx="4890135" cy="3163570"/>
            <wp:effectExtent l="0" t="0" r="0" b="0"/>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3.png"/>
                    <pic:cNvPicPr>
                      <a:picLocks noChangeAspect="1"/>
                    </pic:cNvPicPr>
                  </pic:nvPicPr>
                  <pic:blipFill>
                    <a:blip r:embed="rId31" cstate="print"/>
                    <a:stretch>
                      <a:fillRect/>
                    </a:stretch>
                  </pic:blipFill>
                  <pic:spPr>
                    <a:xfrm>
                      <a:off x="0" y="0"/>
                      <a:ext cx="4890213" cy="3163728"/>
                    </a:xfrm>
                    <a:prstGeom prst="rect">
                      <a:avLst/>
                    </a:prstGeom>
                  </pic:spPr>
                </pic:pic>
              </a:graphicData>
            </a:graphic>
          </wp:inline>
        </w:drawing>
      </w:r>
    </w:p>
    <w:p>
      <w:pPr>
        <w:tabs>
          <w:tab w:val="left" w:pos="2932"/>
        </w:tabs>
        <w:spacing w:before="82"/>
        <w:ind w:left="1914" w:right="111" w:firstLine="422"/>
        <w:rPr>
          <w:rFonts w:ascii="宋体" w:hAnsi="宋体"/>
          <w:b/>
          <w:bCs/>
          <w:sz w:val="21"/>
          <w:szCs w:val="21"/>
        </w:rPr>
      </w:pPr>
      <w:r>
        <w:rPr>
          <w:rFonts w:ascii="宋体" w:hAnsi="宋体"/>
          <w:b/>
          <w:bCs/>
          <w:sz w:val="21"/>
          <w:szCs w:val="21"/>
        </w:rPr>
        <w:t>图</w:t>
      </w:r>
      <w:r>
        <w:rPr>
          <w:rFonts w:ascii="宋体" w:hAnsi="宋体"/>
          <w:b/>
          <w:bCs/>
          <w:spacing w:val="-53"/>
          <w:sz w:val="21"/>
          <w:szCs w:val="21"/>
        </w:rPr>
        <w:t xml:space="preserve"> </w:t>
      </w:r>
      <w:r>
        <w:rPr>
          <w:rFonts w:eastAsia="Times New Roman" w:cs="Times New Roman"/>
          <w:b/>
          <w:bCs/>
          <w:sz w:val="21"/>
          <w:szCs w:val="21"/>
        </w:rPr>
        <w:t>2.2-</w:t>
      </w:r>
      <w:r>
        <w:rPr>
          <w:rFonts w:hint="eastAsia" w:cs="Times New Roman" w:eastAsiaTheme="minorEastAsia"/>
          <w:b/>
          <w:bCs/>
          <w:sz w:val="21"/>
          <w:szCs w:val="21"/>
        </w:rPr>
        <w:t>7</w:t>
      </w:r>
      <w:r>
        <w:rPr>
          <w:rFonts w:eastAsia="Times New Roman" w:cs="Times New Roman"/>
          <w:b/>
          <w:bCs/>
          <w:sz w:val="21"/>
          <w:szCs w:val="21"/>
        </w:rPr>
        <w:tab/>
      </w:r>
      <w:r>
        <w:rPr>
          <w:rFonts w:hint="eastAsia" w:ascii="宋体" w:hAnsi="宋体"/>
          <w:b/>
          <w:bCs/>
          <w:sz w:val="21"/>
          <w:szCs w:val="21"/>
        </w:rPr>
        <w:t>蔡家庙</w:t>
      </w:r>
      <w:r>
        <w:rPr>
          <w:rFonts w:ascii="宋体" w:hAnsi="宋体"/>
          <w:b/>
          <w:bCs/>
          <w:sz w:val="21"/>
          <w:szCs w:val="21"/>
        </w:rPr>
        <w:t>站</w:t>
      </w:r>
      <w:r>
        <w:rPr>
          <w:rFonts w:ascii="宋体" w:hAnsi="宋体"/>
          <w:b/>
          <w:bCs/>
          <w:spacing w:val="-55"/>
          <w:sz w:val="21"/>
          <w:szCs w:val="21"/>
        </w:rPr>
        <w:t xml:space="preserve"> </w:t>
      </w:r>
      <w:r>
        <w:rPr>
          <w:rFonts w:eastAsia="Times New Roman" w:cs="Times New Roman"/>
          <w:b/>
          <w:bCs/>
          <w:sz w:val="21"/>
          <w:szCs w:val="21"/>
        </w:rPr>
        <w:t>195</w:t>
      </w:r>
      <w:r>
        <w:rPr>
          <w:rFonts w:hint="eastAsia" w:cs="Times New Roman" w:eastAsiaTheme="minorEastAsia"/>
          <w:b/>
          <w:bCs/>
          <w:sz w:val="21"/>
          <w:szCs w:val="21"/>
        </w:rPr>
        <w:t>6</w:t>
      </w:r>
      <w:r>
        <w:rPr>
          <w:rFonts w:ascii="宋体" w:hAnsi="宋体"/>
          <w:b/>
          <w:bCs/>
          <w:sz w:val="21"/>
          <w:szCs w:val="21"/>
        </w:rPr>
        <w:t>～</w:t>
      </w:r>
      <w:r>
        <w:rPr>
          <w:rFonts w:hint="eastAsia" w:cs="Times New Roman" w:asciiTheme="minorEastAsia" w:hAnsiTheme="minorEastAsia" w:eastAsiaTheme="minorEastAsia"/>
          <w:b/>
          <w:bCs/>
          <w:sz w:val="21"/>
          <w:szCs w:val="21"/>
        </w:rPr>
        <w:t>2016</w:t>
      </w:r>
      <w:r>
        <w:rPr>
          <w:rFonts w:ascii="宋体" w:hAnsi="宋体"/>
          <w:b/>
          <w:bCs/>
          <w:sz w:val="21"/>
          <w:szCs w:val="21"/>
        </w:rPr>
        <w:t>年年径流</w:t>
      </w:r>
      <w:r>
        <w:rPr>
          <w:rFonts w:hint="eastAsia" w:ascii="宋体" w:hAnsi="宋体"/>
          <w:b/>
          <w:bCs/>
          <w:sz w:val="21"/>
          <w:szCs w:val="21"/>
        </w:rPr>
        <w:t>差积曲线</w:t>
      </w:r>
      <w:r>
        <w:rPr>
          <w:rFonts w:ascii="宋体" w:hAnsi="宋体"/>
          <w:b/>
          <w:bCs/>
          <w:sz w:val="21"/>
          <w:szCs w:val="21"/>
        </w:rPr>
        <w:t>图</w:t>
      </w:r>
    </w:p>
    <w:p>
      <w:pPr>
        <w:ind w:firstLine="480"/>
      </w:pPr>
      <w:r>
        <w:rPr>
          <w:rFonts w:hint="eastAsia"/>
        </w:rPr>
        <w:t>（3）径流计算</w:t>
      </w:r>
    </w:p>
    <w:p>
      <w:pPr>
        <w:ind w:firstLine="480"/>
      </w:pPr>
      <w:r>
        <w:t>利用庆阳站、雨落坪站 1956～2016年61年、蔡家庙站1981～2016年36年径流系列，得到庆阳站 多年平均流量 Q0=6.44m</w:t>
      </w:r>
      <w:r>
        <w:rPr>
          <w:vertAlign w:val="superscript"/>
        </w:rPr>
        <w:t>3</w:t>
      </w:r>
      <w:r>
        <w:t>/s，多年平均径流量为2.03亿m</w:t>
      </w:r>
      <w:r>
        <w:rPr>
          <w:vertAlign w:val="superscript"/>
        </w:rPr>
        <w:t>3</w:t>
      </w:r>
      <w:r>
        <w:t>，Cv=0.45，Cs=3.0Cv； 雨落坪站多年平均流量 Q0=7.67m</w:t>
      </w:r>
      <w:r>
        <w:rPr>
          <w:vertAlign w:val="superscript"/>
        </w:rPr>
        <w:t>3</w:t>
      </w:r>
      <w:r>
        <w:t>/s</w:t>
      </w:r>
      <w:r>
        <w:rPr>
          <w:rFonts w:hint="eastAsia"/>
        </w:rPr>
        <w:t>，</w:t>
      </w:r>
      <w:r>
        <w:t>多年平均径流量为4.23 m</w:t>
      </w:r>
      <w:r>
        <w:rPr>
          <w:vertAlign w:val="superscript"/>
        </w:rPr>
        <w:t>3</w:t>
      </w:r>
      <w:r>
        <w:t>，Cv=0.40</w:t>
      </w:r>
      <w:r>
        <w:rPr>
          <w:rFonts w:hint="eastAsia"/>
        </w:rPr>
        <w:t>，</w:t>
      </w:r>
      <w:r>
        <w:t>Cs=3.0Cv；蔡家庙站多年平均流量 Q0=1.73m</w:t>
      </w:r>
      <w:r>
        <w:rPr>
          <w:vertAlign w:val="superscript"/>
        </w:rPr>
        <w:t>3</w:t>
      </w:r>
      <w:r>
        <w:t>/s</w:t>
      </w:r>
      <w:r>
        <w:rPr>
          <w:rFonts w:hint="eastAsia"/>
        </w:rPr>
        <w:t>，</w:t>
      </w:r>
      <w:r>
        <w:t>多年平均径流量为547万m</w:t>
      </w:r>
      <w:r>
        <w:rPr>
          <w:vertAlign w:val="superscript"/>
        </w:rPr>
        <w:t>3</w:t>
      </w:r>
      <w:r>
        <w:t>， Cv=0.78，Cs=3.5Cv。</w:t>
      </w:r>
    </w:p>
    <w:p>
      <w:pPr>
        <w:ind w:firstLine="480"/>
      </w:pPr>
      <w:r>
        <w:rPr>
          <w:rFonts w:hint="eastAsia"/>
        </w:rPr>
        <w:t>盖</w:t>
      </w:r>
      <w:r>
        <w:t>家川论证断面（</w:t>
      </w:r>
      <w:r>
        <w:rPr>
          <w:rFonts w:hint="eastAsia"/>
        </w:rPr>
        <w:t>聂</w:t>
      </w:r>
      <w:r>
        <w:t>川口）由于流域面积较小属无资料地区，设计年径流采用无资料地区“多年平均年径流深等值线法”和“水文比拟法”分析计算，由《甘肃省地表水资源》中的“多年平均年径流深等值线图”和“多年平均年径流变差系数 Cv 等值线图”查得盖家川论证断面多年平均径流深为25mm；参考蔡家庙水文站实测资料综合确定盖家川论证断面多年平均径流深为21mm，Cv、Cs 值直接采用蔡家庙水文站适线结果，经计算盖家川论证断面不同保证率设计年径流量成果见表 2.2-</w:t>
      </w:r>
      <w:r>
        <w:rPr>
          <w:rFonts w:hint="eastAsia"/>
        </w:rPr>
        <w:t>3</w:t>
      </w:r>
      <w:r>
        <w:t>。</w:t>
      </w:r>
    </w:p>
    <w:p>
      <w:pPr>
        <w:ind w:firstLine="480"/>
      </w:pPr>
      <w:r>
        <w:rPr>
          <w:rFonts w:hint="eastAsia"/>
        </w:rPr>
        <w:t>盖家川论证断面的相关资料</w:t>
      </w:r>
      <w:r>
        <w:t>由</w:t>
      </w:r>
      <w:r>
        <w:rPr>
          <w:rFonts w:hint="eastAsia"/>
        </w:rPr>
        <w:t>表2.2-3</w:t>
      </w:r>
      <w:r>
        <w:t>”和“多年平均年径流变差系数 Cv等值线图”查得</w:t>
      </w:r>
      <w:r>
        <w:rPr>
          <w:rFonts w:hint="eastAsia"/>
        </w:rPr>
        <w:t>，盖家川论证断面多年平均径流深为21mm；</w:t>
      </w:r>
      <w:r>
        <w:t>Cv、Cs 值直接采用</w:t>
      </w:r>
      <w:r>
        <w:rPr>
          <w:rFonts w:hint="eastAsia"/>
        </w:rPr>
        <w:t>合水县径流量变差系数图和等值线图，</w:t>
      </w:r>
      <w:r>
        <w:t>Cv=0.</w:t>
      </w:r>
      <w:r>
        <w:rPr>
          <w:rFonts w:hint="eastAsia"/>
        </w:rPr>
        <w:t>5</w:t>
      </w:r>
      <w:r>
        <w:t>0</w:t>
      </w:r>
      <w:r>
        <w:rPr>
          <w:rFonts w:hint="eastAsia"/>
        </w:rPr>
        <w:t>，</w:t>
      </w:r>
      <w:r>
        <w:t>Cs=3.</w:t>
      </w:r>
      <w:r>
        <w:rPr>
          <w:rFonts w:hint="eastAsia"/>
        </w:rPr>
        <w:t>5</w:t>
      </w:r>
      <w:r>
        <w:t>Cv</w:t>
      </w:r>
      <w:r>
        <w:rPr>
          <w:rFonts w:hint="eastAsia"/>
        </w:rPr>
        <w:t>。</w:t>
      </w:r>
    </w:p>
    <w:p>
      <w:pPr>
        <w:ind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 2.2-3</w:t>
      </w:r>
      <w:r>
        <w:rPr>
          <w:rFonts w:hint="eastAsia" w:asciiTheme="minorEastAsia" w:hAnsiTheme="minorEastAsia" w:eastAsiaTheme="minorEastAsia"/>
          <w:b/>
          <w:sz w:val="21"/>
          <w:szCs w:val="21"/>
        </w:rPr>
        <w:tab/>
      </w:r>
      <w:r>
        <w:rPr>
          <w:rFonts w:hint="eastAsia" w:asciiTheme="minorEastAsia" w:hAnsiTheme="minorEastAsia" w:eastAsiaTheme="minorEastAsia"/>
          <w:b/>
          <w:sz w:val="21"/>
          <w:szCs w:val="21"/>
        </w:rPr>
        <w:t>水文站及论证断面年径流量计算成果表</w:t>
      </w:r>
    </w:p>
    <w:tbl>
      <w:tblPr>
        <w:tblStyle w:val="18"/>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144"/>
        <w:gridCol w:w="981"/>
        <w:gridCol w:w="2055"/>
        <w:gridCol w:w="811"/>
        <w:gridCol w:w="811"/>
        <w:gridCol w:w="902"/>
        <w:gridCol w:w="902"/>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restart"/>
            <w:vAlign w:val="center"/>
          </w:tcPr>
          <w:p>
            <w:pPr>
              <w:spacing w:line="240" w:lineRule="auto"/>
              <w:ind w:firstLine="0" w:firstLineChars="0"/>
              <w:jc w:val="center"/>
              <w:rPr>
                <w:rFonts w:cs="Times New Roman" w:eastAsiaTheme="minorEastAsia"/>
                <w:b/>
                <w:sz w:val="21"/>
                <w:szCs w:val="21"/>
              </w:rPr>
            </w:pPr>
            <w:r>
              <w:rPr>
                <w:rFonts w:cs="Times New Roman" w:eastAsiaTheme="minorEastAsia"/>
                <w:b/>
                <w:sz w:val="21"/>
                <w:szCs w:val="21"/>
              </w:rPr>
              <w:t>名称</w:t>
            </w:r>
          </w:p>
        </w:tc>
        <w:tc>
          <w:tcPr>
            <w:tcW w:w="1144" w:type="dxa"/>
            <w:vMerge w:val="restart"/>
            <w:vAlign w:val="center"/>
          </w:tcPr>
          <w:p>
            <w:pPr>
              <w:spacing w:line="240" w:lineRule="auto"/>
              <w:ind w:firstLine="0" w:firstLineChars="0"/>
              <w:rPr>
                <w:rFonts w:cs="Times New Roman" w:eastAsiaTheme="minorEastAsia"/>
                <w:b/>
                <w:sz w:val="21"/>
                <w:szCs w:val="21"/>
              </w:rPr>
            </w:pPr>
            <w:r>
              <w:rPr>
                <w:rFonts w:cs="Times New Roman" w:eastAsiaTheme="minorEastAsia"/>
                <w:b/>
                <w:sz w:val="21"/>
                <w:szCs w:val="21"/>
              </w:rPr>
              <w:t>流域面积</w:t>
            </w:r>
          </w:p>
        </w:tc>
        <w:tc>
          <w:tcPr>
            <w:tcW w:w="981" w:type="dxa"/>
            <w:vMerge w:val="restart"/>
            <w:vAlign w:val="center"/>
          </w:tcPr>
          <w:p>
            <w:pPr>
              <w:spacing w:line="240" w:lineRule="auto"/>
              <w:ind w:firstLine="0" w:firstLineChars="0"/>
              <w:rPr>
                <w:rFonts w:cs="Times New Roman" w:eastAsiaTheme="minorEastAsia"/>
                <w:b/>
                <w:sz w:val="21"/>
                <w:szCs w:val="21"/>
              </w:rPr>
            </w:pPr>
            <w:r>
              <w:rPr>
                <w:rFonts w:cs="Times New Roman" w:eastAsiaTheme="minorEastAsia"/>
                <w:b/>
                <w:sz w:val="21"/>
                <w:szCs w:val="21"/>
              </w:rPr>
              <w:t>径流深</w:t>
            </w:r>
          </w:p>
        </w:tc>
        <w:tc>
          <w:tcPr>
            <w:tcW w:w="2055" w:type="dxa"/>
            <w:vMerge w:val="restart"/>
            <w:vAlign w:val="center"/>
          </w:tcPr>
          <w:p>
            <w:pPr>
              <w:spacing w:line="240" w:lineRule="auto"/>
              <w:ind w:firstLine="0" w:firstLineChars="0"/>
              <w:jc w:val="center"/>
              <w:rPr>
                <w:rFonts w:cs="Times New Roman" w:eastAsiaTheme="minorEastAsia"/>
                <w:b/>
                <w:sz w:val="21"/>
                <w:szCs w:val="21"/>
              </w:rPr>
            </w:pPr>
            <w:r>
              <w:rPr>
                <w:rFonts w:cs="Times New Roman" w:eastAsiaTheme="minorEastAsia"/>
                <w:b/>
                <w:sz w:val="21"/>
                <w:szCs w:val="21"/>
              </w:rPr>
              <w:t>年平均</w:t>
            </w:r>
          </w:p>
        </w:tc>
        <w:tc>
          <w:tcPr>
            <w:tcW w:w="4326" w:type="dxa"/>
            <w:gridSpan w:val="5"/>
            <w:vAlign w:val="center"/>
          </w:tcPr>
          <w:p>
            <w:pPr>
              <w:spacing w:line="240" w:lineRule="auto"/>
              <w:ind w:firstLine="0" w:firstLineChars="0"/>
              <w:jc w:val="center"/>
              <w:rPr>
                <w:rFonts w:cs="Times New Roman" w:eastAsiaTheme="minorEastAsia"/>
                <w:b/>
                <w:sz w:val="21"/>
                <w:szCs w:val="21"/>
              </w:rPr>
            </w:pPr>
            <w:r>
              <w:rPr>
                <w:rFonts w:cs="Times New Roman" w:eastAsiaTheme="minorEastAsia"/>
                <w:b/>
                <w:sz w:val="21"/>
                <w:szCs w:val="21"/>
              </w:rPr>
              <w:t>不同保证年径流率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vAlign w:val="center"/>
          </w:tcPr>
          <w:p>
            <w:pPr>
              <w:spacing w:line="240" w:lineRule="auto"/>
              <w:ind w:firstLine="0" w:firstLineChars="0"/>
              <w:jc w:val="center"/>
              <w:rPr>
                <w:rFonts w:cs="Times New Roman" w:eastAsiaTheme="minorEastAsia"/>
                <w:sz w:val="21"/>
                <w:szCs w:val="21"/>
              </w:rPr>
            </w:pPr>
          </w:p>
        </w:tc>
        <w:tc>
          <w:tcPr>
            <w:tcW w:w="1144" w:type="dxa"/>
            <w:vMerge w:val="continue"/>
            <w:vAlign w:val="center"/>
          </w:tcPr>
          <w:p>
            <w:pPr>
              <w:spacing w:line="240" w:lineRule="auto"/>
              <w:ind w:firstLine="0" w:firstLineChars="0"/>
              <w:jc w:val="center"/>
              <w:rPr>
                <w:rFonts w:cs="Times New Roman" w:eastAsiaTheme="minorEastAsia"/>
                <w:sz w:val="21"/>
                <w:szCs w:val="21"/>
              </w:rPr>
            </w:pPr>
          </w:p>
        </w:tc>
        <w:tc>
          <w:tcPr>
            <w:tcW w:w="981" w:type="dxa"/>
            <w:vMerge w:val="continue"/>
            <w:vAlign w:val="center"/>
          </w:tcPr>
          <w:p>
            <w:pPr>
              <w:spacing w:line="240" w:lineRule="auto"/>
              <w:ind w:firstLine="0" w:firstLineChars="0"/>
              <w:jc w:val="center"/>
              <w:rPr>
                <w:rFonts w:cs="Times New Roman" w:eastAsiaTheme="minorEastAsia"/>
                <w:sz w:val="21"/>
                <w:szCs w:val="21"/>
              </w:rPr>
            </w:pPr>
          </w:p>
        </w:tc>
        <w:tc>
          <w:tcPr>
            <w:tcW w:w="2055" w:type="dxa"/>
            <w:vMerge w:val="continue"/>
            <w:vAlign w:val="center"/>
          </w:tcPr>
          <w:p>
            <w:pPr>
              <w:spacing w:line="240" w:lineRule="auto"/>
              <w:ind w:firstLine="0" w:firstLineChars="0"/>
              <w:jc w:val="center"/>
              <w:rPr>
                <w:rFonts w:cs="Times New Roman" w:eastAsiaTheme="minorEastAsia"/>
                <w:sz w:val="21"/>
                <w:szCs w:val="21"/>
              </w:rPr>
            </w:pPr>
          </w:p>
        </w:tc>
        <w:tc>
          <w:tcPr>
            <w:tcW w:w="741"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25（%）</w:t>
            </w:r>
          </w:p>
        </w:tc>
        <w:tc>
          <w:tcPr>
            <w:tcW w:w="741"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50（%）</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75（%）</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90（%）</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restart"/>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蔡家庙</w:t>
            </w:r>
          </w:p>
        </w:tc>
        <w:tc>
          <w:tcPr>
            <w:tcW w:w="1144" w:type="dxa"/>
            <w:vMerge w:val="restart"/>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270</w:t>
            </w:r>
          </w:p>
        </w:tc>
        <w:tc>
          <w:tcPr>
            <w:tcW w:w="981" w:type="dxa"/>
            <w:vMerge w:val="restart"/>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20.3</w:t>
            </w:r>
          </w:p>
        </w:tc>
        <w:tc>
          <w:tcPr>
            <w:tcW w:w="2055"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径流量：547（万m³）</w:t>
            </w:r>
          </w:p>
        </w:tc>
        <w:tc>
          <w:tcPr>
            <w:tcW w:w="741"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653</w:t>
            </w:r>
          </w:p>
        </w:tc>
        <w:tc>
          <w:tcPr>
            <w:tcW w:w="741"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385</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271</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241</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vAlign w:val="center"/>
          </w:tcPr>
          <w:p>
            <w:pPr>
              <w:spacing w:line="240" w:lineRule="auto"/>
              <w:ind w:firstLine="0" w:firstLineChars="0"/>
              <w:jc w:val="center"/>
              <w:rPr>
                <w:rFonts w:cs="Times New Roman" w:eastAsiaTheme="minorEastAsia"/>
                <w:sz w:val="21"/>
                <w:szCs w:val="21"/>
              </w:rPr>
            </w:pPr>
          </w:p>
        </w:tc>
        <w:tc>
          <w:tcPr>
            <w:tcW w:w="1144" w:type="dxa"/>
            <w:vMerge w:val="continue"/>
            <w:vAlign w:val="center"/>
          </w:tcPr>
          <w:p>
            <w:pPr>
              <w:spacing w:line="240" w:lineRule="auto"/>
              <w:ind w:firstLine="0" w:firstLineChars="0"/>
              <w:jc w:val="center"/>
              <w:rPr>
                <w:rFonts w:cs="Times New Roman" w:eastAsiaTheme="minorEastAsia"/>
                <w:sz w:val="21"/>
                <w:szCs w:val="21"/>
              </w:rPr>
            </w:pPr>
          </w:p>
        </w:tc>
        <w:tc>
          <w:tcPr>
            <w:tcW w:w="981" w:type="dxa"/>
            <w:vMerge w:val="continue"/>
            <w:vAlign w:val="center"/>
          </w:tcPr>
          <w:p>
            <w:pPr>
              <w:spacing w:line="240" w:lineRule="auto"/>
              <w:ind w:firstLine="0" w:firstLineChars="0"/>
              <w:jc w:val="center"/>
              <w:rPr>
                <w:rFonts w:cs="Times New Roman" w:eastAsiaTheme="minorEastAsia"/>
                <w:sz w:val="21"/>
                <w:szCs w:val="21"/>
              </w:rPr>
            </w:pPr>
          </w:p>
        </w:tc>
        <w:tc>
          <w:tcPr>
            <w:tcW w:w="2055"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流量：0.17（m³/s）</w:t>
            </w:r>
          </w:p>
        </w:tc>
        <w:tc>
          <w:tcPr>
            <w:tcW w:w="741"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0.21</w:t>
            </w:r>
          </w:p>
        </w:tc>
        <w:tc>
          <w:tcPr>
            <w:tcW w:w="741"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0.12</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0.09</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0.08</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restart"/>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盖家川</w:t>
            </w:r>
          </w:p>
          <w:p>
            <w:pPr>
              <w:spacing w:line="240" w:lineRule="auto"/>
              <w:ind w:firstLine="0" w:firstLineChars="0"/>
              <w:jc w:val="center"/>
              <w:rPr>
                <w:rFonts w:cs="Times New Roman" w:eastAsiaTheme="minorEastAsia"/>
                <w:sz w:val="21"/>
                <w:szCs w:val="21"/>
              </w:rPr>
            </w:pPr>
            <w:r>
              <w:rPr>
                <w:rFonts w:cs="Times New Roman" w:eastAsiaTheme="minorEastAsia"/>
                <w:sz w:val="21"/>
                <w:szCs w:val="21"/>
              </w:rPr>
              <w:t>论证断面</w:t>
            </w:r>
          </w:p>
        </w:tc>
        <w:tc>
          <w:tcPr>
            <w:tcW w:w="1144" w:type="dxa"/>
            <w:vMerge w:val="restart"/>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362</w:t>
            </w:r>
          </w:p>
        </w:tc>
        <w:tc>
          <w:tcPr>
            <w:tcW w:w="981" w:type="dxa"/>
            <w:vMerge w:val="restart"/>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21.0</w:t>
            </w:r>
          </w:p>
        </w:tc>
        <w:tc>
          <w:tcPr>
            <w:tcW w:w="2055"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径流量：760（万m³）</w:t>
            </w:r>
          </w:p>
        </w:tc>
        <w:tc>
          <w:tcPr>
            <w:tcW w:w="741"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907</w:t>
            </w:r>
          </w:p>
        </w:tc>
        <w:tc>
          <w:tcPr>
            <w:tcW w:w="741"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536</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377</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335</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6" w:type="dxa"/>
            <w:vMerge w:val="continue"/>
            <w:vAlign w:val="center"/>
          </w:tcPr>
          <w:p>
            <w:pPr>
              <w:spacing w:line="240" w:lineRule="auto"/>
              <w:ind w:firstLine="0" w:firstLineChars="0"/>
              <w:jc w:val="center"/>
              <w:rPr>
                <w:rFonts w:cs="Times New Roman" w:eastAsiaTheme="minorEastAsia"/>
                <w:sz w:val="21"/>
                <w:szCs w:val="21"/>
              </w:rPr>
            </w:pPr>
          </w:p>
        </w:tc>
        <w:tc>
          <w:tcPr>
            <w:tcW w:w="1144" w:type="dxa"/>
            <w:vMerge w:val="continue"/>
            <w:vAlign w:val="center"/>
          </w:tcPr>
          <w:p>
            <w:pPr>
              <w:spacing w:line="240" w:lineRule="auto"/>
              <w:ind w:firstLine="0" w:firstLineChars="0"/>
              <w:jc w:val="center"/>
              <w:rPr>
                <w:rFonts w:cs="Times New Roman" w:eastAsiaTheme="minorEastAsia"/>
                <w:sz w:val="21"/>
                <w:szCs w:val="21"/>
              </w:rPr>
            </w:pPr>
          </w:p>
        </w:tc>
        <w:tc>
          <w:tcPr>
            <w:tcW w:w="981" w:type="dxa"/>
            <w:vMerge w:val="continue"/>
            <w:vAlign w:val="center"/>
          </w:tcPr>
          <w:p>
            <w:pPr>
              <w:spacing w:line="240" w:lineRule="auto"/>
              <w:ind w:firstLine="0" w:firstLineChars="0"/>
              <w:jc w:val="center"/>
              <w:rPr>
                <w:rFonts w:cs="Times New Roman" w:eastAsiaTheme="minorEastAsia"/>
                <w:sz w:val="21"/>
                <w:szCs w:val="21"/>
              </w:rPr>
            </w:pPr>
          </w:p>
        </w:tc>
        <w:tc>
          <w:tcPr>
            <w:tcW w:w="2055"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流量：0.24（m³/s）</w:t>
            </w:r>
          </w:p>
        </w:tc>
        <w:tc>
          <w:tcPr>
            <w:tcW w:w="741"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0.29</w:t>
            </w:r>
          </w:p>
        </w:tc>
        <w:tc>
          <w:tcPr>
            <w:tcW w:w="741" w:type="dxa"/>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0.17</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0.12</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0.11</w:t>
            </w:r>
          </w:p>
        </w:tc>
        <w:tc>
          <w:tcPr>
            <w:tcW w:w="0" w:type="auto"/>
            <w:vAlign w:val="center"/>
          </w:tcPr>
          <w:p>
            <w:pPr>
              <w:spacing w:line="240" w:lineRule="auto"/>
              <w:ind w:firstLine="0" w:firstLineChars="0"/>
              <w:jc w:val="center"/>
              <w:rPr>
                <w:rFonts w:cs="Times New Roman" w:eastAsiaTheme="minorEastAsia"/>
                <w:sz w:val="21"/>
                <w:szCs w:val="21"/>
              </w:rPr>
            </w:pPr>
            <w:r>
              <w:rPr>
                <w:rFonts w:cs="Times New Roman" w:eastAsiaTheme="minorEastAsia"/>
                <w:sz w:val="21"/>
                <w:szCs w:val="21"/>
              </w:rPr>
              <w:t>0.08</w:t>
            </w:r>
          </w:p>
        </w:tc>
      </w:tr>
    </w:tbl>
    <w:p>
      <w:pPr>
        <w:ind w:firstLine="0" w:firstLineChars="0"/>
      </w:pPr>
      <w:r>
        <w:rPr>
          <w:rFonts w:hint="eastAsia"/>
        </w:rPr>
        <w:t>（4）径流月分配</w:t>
      </w:r>
    </w:p>
    <w:p>
      <w:pPr>
        <w:ind w:firstLine="480"/>
        <w:rPr>
          <w:spacing w:val="-5"/>
        </w:rPr>
      </w:pPr>
      <w:r>
        <w:t>由于</w:t>
      </w:r>
      <w:r>
        <w:rPr>
          <w:rFonts w:hint="eastAsia"/>
        </w:rPr>
        <w:t>盖家川</w:t>
      </w:r>
      <w:r>
        <w:t>排污口论证断面与马莲河流域面积相差较大，且径流特性也略</w:t>
      </w:r>
      <w:r>
        <w:rPr>
          <w:rFonts w:hint="eastAsia"/>
        </w:rPr>
        <w:t>有不同，故采用蔡家庙站近16年流量推算至</w:t>
      </w:r>
      <w:r>
        <w:rPr>
          <w:spacing w:val="-9"/>
        </w:rPr>
        <w:t>排污</w:t>
      </w:r>
      <w:r>
        <w:rPr>
          <w:spacing w:val="-8"/>
        </w:rPr>
        <w:t>口断面</w:t>
      </w:r>
      <w:r>
        <w:rPr>
          <w:rFonts w:hint="eastAsia"/>
        </w:rPr>
        <w:t>见表</w:t>
      </w:r>
      <w:r>
        <w:rPr>
          <w:rFonts w:eastAsia="Times New Roman" w:cs="Times New Roman"/>
          <w:spacing w:val="-11"/>
        </w:rPr>
        <w:t>2.2-</w:t>
      </w:r>
      <w:r>
        <w:rPr>
          <w:rFonts w:hint="eastAsia" w:cs="Times New Roman" w:eastAsiaTheme="minorEastAsia"/>
          <w:spacing w:val="-11"/>
        </w:rPr>
        <w:t>4</w:t>
      </w:r>
      <w:r>
        <w:rPr>
          <w:spacing w:val="-11"/>
        </w:rPr>
        <w:t>，并对变化情况进行分析，</w:t>
      </w:r>
      <w:r>
        <w:rPr>
          <w:spacing w:val="-8"/>
        </w:rPr>
        <w:t>可以</w:t>
      </w:r>
      <w:r>
        <w:rPr>
          <w:rFonts w:hint="eastAsia"/>
          <w:spacing w:val="-8"/>
        </w:rPr>
        <w:t>得</w:t>
      </w:r>
      <w:r>
        <w:rPr>
          <w:spacing w:val="-8"/>
        </w:rPr>
        <w:t>到，最枯月流量基本在</w:t>
      </w:r>
      <w:r>
        <w:rPr>
          <w:color w:val="FF0000"/>
          <w:spacing w:val="-54"/>
        </w:rPr>
        <w:t xml:space="preserve"> </w:t>
      </w:r>
      <w:r>
        <w:rPr>
          <w:rFonts w:eastAsia="Times New Roman" w:cs="Times New Roman"/>
          <w:color w:val="000000" w:themeColor="text1"/>
          <w:spacing w:val="-6"/>
        </w:rPr>
        <w:t>0.</w:t>
      </w:r>
      <w:r>
        <w:rPr>
          <w:rFonts w:hint="eastAsia" w:cs="Times New Roman" w:eastAsiaTheme="minorEastAsia"/>
          <w:color w:val="000000" w:themeColor="text1"/>
          <w:spacing w:val="-6"/>
        </w:rPr>
        <w:t>02</w:t>
      </w:r>
      <w:r>
        <w:rPr>
          <w:color w:val="000000" w:themeColor="text1"/>
          <w:spacing w:val="-6"/>
        </w:rPr>
        <w:t>～</w:t>
      </w:r>
      <w:r>
        <w:rPr>
          <w:rFonts w:eastAsia="Times New Roman" w:cs="Times New Roman"/>
          <w:color w:val="000000" w:themeColor="text1"/>
          <w:spacing w:val="-6"/>
        </w:rPr>
        <w:t>0.</w:t>
      </w:r>
      <w:r>
        <w:rPr>
          <w:rFonts w:hint="eastAsia" w:cs="Times New Roman" w:eastAsiaTheme="minorEastAsia"/>
          <w:color w:val="000000" w:themeColor="text1"/>
          <w:spacing w:val="-6"/>
        </w:rPr>
        <w:t>07</w:t>
      </w:r>
      <w:r>
        <w:rPr>
          <w:rFonts w:eastAsia="Times New Roman" w:cs="Times New Roman"/>
          <w:color w:val="000000" w:themeColor="text1"/>
          <w:spacing w:val="-6"/>
        </w:rPr>
        <w:t>m</w:t>
      </w:r>
      <w:r>
        <w:rPr>
          <w:rFonts w:eastAsia="Times New Roman" w:cs="Times New Roman"/>
          <w:color w:val="000000" w:themeColor="text1"/>
          <w:spacing w:val="-6"/>
          <w:position w:val="11"/>
          <w:sz w:val="16"/>
          <w:szCs w:val="16"/>
        </w:rPr>
        <w:t>3</w:t>
      </w:r>
      <w:r>
        <w:rPr>
          <w:rFonts w:eastAsia="Times New Roman" w:cs="Times New Roman"/>
          <w:color w:val="000000" w:themeColor="text1"/>
          <w:spacing w:val="-6"/>
        </w:rPr>
        <w:t>/s</w:t>
      </w:r>
      <w:r>
        <w:rPr>
          <w:spacing w:val="-6"/>
        </w:rPr>
        <w:t>，</w:t>
      </w:r>
      <w:r>
        <w:rPr>
          <w:rFonts w:hint="eastAsia"/>
          <w:spacing w:val="-6"/>
        </w:rPr>
        <w:t>近16年</w:t>
      </w:r>
      <w:r>
        <w:rPr>
          <w:spacing w:val="-8"/>
        </w:rPr>
        <w:t>最枯月平</w:t>
      </w:r>
      <w:r>
        <w:rPr>
          <w:spacing w:val="-118"/>
        </w:rPr>
        <w:t xml:space="preserve"> </w:t>
      </w:r>
      <w:r>
        <w:rPr>
          <w:spacing w:val="-7"/>
        </w:rPr>
        <w:t>均流量为</w:t>
      </w:r>
      <w:r>
        <w:rPr>
          <w:color w:val="000000" w:themeColor="text1"/>
          <w:spacing w:val="-68"/>
        </w:rPr>
        <w:t xml:space="preserve"> </w:t>
      </w:r>
      <w:r>
        <w:rPr>
          <w:rFonts w:hint="eastAsia" w:cs="Times New Roman" w:eastAsiaTheme="minorEastAsia"/>
          <w:color w:val="000000" w:themeColor="text1"/>
          <w:spacing w:val="-4"/>
        </w:rPr>
        <w:t>0.04</w:t>
      </w:r>
      <w:r>
        <w:rPr>
          <w:rFonts w:eastAsia="Times New Roman" w:cs="Times New Roman"/>
          <w:color w:val="000000" w:themeColor="text1"/>
          <w:spacing w:val="-5"/>
        </w:rPr>
        <w:t>m</w:t>
      </w:r>
      <w:r>
        <w:rPr>
          <w:rFonts w:eastAsia="Times New Roman" w:cs="Times New Roman"/>
          <w:color w:val="000000" w:themeColor="text1"/>
          <w:spacing w:val="-5"/>
          <w:position w:val="11"/>
          <w:sz w:val="16"/>
          <w:szCs w:val="16"/>
        </w:rPr>
        <w:t>3</w:t>
      </w:r>
      <w:r>
        <w:rPr>
          <w:rFonts w:eastAsia="Times New Roman" w:cs="Times New Roman"/>
          <w:color w:val="000000" w:themeColor="text1"/>
          <w:spacing w:val="-5"/>
        </w:rPr>
        <w:t>/s</w:t>
      </w:r>
      <w:r>
        <w:rPr>
          <w:spacing w:val="-5"/>
        </w:rPr>
        <w:t>。</w:t>
      </w:r>
    </w:p>
    <w:p>
      <w:pPr>
        <w:tabs>
          <w:tab w:val="left" w:pos="2932"/>
        </w:tabs>
        <w:spacing w:before="82"/>
        <w:ind w:right="111" w:firstLine="198" w:firstLineChars="94"/>
        <w:jc w:val="center"/>
        <w:rPr>
          <w:rFonts w:ascii="宋体" w:hAnsi="宋体" w:eastAsiaTheme="minorEastAsia"/>
          <w:b/>
          <w:bCs/>
          <w:sz w:val="21"/>
          <w:szCs w:val="21"/>
        </w:rPr>
      </w:pPr>
      <w:r>
        <w:rPr>
          <w:rFonts w:hint="eastAsia" w:ascii="宋体" w:hAnsi="宋体"/>
          <w:b/>
          <w:bCs/>
          <w:sz w:val="21"/>
          <w:szCs w:val="21"/>
        </w:rPr>
        <w:t>表</w:t>
      </w:r>
      <w:r>
        <w:rPr>
          <w:rFonts w:eastAsia="Times New Roman" w:cs="Times New Roman"/>
          <w:b/>
          <w:bCs/>
          <w:sz w:val="21"/>
          <w:szCs w:val="21"/>
        </w:rPr>
        <w:t>2.2-</w:t>
      </w:r>
      <w:r>
        <w:rPr>
          <w:rFonts w:hint="eastAsia" w:cs="Times New Roman" w:eastAsiaTheme="minorEastAsia"/>
          <w:b/>
          <w:bCs/>
          <w:sz w:val="21"/>
          <w:szCs w:val="21"/>
        </w:rPr>
        <w:t>4   盖家川排污断面16年流量表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590"/>
        <w:gridCol w:w="590"/>
        <w:gridCol w:w="590"/>
        <w:gridCol w:w="590"/>
        <w:gridCol w:w="590"/>
        <w:gridCol w:w="649"/>
        <w:gridCol w:w="650"/>
        <w:gridCol w:w="590"/>
        <w:gridCol w:w="589"/>
        <w:gridCol w:w="643"/>
        <w:gridCol w:w="642"/>
        <w:gridCol w:w="643"/>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vAlign w:val="center"/>
          </w:tcPr>
          <w:p>
            <w:pPr>
              <w:ind w:firstLine="0" w:firstLineChars="0"/>
              <w:rPr>
                <w:rFonts w:cs="Times New Roman" w:eastAsiaTheme="minorEastAsia"/>
                <w:sz w:val="21"/>
                <w:szCs w:val="21"/>
              </w:rPr>
            </w:pPr>
            <w:r>
              <w:rPr>
                <w:rFonts w:cs="Times New Roman"/>
                <w:spacing w:val="-5"/>
              </w:rPr>
              <w:t xml:space="preserve">                                      </w:t>
            </w:r>
            <w:r>
              <w:rPr>
                <w:rFonts w:cs="Times New Roman" w:eastAsiaTheme="minorEastAsia"/>
                <w:sz w:val="21"/>
                <w:szCs w:val="21"/>
              </w:rPr>
              <w:t>年份</w:t>
            </w:r>
          </w:p>
        </w:tc>
        <w:tc>
          <w:tcPr>
            <w:tcW w:w="8369" w:type="dxa"/>
            <w:gridSpan w:val="13"/>
            <w:vAlign w:val="center"/>
          </w:tcPr>
          <w:p>
            <w:pPr>
              <w:ind w:firstLine="0" w:firstLineChars="0"/>
              <w:jc w:val="center"/>
              <w:rPr>
                <w:rFonts w:cs="Times New Roman" w:eastAsiaTheme="minorEastAsia"/>
                <w:sz w:val="21"/>
                <w:szCs w:val="21"/>
              </w:rPr>
            </w:pPr>
            <w:r>
              <w:rPr>
                <w:rFonts w:cs="Times New Roman" w:eastAsiaTheme="minorEastAsia"/>
                <w:sz w:val="21"/>
                <w:szCs w:val="21"/>
              </w:rPr>
              <w:t>实测月平均流量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ind w:firstLine="0" w:firstLineChars="0"/>
              <w:jc w:val="center"/>
              <w:rPr>
                <w:rFonts w:cs="Times New Roman" w:eastAsiaTheme="minorEastAsia"/>
                <w:sz w:val="21"/>
                <w:szCs w:val="21"/>
              </w:rPr>
            </w:pP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1月</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2月</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3月</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4月</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5月</w:t>
            </w:r>
          </w:p>
        </w:tc>
        <w:tc>
          <w:tcPr>
            <w:tcW w:w="643"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6月</w:t>
            </w:r>
          </w:p>
        </w:tc>
        <w:tc>
          <w:tcPr>
            <w:tcW w:w="643"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7月</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8月</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9月</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10月</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11月</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12月</w:t>
            </w:r>
          </w:p>
        </w:tc>
        <w:tc>
          <w:tcPr>
            <w:tcW w:w="723"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年平均流量</w:t>
            </w:r>
          </w:p>
          <w:p>
            <w:pPr>
              <w:ind w:firstLine="0" w:firstLineChars="0"/>
              <w:jc w:val="center"/>
              <w:rPr>
                <w:rFonts w:cs="Times New Roman" w:eastAsiaTheme="minorEastAsia"/>
                <w:sz w:val="21"/>
                <w:szCs w:val="21"/>
              </w:rPr>
            </w:pPr>
            <w:r>
              <w:rPr>
                <w:rFonts w:cs="Times New Roman" w:eastAsiaTheme="minorEastAsia"/>
                <w:sz w:val="21"/>
                <w:szCs w:val="21"/>
              </w:rPr>
              <w:t>（m³/s）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2001</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0.02</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0.13</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0.04</w:t>
            </w:r>
          </w:p>
        </w:tc>
        <w:tc>
          <w:tcPr>
            <w:tcW w:w="643"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0.05</w:t>
            </w:r>
          </w:p>
        </w:tc>
        <w:tc>
          <w:tcPr>
            <w:tcW w:w="643"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0.05</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0.28</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0.96</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0.14</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0.13</w:t>
            </w:r>
          </w:p>
        </w:tc>
        <w:tc>
          <w:tcPr>
            <w:tcW w:w="0" w:type="auto"/>
            <w:vAlign w:val="center"/>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2002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0.26</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0.82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0.13</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0.71</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0.61</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0.21</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0.06</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2003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0.03</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0.05</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0.21</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7.58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1.3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2004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0.46</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1.63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0.28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0.06</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0.11</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2005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0.06</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0.21</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0.30</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0.41</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0.22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0.03</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2006</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0.10</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0.16</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0.25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0.10</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0.06</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0.25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0.26</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0.04</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0.04</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0.42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0.57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0.32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0.39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2008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0.10</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0.20</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0.03</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0.05</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0.39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0.22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2009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0.10</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0.04</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0.02</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0.38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0.46</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2010</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0.10</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0.06</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0.6</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0.06</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2011</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0.11</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0.23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0.10</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2012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0.17</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0.37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0.16</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0.02</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2013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0.16</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0.50</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0.51</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4.3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0.6</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1.0</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0.02</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2014</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0.35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0.06</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0.21</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0.06</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2015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0.20</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0.23</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0.10</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0.11</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0.08</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0.10</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ind w:firstLine="0" w:firstLineChars="0"/>
              <w:jc w:val="center"/>
              <w:rPr>
                <w:rFonts w:cs="Times New Roman" w:eastAsiaTheme="minorEastAsia"/>
                <w:sz w:val="21"/>
                <w:szCs w:val="21"/>
              </w:rPr>
            </w:pPr>
            <w:r>
              <w:rPr>
                <w:rFonts w:cs="Times New Roman" w:eastAsiaTheme="minorEastAsia"/>
                <w:sz w:val="21"/>
                <w:szCs w:val="21"/>
              </w:rPr>
              <w:t>2016</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0.12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0.31</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0.13</w:t>
            </w:r>
          </w:p>
        </w:tc>
        <w:tc>
          <w:tcPr>
            <w:tcW w:w="643" w:type="dxa"/>
          </w:tcPr>
          <w:p>
            <w:pPr>
              <w:ind w:firstLine="0" w:firstLineChars="0"/>
              <w:jc w:val="center"/>
              <w:rPr>
                <w:rFonts w:cs="Times New Roman" w:eastAsiaTheme="minorEastAsia"/>
                <w:sz w:val="21"/>
                <w:szCs w:val="21"/>
              </w:rPr>
            </w:pPr>
            <w:r>
              <w:rPr>
                <w:rFonts w:cs="Times New Roman" w:eastAsiaTheme="minorEastAsia"/>
                <w:sz w:val="21"/>
                <w:szCs w:val="21"/>
              </w:rPr>
              <w:t>0.12</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0.05</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0.07</w:t>
            </w:r>
          </w:p>
        </w:tc>
        <w:tc>
          <w:tcPr>
            <w:tcW w:w="0" w:type="auto"/>
          </w:tcPr>
          <w:p>
            <w:pPr>
              <w:ind w:firstLine="0" w:firstLineChars="0"/>
              <w:jc w:val="center"/>
              <w:rPr>
                <w:rFonts w:cs="Times New Roman" w:eastAsiaTheme="minorEastAsia"/>
                <w:sz w:val="21"/>
                <w:szCs w:val="21"/>
              </w:rPr>
            </w:pPr>
            <w:r>
              <w:rPr>
                <w:rFonts w:cs="Times New Roman" w:eastAsiaTheme="minorEastAsia"/>
                <w:sz w:val="21"/>
                <w:szCs w:val="21"/>
              </w:rPr>
              <w:t>0.09</w:t>
            </w:r>
          </w:p>
        </w:tc>
        <w:tc>
          <w:tcPr>
            <w:tcW w:w="723" w:type="dxa"/>
          </w:tcPr>
          <w:p>
            <w:pPr>
              <w:ind w:firstLine="0" w:firstLineChars="0"/>
              <w:jc w:val="center"/>
              <w:rPr>
                <w:rFonts w:cs="Times New Roman" w:eastAsiaTheme="minorEastAsia"/>
                <w:sz w:val="21"/>
                <w:szCs w:val="21"/>
              </w:rPr>
            </w:pPr>
            <w:r>
              <w:rPr>
                <w:rFonts w:cs="Times New Roman" w:eastAsiaTheme="minorEastAsia"/>
                <w:sz w:val="21"/>
                <w:szCs w:val="21"/>
              </w:rPr>
              <w:t>0.11</w:t>
            </w:r>
          </w:p>
        </w:tc>
      </w:tr>
    </w:tbl>
    <w:p>
      <w:pPr>
        <w:pStyle w:val="4"/>
      </w:pPr>
      <w:r>
        <w:rPr>
          <w:rFonts w:hint="eastAsia"/>
        </w:rPr>
        <w:t>2.2.2 经济</w:t>
      </w:r>
      <w:r>
        <w:t>社会概况</w:t>
      </w:r>
    </w:p>
    <w:p>
      <w:pPr>
        <w:pStyle w:val="5"/>
      </w:pPr>
      <w:r>
        <w:rPr>
          <w:rFonts w:hint="eastAsia"/>
        </w:rPr>
        <w:t>2.2.2.1人口现状</w:t>
      </w:r>
    </w:p>
    <w:p>
      <w:pPr>
        <w:ind w:firstLine="480"/>
      </w:pPr>
      <w:r>
        <w:rPr>
          <w:rFonts w:hint="eastAsia"/>
        </w:rPr>
        <w:t>近年来小城镇建设发展迅速，交通便利，街道宽畅，商铺林立，现街道长1200 多米，宽 28 米，在街道两边建起了上宅下店式两层商品房 2 万多平方米， 有工商个体户 232 户，常住人口 3174 人。</w:t>
      </w:r>
    </w:p>
    <w:p>
      <w:pPr>
        <w:pStyle w:val="5"/>
      </w:pPr>
      <w:r>
        <w:t>2.2.2.1</w:t>
      </w:r>
      <w:r>
        <w:rPr>
          <w:rFonts w:hint="eastAsia"/>
        </w:rPr>
        <w:t>经济发展概况</w:t>
      </w:r>
    </w:p>
    <w:p>
      <w:pPr>
        <w:ind w:firstLine="480"/>
      </w:pPr>
      <w:r>
        <w:rPr>
          <w:rFonts w:hint="eastAsia"/>
        </w:rPr>
        <w:t>合水县经济社会水平不断发展，2014年，全县国内生产总值完成54.13亿元，比上年增长11.2%。在生产总值（GDP）中，第一产业7.21亿元，增长5.6%，第二产业39.23亿元，增长5.6%，第三产业7.6亿元，增长7.7%。产业比重由上年的16.02：68.03：15.95调整为13.32：72.47：14.21。</w:t>
      </w:r>
    </w:p>
    <w:p>
      <w:pPr>
        <w:ind w:firstLine="480"/>
      </w:pPr>
      <w:r>
        <w:rPr>
          <w:rFonts w:hint="eastAsia"/>
        </w:rPr>
        <w:t>合水县其中耕地35.03万亩，占总土地面积的11.8%；园地22.05亩，占总土地面积的7.2%。2014年合水县粮食产量达到102041.19吨，下降9.2%。其中，夏粮25128吨，增长15.72%；秋粮76913.19吨，下降15.17%。全年粮食单产294.66公斤，比上年减产9.84公斤，下降3.23%。全县夏秋粮面积比为30.2：69.8，农业结构调整趋于合理，苹果、草畜、瓜菜三大产业的支柱作用显现。大力实施“农民增收十大行动”，种植全膜双垄沟播玉米7.53万亩、马铃薯2.14万亩。新栽苹果0.5万亩，建成大中型冷藏库11座，实现产值3.1亿元；种植各类蔬菜18.33万亩，其中设施蔬菜1.24万亩，实现产值3.07亿元。</w:t>
      </w:r>
    </w:p>
    <w:p>
      <w:pPr>
        <w:ind w:firstLine="480"/>
      </w:pPr>
      <w:r>
        <w:rPr>
          <w:rFonts w:hint="eastAsia"/>
        </w:rPr>
        <w:t>合水县是陇东能源化工基地的重要组成部分，石油、煤炭等矿产资源丰富，截至2012年，合水县已探明石油储量2.7亿吨，石油产能突破70万吨。煤炭总储量71.3亿吨、煤层气贮量2150亿m3，平均可采煤厚度6.46 m，分布稳定，构造简单，煤质优良，开发潜力巨大。</w:t>
      </w:r>
    </w:p>
    <w:p>
      <w:pPr>
        <w:pStyle w:val="4"/>
      </w:pPr>
      <w:r>
        <w:t>2.2.3 区域水资源概况</w:t>
      </w:r>
    </w:p>
    <w:p>
      <w:pPr>
        <w:ind w:firstLine="480"/>
      </w:pPr>
      <w:r>
        <w:rPr>
          <w:rFonts w:hint="eastAsia"/>
        </w:rPr>
        <w:t>合水县自产水资源总量为7476.8万m3，平均产水模数（单位面积产水量）为2.54万m3/km2。人均水资源占有量420.3m3，是全国人均水资源量的20.4%，是全省人均水资源量占有量的39.1%，是庆阳市人均水资源占有量的1.23倍。按耕地面积计算，亩均水资源占有量为213.4m3，是全国亩均水资源占有量的11.5%，是全省亩均水资源占有量的56.8%，是庆阳市亩均水资源占有量的1.9倍。全县自产水资源可利用量为3606.5万m3。</w:t>
      </w:r>
    </w:p>
    <w:p>
      <w:pPr>
        <w:ind w:firstLine="480"/>
        <w:rPr>
          <w:sz w:val="21"/>
        </w:rPr>
      </w:pPr>
      <w:r>
        <w:rPr>
          <w:rFonts w:hint="eastAsia"/>
        </w:rPr>
        <w:t>合水县自产水资源主要来自于马莲河、葫芦河及其地下潜水，其中马莲河产水量占全县水资源总量的59.8%，葫芦河产水量占全县水资源总量的30.2%。本县水资源的特点主要有：一是总水资源量大，自产水资源量小，合水县水资源总量44233.3万m3，自产水量仅为7476.8万m3，占水资源总量的16.9%，过境水资源量为36746.5万rn3，占全县总水资源量的83.1%，全县河流水资源量绝大部分为过境水，有自主使用权的水量很少，水资源比较匮乏；二是径流年内分配不均，汛期径流量约占年径流量的70%左右，而且多为洪水，难以利用，使得区域内的水资源供需矛盾突出；三是径流年际变化大，加之现有水利工程调蓄能力差，加剧了水资源的供需矛盾；四是主要河流马莲河水污染严重，无法得到充分利用，其它河流的水环境形势也不容乐观，亟需加强水环境保护；五是水低塬高，水资源利用难度大，塬区土地平整，耕作条件较好，是全县主要产粮区，但水资源短缺，限制了农业发展。</w:t>
      </w:r>
      <w:r>
        <w:rPr>
          <w:sz w:val="21"/>
        </w:rPr>
        <w:br w:type="page"/>
      </w:r>
    </w:p>
    <w:p>
      <w:pPr>
        <w:pStyle w:val="2"/>
      </w:pPr>
      <w:bookmarkStart w:id="11" w:name="_Toc57964352"/>
      <w:r>
        <w:t>3</w:t>
      </w:r>
      <w:r>
        <w:rPr>
          <w:rFonts w:hint="eastAsia"/>
        </w:rPr>
        <w:t>分析</w:t>
      </w:r>
      <w:r>
        <w:t>范围内水功能区（水域）状况</w:t>
      </w:r>
      <w:bookmarkEnd w:id="11"/>
    </w:p>
    <w:p>
      <w:pPr>
        <w:pStyle w:val="3"/>
      </w:pPr>
      <w:bookmarkStart w:id="12" w:name="_Toc57964353"/>
      <w:r>
        <w:rPr>
          <w:rFonts w:hint="eastAsia"/>
        </w:rPr>
        <w:t xml:space="preserve">3.1 </w:t>
      </w:r>
      <w:r>
        <w:t>水功能区（水域）保护水质管理目标与要求</w:t>
      </w:r>
      <w:bookmarkEnd w:id="12"/>
    </w:p>
    <w:p>
      <w:pPr>
        <w:ind w:firstLine="480"/>
      </w:pPr>
      <w:r>
        <w:t>根据《甘肃省地表水功能区划（</w:t>
      </w:r>
      <w:r>
        <w:rPr>
          <w:rFonts w:eastAsia="Times New Roman"/>
        </w:rPr>
        <w:t xml:space="preserve">2012~2030 </w:t>
      </w:r>
      <w:r>
        <w:t>年）》，</w:t>
      </w:r>
      <w:r>
        <w:rPr>
          <w:rFonts w:hint="eastAsia"/>
        </w:rPr>
        <w:t>合水县何家畔镇何家畔村截污控源工程</w:t>
      </w:r>
      <w:r>
        <w:t>入河排污口位于</w:t>
      </w:r>
      <w:r>
        <w:rPr>
          <w:color w:val="000000" w:themeColor="text1"/>
        </w:rPr>
        <w:t>甘肃省</w:t>
      </w:r>
      <w:r>
        <w:rPr>
          <w:rFonts w:hint="eastAsia"/>
          <w:color w:val="000000" w:themeColor="text1"/>
        </w:rPr>
        <w:t>二</w:t>
      </w:r>
      <w:r>
        <w:rPr>
          <w:color w:val="000000" w:themeColor="text1"/>
        </w:rPr>
        <w:t>级水功能区</w:t>
      </w:r>
      <w:r>
        <w:rPr>
          <w:rFonts w:eastAsia="Times New Roman"/>
          <w:color w:val="000000" w:themeColor="text1"/>
        </w:rPr>
        <w:t>——</w:t>
      </w:r>
      <w:r>
        <w:rPr>
          <w:rFonts w:hint="eastAsia"/>
        </w:rPr>
        <w:t>马莲河环县、庆城、合水、宁县工业、农业用水区</w:t>
      </w:r>
      <w:r>
        <w:rPr>
          <w:rFonts w:hint="eastAsia" w:eastAsiaTheme="minorEastAsia"/>
        </w:rPr>
        <w:t>，</w:t>
      </w:r>
      <w:r>
        <w:rPr>
          <w:rFonts w:hint="eastAsia"/>
        </w:rPr>
        <w:t>合水县何家畔镇何家畔村截污控源工程生活污水</w:t>
      </w:r>
      <w:r>
        <w:t>排</w:t>
      </w:r>
      <w:r>
        <w:rPr>
          <w:rFonts w:hint="eastAsia"/>
        </w:rPr>
        <w:t>入马莲河</w:t>
      </w:r>
      <w:r>
        <w:t>，</w:t>
      </w:r>
      <w:r>
        <w:rPr>
          <w:rFonts w:hint="eastAsia"/>
        </w:rPr>
        <w:t>因此确定</w:t>
      </w:r>
      <w:r>
        <w:t>该</w:t>
      </w:r>
      <w:r>
        <w:rPr>
          <w:rFonts w:hint="eastAsia"/>
        </w:rPr>
        <w:t>二</w:t>
      </w:r>
      <w:r>
        <w:t>级水功能</w:t>
      </w:r>
      <w:r>
        <w:rPr>
          <w:rFonts w:hint="eastAsia"/>
        </w:rPr>
        <w:t>区</w:t>
      </w:r>
      <w:r>
        <w:rPr>
          <w:rFonts w:hint="eastAsia"/>
          <w:color w:val="000000" w:themeColor="text1"/>
        </w:rPr>
        <w:t>排污口上游500</w:t>
      </w:r>
      <w:r>
        <w:rPr>
          <w:color w:val="000000" w:themeColor="text1"/>
        </w:rPr>
        <w:t>m，下游</w:t>
      </w:r>
      <w:r>
        <w:rPr>
          <w:rFonts w:hint="eastAsia"/>
          <w:color w:val="000000" w:themeColor="text1"/>
        </w:rPr>
        <w:t>1500m为</w:t>
      </w:r>
      <w:r>
        <w:rPr>
          <w:color w:val="000000" w:themeColor="text1"/>
        </w:rPr>
        <w:t>分析范围，</w:t>
      </w:r>
      <w:r>
        <w:rPr>
          <w:rFonts w:hint="eastAsia"/>
        </w:rPr>
        <w:t>水质目标为</w:t>
      </w:r>
      <w:r>
        <w:rPr>
          <w:rFonts w:hint="eastAsia"/>
          <w:color w:val="000000" w:themeColor="text1"/>
          <w:szCs w:val="24"/>
        </w:rPr>
        <w:t>Ⅳ</w:t>
      </w:r>
      <w:r>
        <w:rPr>
          <w:rFonts w:hint="eastAsia"/>
        </w:rPr>
        <w:t>类。分析水范围内功能区</w:t>
      </w:r>
      <w:r>
        <w:t>基本情况见表</w:t>
      </w:r>
      <w:r>
        <w:rPr>
          <w:rFonts w:cs="Times New Roman"/>
        </w:rPr>
        <w:t>3.1-1</w:t>
      </w:r>
      <w:r>
        <w:rPr>
          <w:rFonts w:hint="eastAsia"/>
        </w:rPr>
        <w:t>，</w:t>
      </w:r>
      <w:r>
        <w:rPr>
          <w:spacing w:val="-4"/>
        </w:rPr>
        <w:t>本项目排污口所在水功能区位置见</w:t>
      </w:r>
      <w:r>
        <w:rPr>
          <w:rFonts w:hint="eastAsia"/>
          <w:spacing w:val="-4"/>
        </w:rPr>
        <w:t>图3.1-1</w:t>
      </w:r>
      <w:r>
        <w:t>。</w:t>
      </w:r>
    </w:p>
    <w:p>
      <w:pPr>
        <w:tabs>
          <w:tab w:val="left" w:pos="3213"/>
        </w:tabs>
        <w:autoSpaceDE/>
        <w:autoSpaceDN/>
        <w:ind w:left="299" w:firstLine="422"/>
        <w:jc w:val="center"/>
        <w:rPr>
          <w:rFonts w:eastAsiaTheme="minorEastAsia" w:cstheme="minorBidi"/>
          <w:b/>
          <w:kern w:val="2"/>
          <w:sz w:val="21"/>
          <w:lang w:val="en-US" w:bidi="ar-SA"/>
        </w:rPr>
      </w:pPr>
      <w:r>
        <w:rPr>
          <w:rFonts w:eastAsiaTheme="minorEastAsia" w:cstheme="minorBidi"/>
          <w:b/>
          <w:kern w:val="2"/>
          <w:sz w:val="21"/>
          <w:lang w:val="en-US" w:bidi="ar-SA"/>
        </w:rPr>
        <w:t>表</w:t>
      </w:r>
      <w:r>
        <w:rPr>
          <w:rFonts w:eastAsia="Times New Roman" w:cstheme="minorBidi"/>
          <w:b/>
          <w:kern w:val="2"/>
          <w:sz w:val="21"/>
          <w:lang w:val="en-US" w:bidi="ar-SA"/>
        </w:rPr>
        <w:t>3.1-1</w:t>
      </w:r>
      <w:r>
        <w:rPr>
          <w:rFonts w:eastAsiaTheme="minorEastAsia" w:cstheme="minorBidi"/>
          <w:b/>
          <w:kern w:val="2"/>
          <w:sz w:val="21"/>
          <w:lang w:val="en-US" w:bidi="ar-SA"/>
        </w:rPr>
        <w:t>论证范围内水功能</w:t>
      </w:r>
      <w:r>
        <w:rPr>
          <w:rFonts w:eastAsiaTheme="minorEastAsia" w:cstheme="minorBidi"/>
          <w:b/>
          <w:spacing w:val="-3"/>
          <w:kern w:val="2"/>
          <w:sz w:val="21"/>
          <w:lang w:val="en-US" w:bidi="ar-SA"/>
        </w:rPr>
        <w:t>区</w:t>
      </w:r>
      <w:r>
        <w:rPr>
          <w:rFonts w:eastAsiaTheme="minorEastAsia" w:cstheme="minorBidi"/>
          <w:b/>
          <w:kern w:val="2"/>
          <w:sz w:val="21"/>
          <w:lang w:val="en-US" w:bidi="ar-SA"/>
        </w:rPr>
        <w:t>一览表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1836"/>
        <w:gridCol w:w="2381"/>
        <w:gridCol w:w="1102"/>
        <w:gridCol w:w="1166"/>
        <w:gridCol w:w="1134"/>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Merge w:val="restart"/>
            <w:vAlign w:val="center"/>
          </w:tcPr>
          <w:p>
            <w:pPr>
              <w:tabs>
                <w:tab w:val="left" w:pos="3213"/>
              </w:tabs>
              <w:autoSpaceDE/>
              <w:autoSpaceDN/>
              <w:spacing w:line="240" w:lineRule="auto"/>
              <w:ind w:firstLine="0" w:firstLineChars="0"/>
              <w:rPr>
                <w:rFonts w:ascii="宋体" w:hAnsi="宋体" w:cstheme="minorBidi"/>
                <w:b/>
                <w:kern w:val="2"/>
                <w:sz w:val="21"/>
                <w:lang w:val="en-US" w:bidi="ar-SA"/>
              </w:rPr>
            </w:pPr>
            <w:r>
              <w:rPr>
                <w:rFonts w:hint="eastAsia" w:ascii="宋体" w:hAnsi="宋体" w:cstheme="minorBidi"/>
                <w:b/>
                <w:kern w:val="2"/>
                <w:sz w:val="21"/>
                <w:lang w:val="en-US" w:bidi="ar-SA"/>
              </w:rPr>
              <w:t>序号</w:t>
            </w:r>
          </w:p>
        </w:tc>
        <w:tc>
          <w:tcPr>
            <w:tcW w:w="0" w:type="auto"/>
            <w:vMerge w:val="restart"/>
            <w:vAlign w:val="center"/>
          </w:tcPr>
          <w:p>
            <w:pPr>
              <w:tabs>
                <w:tab w:val="left" w:pos="3213"/>
              </w:tabs>
              <w:autoSpaceDE/>
              <w:autoSpaceDN/>
              <w:spacing w:line="240" w:lineRule="auto"/>
              <w:ind w:firstLine="0" w:firstLineChars="0"/>
              <w:rPr>
                <w:rFonts w:ascii="宋体" w:hAnsi="宋体" w:cstheme="minorBidi"/>
                <w:b/>
                <w:kern w:val="2"/>
                <w:sz w:val="21"/>
                <w:lang w:val="en-US" w:bidi="ar-SA"/>
              </w:rPr>
            </w:pPr>
            <w:r>
              <w:rPr>
                <w:rFonts w:hint="eastAsia" w:ascii="宋体" w:hAnsi="宋体" w:cstheme="minorBidi"/>
                <w:b/>
                <w:kern w:val="2"/>
                <w:sz w:val="21"/>
                <w:lang w:val="en-US" w:bidi="ar-SA"/>
              </w:rPr>
              <w:t>一级水功能区</w:t>
            </w:r>
          </w:p>
        </w:tc>
        <w:tc>
          <w:tcPr>
            <w:tcW w:w="2381" w:type="dxa"/>
            <w:vMerge w:val="restart"/>
            <w:vAlign w:val="center"/>
          </w:tcPr>
          <w:p>
            <w:pPr>
              <w:tabs>
                <w:tab w:val="left" w:pos="3213"/>
              </w:tabs>
              <w:autoSpaceDE/>
              <w:autoSpaceDN/>
              <w:spacing w:line="240" w:lineRule="auto"/>
              <w:ind w:firstLine="0" w:firstLineChars="0"/>
              <w:rPr>
                <w:rFonts w:ascii="宋体" w:hAnsi="宋体" w:cstheme="minorBidi"/>
                <w:b/>
                <w:kern w:val="2"/>
                <w:sz w:val="21"/>
                <w:lang w:val="en-US" w:bidi="ar-SA"/>
              </w:rPr>
            </w:pPr>
            <w:r>
              <w:rPr>
                <w:rFonts w:hint="eastAsia" w:ascii="宋体" w:hAnsi="宋体" w:cstheme="minorBidi"/>
                <w:b/>
                <w:kern w:val="2"/>
                <w:sz w:val="21"/>
                <w:lang w:val="en-US" w:bidi="ar-SA"/>
              </w:rPr>
              <w:t>所在二级水</w:t>
            </w:r>
            <w:r>
              <w:rPr>
                <w:rFonts w:ascii="宋体" w:hAnsi="宋体" w:cstheme="minorBidi"/>
                <w:b/>
                <w:kern w:val="2"/>
                <w:sz w:val="21"/>
                <w:lang w:val="en-US" w:bidi="ar-SA"/>
              </w:rPr>
              <w:t>功能区</w:t>
            </w:r>
          </w:p>
        </w:tc>
        <w:tc>
          <w:tcPr>
            <w:tcW w:w="2268" w:type="dxa"/>
            <w:gridSpan w:val="2"/>
            <w:vAlign w:val="center"/>
          </w:tcPr>
          <w:p>
            <w:pPr>
              <w:tabs>
                <w:tab w:val="left" w:pos="3213"/>
              </w:tabs>
              <w:autoSpaceDE/>
              <w:autoSpaceDN/>
              <w:spacing w:line="240" w:lineRule="auto"/>
              <w:ind w:firstLine="0" w:firstLineChars="0"/>
              <w:jc w:val="center"/>
              <w:rPr>
                <w:rFonts w:ascii="宋体" w:hAnsi="宋体" w:cstheme="minorBidi"/>
                <w:b/>
                <w:kern w:val="2"/>
                <w:sz w:val="21"/>
                <w:lang w:val="en-US" w:bidi="ar-SA"/>
              </w:rPr>
            </w:pPr>
            <w:r>
              <w:rPr>
                <w:rFonts w:hint="eastAsia" w:ascii="宋体" w:hAnsi="宋体" w:cstheme="minorBidi"/>
                <w:b/>
                <w:kern w:val="2"/>
                <w:sz w:val="21"/>
                <w:lang w:val="en-US" w:bidi="ar-SA"/>
              </w:rPr>
              <w:t>范围</w:t>
            </w:r>
          </w:p>
        </w:tc>
        <w:tc>
          <w:tcPr>
            <w:tcW w:w="1134" w:type="dxa"/>
            <w:vMerge w:val="restart"/>
            <w:vAlign w:val="center"/>
          </w:tcPr>
          <w:p>
            <w:pPr>
              <w:tabs>
                <w:tab w:val="left" w:pos="3213"/>
              </w:tabs>
              <w:autoSpaceDE/>
              <w:autoSpaceDN/>
              <w:spacing w:line="240" w:lineRule="auto"/>
              <w:ind w:firstLine="0" w:firstLineChars="0"/>
              <w:rPr>
                <w:rFonts w:ascii="宋体" w:hAnsi="宋体" w:cstheme="minorBidi"/>
                <w:b/>
                <w:kern w:val="2"/>
                <w:sz w:val="21"/>
                <w:lang w:val="en-US" w:bidi="ar-SA"/>
              </w:rPr>
            </w:pPr>
            <w:r>
              <w:rPr>
                <w:rFonts w:hint="eastAsia" w:ascii="宋体" w:hAnsi="宋体" w:cstheme="minorBidi"/>
                <w:b/>
                <w:kern w:val="2"/>
                <w:sz w:val="21"/>
                <w:lang w:val="en-US" w:bidi="ar-SA"/>
              </w:rPr>
              <w:t>长度（</w:t>
            </w:r>
            <w:r>
              <w:rPr>
                <w:rFonts w:ascii="宋体" w:hAnsi="宋体" w:cstheme="minorBidi"/>
                <w:b/>
                <w:kern w:val="2"/>
                <w:sz w:val="21"/>
                <w:lang w:val="en-US" w:bidi="ar-SA"/>
              </w:rPr>
              <w:t>km）</w:t>
            </w:r>
          </w:p>
        </w:tc>
        <w:tc>
          <w:tcPr>
            <w:tcW w:w="1137" w:type="dxa"/>
            <w:vMerge w:val="restart"/>
            <w:vAlign w:val="center"/>
          </w:tcPr>
          <w:p>
            <w:pPr>
              <w:tabs>
                <w:tab w:val="left" w:pos="3213"/>
              </w:tabs>
              <w:autoSpaceDE/>
              <w:autoSpaceDN/>
              <w:spacing w:line="240" w:lineRule="auto"/>
              <w:ind w:firstLine="0" w:firstLineChars="0"/>
              <w:rPr>
                <w:rFonts w:ascii="宋体" w:hAnsi="宋体" w:cstheme="minorBidi"/>
                <w:b/>
                <w:kern w:val="2"/>
                <w:sz w:val="21"/>
                <w:lang w:val="en-US" w:bidi="ar-SA"/>
              </w:rPr>
            </w:pPr>
            <w:r>
              <w:rPr>
                <w:rFonts w:hint="eastAsia" w:ascii="宋体" w:hAnsi="宋体" w:cstheme="minorBidi"/>
                <w:b/>
                <w:kern w:val="2"/>
                <w:sz w:val="21"/>
                <w:lang w:val="en-US" w:bidi="ar-SA"/>
              </w:rPr>
              <w:t>水质目标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Merge w:val="continue"/>
          </w:tcPr>
          <w:p>
            <w:pPr>
              <w:tabs>
                <w:tab w:val="left" w:pos="3213"/>
              </w:tabs>
              <w:autoSpaceDE/>
              <w:autoSpaceDN/>
              <w:ind w:firstLine="422"/>
              <w:jc w:val="center"/>
              <w:rPr>
                <w:rFonts w:eastAsiaTheme="minorEastAsia" w:cstheme="minorBidi"/>
                <w:b/>
                <w:kern w:val="2"/>
                <w:sz w:val="21"/>
                <w:lang w:val="en-US" w:bidi="ar-SA"/>
              </w:rPr>
            </w:pPr>
          </w:p>
        </w:tc>
        <w:tc>
          <w:tcPr>
            <w:tcW w:w="0" w:type="auto"/>
            <w:vMerge w:val="continue"/>
          </w:tcPr>
          <w:p>
            <w:pPr>
              <w:tabs>
                <w:tab w:val="left" w:pos="3213"/>
              </w:tabs>
              <w:autoSpaceDE/>
              <w:autoSpaceDN/>
              <w:ind w:firstLine="422"/>
              <w:jc w:val="center"/>
              <w:rPr>
                <w:rFonts w:eastAsiaTheme="minorEastAsia" w:cstheme="minorBidi"/>
                <w:b/>
                <w:kern w:val="2"/>
                <w:sz w:val="21"/>
                <w:lang w:val="en-US" w:bidi="ar-SA"/>
              </w:rPr>
            </w:pPr>
          </w:p>
        </w:tc>
        <w:tc>
          <w:tcPr>
            <w:tcW w:w="2381" w:type="dxa"/>
            <w:vMerge w:val="continue"/>
          </w:tcPr>
          <w:p>
            <w:pPr>
              <w:tabs>
                <w:tab w:val="left" w:pos="3213"/>
              </w:tabs>
              <w:autoSpaceDE/>
              <w:autoSpaceDN/>
              <w:ind w:firstLine="422"/>
              <w:jc w:val="center"/>
              <w:rPr>
                <w:rFonts w:eastAsiaTheme="minorEastAsia" w:cstheme="minorBidi"/>
                <w:b/>
                <w:kern w:val="2"/>
                <w:sz w:val="21"/>
                <w:lang w:val="en-US" w:bidi="ar-SA"/>
              </w:rPr>
            </w:pPr>
          </w:p>
        </w:tc>
        <w:tc>
          <w:tcPr>
            <w:tcW w:w="1102" w:type="dxa"/>
          </w:tcPr>
          <w:p>
            <w:pPr>
              <w:tabs>
                <w:tab w:val="left" w:pos="3213"/>
              </w:tabs>
              <w:autoSpaceDE/>
              <w:autoSpaceDN/>
              <w:ind w:firstLine="0" w:firstLineChars="0"/>
              <w:rPr>
                <w:rFonts w:eastAsiaTheme="minorEastAsia" w:cstheme="minorBidi"/>
                <w:b/>
                <w:kern w:val="2"/>
                <w:sz w:val="21"/>
                <w:lang w:val="en-US" w:bidi="ar-SA"/>
              </w:rPr>
            </w:pPr>
            <w:r>
              <w:rPr>
                <w:rFonts w:hint="eastAsia" w:eastAsiaTheme="minorEastAsia" w:cstheme="minorBidi"/>
                <w:b/>
                <w:kern w:val="2"/>
                <w:sz w:val="21"/>
                <w:lang w:val="en-US" w:bidi="ar-SA"/>
              </w:rPr>
              <w:t>起始断面</w:t>
            </w:r>
          </w:p>
        </w:tc>
        <w:tc>
          <w:tcPr>
            <w:tcW w:w="1166" w:type="dxa"/>
          </w:tcPr>
          <w:p>
            <w:pPr>
              <w:tabs>
                <w:tab w:val="left" w:pos="3213"/>
              </w:tabs>
              <w:autoSpaceDE/>
              <w:autoSpaceDN/>
              <w:ind w:firstLine="0" w:firstLineChars="0"/>
              <w:rPr>
                <w:rFonts w:eastAsiaTheme="minorEastAsia" w:cstheme="minorBidi"/>
                <w:b/>
                <w:kern w:val="2"/>
                <w:sz w:val="21"/>
                <w:lang w:val="en-US" w:bidi="ar-SA"/>
              </w:rPr>
            </w:pPr>
            <w:r>
              <w:rPr>
                <w:rFonts w:hint="eastAsia" w:eastAsiaTheme="minorEastAsia" w:cstheme="minorBidi"/>
                <w:b/>
                <w:kern w:val="2"/>
                <w:sz w:val="21"/>
                <w:lang w:val="en-US" w:bidi="ar-SA"/>
              </w:rPr>
              <w:t>终止断面</w:t>
            </w:r>
          </w:p>
        </w:tc>
        <w:tc>
          <w:tcPr>
            <w:tcW w:w="1134" w:type="dxa"/>
            <w:vMerge w:val="continue"/>
          </w:tcPr>
          <w:p>
            <w:pPr>
              <w:tabs>
                <w:tab w:val="left" w:pos="3213"/>
              </w:tabs>
              <w:autoSpaceDE/>
              <w:autoSpaceDN/>
              <w:ind w:firstLine="422"/>
              <w:jc w:val="center"/>
              <w:rPr>
                <w:rFonts w:eastAsiaTheme="minorEastAsia" w:cstheme="minorBidi"/>
                <w:b/>
                <w:kern w:val="2"/>
                <w:sz w:val="21"/>
                <w:lang w:val="en-US" w:bidi="ar-SA"/>
              </w:rPr>
            </w:pPr>
          </w:p>
        </w:tc>
        <w:tc>
          <w:tcPr>
            <w:tcW w:w="1137" w:type="dxa"/>
            <w:vMerge w:val="continue"/>
          </w:tcPr>
          <w:p>
            <w:pPr>
              <w:tabs>
                <w:tab w:val="left" w:pos="3213"/>
              </w:tabs>
              <w:autoSpaceDE/>
              <w:autoSpaceDN/>
              <w:ind w:firstLine="422"/>
              <w:jc w:val="center"/>
              <w:rPr>
                <w:rFonts w:eastAsiaTheme="minorEastAsia" w:cstheme="minorBidi"/>
                <w:b/>
                <w:kern w:val="2"/>
                <w:sz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vAlign w:val="center"/>
          </w:tcPr>
          <w:p>
            <w:pPr>
              <w:tabs>
                <w:tab w:val="left" w:pos="3213"/>
              </w:tabs>
              <w:autoSpaceDE/>
              <w:autoSpaceDN/>
              <w:spacing w:line="240" w:lineRule="auto"/>
              <w:ind w:firstLine="0" w:firstLineChars="0"/>
              <w:jc w:val="center"/>
              <w:rPr>
                <w:rFonts w:eastAsiaTheme="minorEastAsia" w:cstheme="minorBidi"/>
                <w:kern w:val="2"/>
                <w:sz w:val="21"/>
                <w:lang w:val="en-US" w:bidi="ar-SA"/>
              </w:rPr>
            </w:pPr>
            <w:r>
              <w:rPr>
                <w:rFonts w:hint="eastAsia" w:eastAsiaTheme="minorEastAsia" w:cstheme="minorBidi"/>
                <w:kern w:val="2"/>
                <w:sz w:val="21"/>
                <w:lang w:val="en-US" w:bidi="ar-SA"/>
              </w:rPr>
              <w:t>1</w:t>
            </w:r>
          </w:p>
        </w:tc>
        <w:tc>
          <w:tcPr>
            <w:tcW w:w="0" w:type="auto"/>
          </w:tcPr>
          <w:p>
            <w:pPr>
              <w:ind w:firstLine="0" w:firstLineChars="0"/>
              <w:rPr>
                <w:sz w:val="21"/>
                <w:szCs w:val="21"/>
              </w:rPr>
            </w:pPr>
            <w:r>
              <w:rPr>
                <w:rFonts w:hint="eastAsia"/>
                <w:sz w:val="21"/>
              </w:rPr>
              <w:t>马莲河环县、庆城、合水、宁县开发利用区</w:t>
            </w:r>
          </w:p>
        </w:tc>
        <w:tc>
          <w:tcPr>
            <w:tcW w:w="2381" w:type="dxa"/>
          </w:tcPr>
          <w:p>
            <w:pPr>
              <w:ind w:firstLine="0" w:firstLineChars="0"/>
              <w:rPr>
                <w:sz w:val="21"/>
                <w:szCs w:val="21"/>
              </w:rPr>
            </w:pPr>
            <w:r>
              <w:rPr>
                <w:rFonts w:hint="eastAsia"/>
                <w:sz w:val="21"/>
              </w:rPr>
              <w:t>马莲河环县、庆城、合水、宁县工业、农业用水区</w:t>
            </w:r>
          </w:p>
        </w:tc>
        <w:tc>
          <w:tcPr>
            <w:tcW w:w="1102" w:type="dxa"/>
            <w:vAlign w:val="center"/>
          </w:tcPr>
          <w:p>
            <w:pPr>
              <w:tabs>
                <w:tab w:val="left" w:pos="3345"/>
              </w:tabs>
              <w:spacing w:before="79"/>
              <w:ind w:firstLine="0" w:firstLineChars="0"/>
              <w:jc w:val="center"/>
              <w:rPr>
                <w:color w:val="000000" w:themeColor="text1"/>
                <w:sz w:val="21"/>
              </w:rPr>
            </w:pPr>
            <w:r>
              <w:rPr>
                <w:rFonts w:hint="eastAsia"/>
                <w:color w:val="000000" w:themeColor="text1"/>
                <w:sz w:val="21"/>
              </w:rPr>
              <w:t>洪德站</w:t>
            </w:r>
          </w:p>
        </w:tc>
        <w:tc>
          <w:tcPr>
            <w:tcW w:w="1166" w:type="dxa"/>
            <w:vAlign w:val="center"/>
          </w:tcPr>
          <w:p>
            <w:pPr>
              <w:tabs>
                <w:tab w:val="left" w:pos="3345"/>
              </w:tabs>
              <w:spacing w:before="79"/>
              <w:ind w:firstLine="0" w:firstLineChars="0"/>
              <w:jc w:val="center"/>
              <w:rPr>
                <w:color w:val="000000" w:themeColor="text1"/>
                <w:sz w:val="21"/>
              </w:rPr>
            </w:pPr>
            <w:r>
              <w:rPr>
                <w:rFonts w:hint="eastAsia"/>
                <w:color w:val="000000" w:themeColor="text1"/>
                <w:sz w:val="21"/>
              </w:rPr>
              <w:t>入泾河口</w:t>
            </w:r>
          </w:p>
        </w:tc>
        <w:tc>
          <w:tcPr>
            <w:tcW w:w="1134" w:type="dxa"/>
            <w:vAlign w:val="center"/>
          </w:tcPr>
          <w:p>
            <w:pPr>
              <w:tabs>
                <w:tab w:val="left" w:pos="3345"/>
              </w:tabs>
              <w:spacing w:before="79"/>
              <w:ind w:firstLine="0" w:firstLineChars="0"/>
              <w:jc w:val="center"/>
              <w:rPr>
                <w:color w:val="000000" w:themeColor="text1"/>
                <w:sz w:val="21"/>
              </w:rPr>
            </w:pPr>
            <w:r>
              <w:rPr>
                <w:rFonts w:hint="eastAsia"/>
                <w:color w:val="000000" w:themeColor="text1"/>
                <w:sz w:val="21"/>
              </w:rPr>
              <w:t>275.1</w:t>
            </w:r>
          </w:p>
        </w:tc>
        <w:tc>
          <w:tcPr>
            <w:tcW w:w="1137" w:type="dxa"/>
            <w:vAlign w:val="center"/>
          </w:tcPr>
          <w:p>
            <w:pPr>
              <w:tabs>
                <w:tab w:val="left" w:pos="3345"/>
              </w:tabs>
              <w:spacing w:before="79"/>
              <w:ind w:firstLine="0" w:firstLineChars="0"/>
              <w:jc w:val="center"/>
              <w:rPr>
                <w:rFonts w:ascii="宋体" w:hAnsi="宋体"/>
                <w:color w:val="000000" w:themeColor="text1"/>
                <w:sz w:val="21"/>
              </w:rPr>
            </w:pPr>
            <w:r>
              <w:rPr>
                <w:rFonts w:hint="eastAsia"/>
                <w:color w:val="000000" w:themeColor="text1"/>
                <w:sz w:val="21"/>
              </w:rPr>
              <w:t>Ⅳ</w:t>
            </w:r>
          </w:p>
        </w:tc>
      </w:tr>
    </w:tbl>
    <w:p>
      <w:pPr>
        <w:tabs>
          <w:tab w:val="left" w:pos="3213"/>
        </w:tabs>
        <w:autoSpaceDE/>
        <w:autoSpaceDN/>
        <w:ind w:firstLine="0" w:firstLineChars="0"/>
        <w:rPr>
          <w:rFonts w:eastAsiaTheme="minorEastAsia" w:cstheme="minorBidi"/>
          <w:b/>
          <w:kern w:val="2"/>
          <w:sz w:val="21"/>
          <w:lang w:val="en-US" w:bidi="ar-SA"/>
        </w:rPr>
      </w:pPr>
    </w:p>
    <w:p>
      <w:pPr>
        <w:tabs>
          <w:tab w:val="left" w:pos="3213"/>
        </w:tabs>
        <w:autoSpaceDE/>
        <w:autoSpaceDN/>
        <w:ind w:firstLine="0" w:firstLineChars="0"/>
        <w:jc w:val="center"/>
        <w:rPr>
          <w:rFonts w:eastAsiaTheme="minorEastAsia" w:cstheme="minorBidi"/>
          <w:b/>
          <w:kern w:val="2"/>
          <w:sz w:val="21"/>
          <w:lang w:val="en-US" w:bidi="ar-SA"/>
        </w:rPr>
      </w:pPr>
      <w:r>
        <w:rPr>
          <w:lang w:val="en-US" w:bidi="ar-SA"/>
        </w:rPr>
        <w:pict>
          <v:shape id="_x0000_s1049" o:spid="_x0000_s1049" o:spt="32" type="#_x0000_t32" style="position:absolute;left:0pt;margin-left:170.1pt;margin-top:240.3pt;height:23.25pt;width:19.5pt;z-index:251665408;mso-width-relative:page;mso-height-relative:page;" o:connectortype="straight" filled="f" coordsize="21600,21600">
            <v:path arrowok="t"/>
            <v:fill on="f" focussize="0,0"/>
            <v:stroke endarrow="block"/>
            <v:imagedata o:title=""/>
            <o:lock v:ext="edit"/>
          </v:shape>
        </w:pict>
      </w:r>
      <w:r>
        <w:rPr>
          <w:lang w:val="en-US" w:bidi="ar-SA"/>
        </w:rPr>
        <w:pict>
          <v:shape id="_x0000_s1048" o:spid="_x0000_s1048" o:spt="3" type="#_x0000_t3" style="position:absolute;left:0pt;margin-left:183.35pt;margin-top:263.55pt;height:7.5pt;width:13.5pt;z-index:251664384;mso-width-relative:page;mso-height-relative:page;" fillcolor="#FF0000" filled="t" coordsize="21600,21600">
            <v:path/>
            <v:fill on="t" focussize="0,0"/>
            <v:stroke/>
            <v:imagedata o:title=""/>
            <o:lock v:ext="edit"/>
          </v:shape>
        </w:pict>
      </w:r>
      <w:r>
        <w:rPr>
          <w:lang w:val="en-US" w:bidi="ar-SA"/>
        </w:rPr>
        <w:pict>
          <v:rect id="_x0000_s1050" o:spid="_x0000_s1050" o:spt="1" style="position:absolute;left:0pt;margin-left:114pt;margin-top:218.45pt;height:21.85pt;width:69.35pt;z-index:251666432;mso-width-relative:page;mso-height-relative:page;" stroked="f" coordsize="21600,21600">
            <v:path/>
            <v:fill focussize="0,0"/>
            <v:stroke on="f"/>
            <v:imagedata o:title=""/>
            <o:lock v:ext="edit"/>
            <v:textbox>
              <w:txbxContent>
                <w:p>
                  <w:pPr>
                    <w:ind w:firstLine="0" w:firstLineChars="0"/>
                    <w:rPr>
                      <w:rFonts w:ascii="华文楷体" w:hAnsi="华文楷体" w:eastAsia="华文楷体"/>
                      <w:b/>
                      <w:sz w:val="21"/>
                      <w:szCs w:val="21"/>
                    </w:rPr>
                  </w:pPr>
                  <w:r>
                    <w:rPr>
                      <w:rFonts w:hint="eastAsia" w:ascii="华文楷体" w:hAnsi="华文楷体" w:eastAsia="华文楷体"/>
                      <w:b/>
                      <w:sz w:val="21"/>
                      <w:szCs w:val="21"/>
                    </w:rPr>
                    <w:t>项目所在地</w:t>
                  </w:r>
                </w:p>
              </w:txbxContent>
            </v:textbox>
          </v:rect>
        </w:pict>
      </w:r>
      <w:r>
        <w:rPr>
          <w:lang w:val="en-US" w:bidi="ar-SA"/>
        </w:rPr>
        <w:drawing>
          <wp:inline distT="0" distB="0" distL="0" distR="0">
            <wp:extent cx="5486400" cy="38677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tretch>
                      <a:fillRect/>
                    </a:stretch>
                  </pic:blipFill>
                  <pic:spPr>
                    <a:xfrm>
                      <a:off x="0" y="0"/>
                      <a:ext cx="5486400" cy="3867785"/>
                    </a:xfrm>
                    <a:prstGeom prst="rect">
                      <a:avLst/>
                    </a:prstGeom>
                  </pic:spPr>
                </pic:pic>
              </a:graphicData>
            </a:graphic>
          </wp:inline>
        </w:drawing>
      </w:r>
    </w:p>
    <w:p>
      <w:pPr>
        <w:tabs>
          <w:tab w:val="left" w:pos="3213"/>
        </w:tabs>
        <w:autoSpaceDE/>
        <w:autoSpaceDN/>
        <w:ind w:firstLine="198" w:firstLineChars="94"/>
        <w:jc w:val="center"/>
        <w:rPr>
          <w:rFonts w:eastAsiaTheme="minorEastAsia" w:cstheme="minorBidi"/>
          <w:b/>
          <w:kern w:val="2"/>
          <w:sz w:val="21"/>
          <w:lang w:val="en-US" w:bidi="ar-SA"/>
        </w:rPr>
      </w:pPr>
      <w:r>
        <w:rPr>
          <w:rFonts w:hint="eastAsia" w:eastAsiaTheme="minorEastAsia" w:cstheme="minorBidi"/>
          <w:b/>
          <w:kern w:val="2"/>
          <w:sz w:val="21"/>
          <w:lang w:val="en-US" w:bidi="ar-SA"/>
        </w:rPr>
        <w:t>图</w:t>
      </w:r>
      <w:r>
        <w:rPr>
          <w:rFonts w:eastAsia="Times New Roman" w:cstheme="minorBidi"/>
          <w:b/>
          <w:kern w:val="2"/>
          <w:sz w:val="21"/>
          <w:lang w:val="en-US" w:bidi="ar-SA"/>
        </w:rPr>
        <w:t>3.1-1</w:t>
      </w:r>
      <w:r>
        <w:rPr>
          <w:rFonts w:hint="eastAsia" w:eastAsiaTheme="minorEastAsia" w:cstheme="minorBidi"/>
          <w:b/>
          <w:kern w:val="2"/>
          <w:sz w:val="21"/>
          <w:lang w:val="en-US" w:bidi="ar-SA"/>
        </w:rPr>
        <w:t>合水县何家畔镇何家畔村截污控源项目所在水功能区位置示意图</w:t>
      </w:r>
    </w:p>
    <w:p>
      <w:pPr>
        <w:ind w:firstLine="420"/>
        <w:rPr>
          <w:rFonts w:eastAsiaTheme="minorEastAsia" w:cstheme="minorBidi"/>
          <w:sz w:val="21"/>
          <w:lang w:val="en-US" w:bidi="ar-SA"/>
        </w:rPr>
      </w:pPr>
    </w:p>
    <w:p>
      <w:pPr>
        <w:pStyle w:val="3"/>
      </w:pPr>
      <w:bookmarkStart w:id="13" w:name="_Toc57964354"/>
      <w:r>
        <w:rPr>
          <w:rFonts w:hint="eastAsia"/>
        </w:rPr>
        <w:t xml:space="preserve">3.2 </w:t>
      </w:r>
      <w:r>
        <w:t>水功能区现有取排水状况</w:t>
      </w:r>
      <w:bookmarkEnd w:id="13"/>
    </w:p>
    <w:p>
      <w:pPr>
        <w:pStyle w:val="4"/>
      </w:pPr>
      <w:r>
        <w:rPr>
          <w:rFonts w:hint="eastAsia"/>
        </w:rPr>
        <w:t>3.2.1</w:t>
      </w:r>
      <w:r>
        <w:t>取水现状</w:t>
      </w:r>
    </w:p>
    <w:p>
      <w:pPr>
        <w:ind w:firstLine="480"/>
      </w:pPr>
      <w:r>
        <w:t>通过对</w:t>
      </w:r>
      <w:r>
        <w:rPr>
          <w:rFonts w:hint="eastAsia"/>
        </w:rPr>
        <w:t>合水县何家畔镇何家畔村截污控源工程</w:t>
      </w:r>
      <w:r>
        <w:t>所处水功能区调查，污水厂排入的</w:t>
      </w:r>
      <w:r>
        <w:rPr>
          <w:rFonts w:hint="eastAsia"/>
        </w:rPr>
        <w:t>马莲河</w:t>
      </w:r>
      <w:r>
        <w:t>干流内无取水口。</w:t>
      </w:r>
    </w:p>
    <w:p>
      <w:pPr>
        <w:pStyle w:val="4"/>
      </w:pPr>
      <w:r>
        <w:rPr>
          <w:rFonts w:hint="eastAsia"/>
        </w:rPr>
        <w:t>3.2.</w:t>
      </w:r>
      <w:r>
        <w:t>2</w:t>
      </w:r>
      <w:r>
        <w:rPr>
          <w:rFonts w:hint="eastAsia"/>
        </w:rPr>
        <w:t>排水</w:t>
      </w:r>
      <w:r>
        <w:t>现状</w:t>
      </w:r>
    </w:p>
    <w:p>
      <w:pPr>
        <w:pStyle w:val="7"/>
        <w:spacing w:before="5" w:line="350" w:lineRule="auto"/>
        <w:ind w:right="322" w:firstLine="480"/>
        <w:jc w:val="both"/>
      </w:pPr>
      <w:r>
        <w:rPr>
          <w:rFonts w:eastAsiaTheme="minorEastAsia" w:cstheme="minorBidi"/>
          <w:kern w:val="2"/>
          <w:lang w:val="en-US" w:bidi="ar-SA"/>
        </w:rPr>
        <w:t>根据201</w:t>
      </w:r>
      <w:r>
        <w:rPr>
          <w:rFonts w:hint="eastAsia" w:eastAsiaTheme="minorEastAsia" w:cstheme="minorBidi"/>
          <w:kern w:val="2"/>
          <w:lang w:val="en-US" w:bidi="ar-SA"/>
        </w:rPr>
        <w:t>8</w:t>
      </w:r>
      <w:r>
        <w:rPr>
          <w:rFonts w:eastAsiaTheme="minorEastAsia" w:cstheme="minorBidi"/>
          <w:kern w:val="2"/>
          <w:lang w:val="en-US" w:bidi="ar-SA"/>
        </w:rPr>
        <w:t>年庆阳市入河排污口基本信息调查表，马莲河环县、庆城、合水、宁县工业农业用水区内现有入河排污口141处。其中位于马莲河干流的入河排污口有37 处，分别是庆阳福润肉类加工有限公司临时排污口、庆阳市污水处理厂排污口、西峰区南庙村排洪口、西峰区小崆峒排洪口、西峰区红杏山庄排洪口、西峰区天富亿旅游景点排洪口、西峰区兰州东路排洪口、西峰区火巷沟排洪口、西峰区什社乡街道排洪口、庆城县驿马东滩厂子排污口、庆城县蔡家庙乡剧院排污口、庆城县蔡家庙乡东二路桥北排污口、庆城县庆城镇莲池村经一路排污口、庆城县大庄西壕排 污口、庆城县污水处理厂排水口、宁县污水处理厂排污口、宁县早胜镇街区排污口</w:t>
      </w:r>
      <w:r>
        <w:rPr>
          <w:rFonts w:hint="eastAsia" w:eastAsiaTheme="minorEastAsia" w:cstheme="minorBidi"/>
          <w:kern w:val="2"/>
          <w:lang w:val="en-US" w:bidi="ar-SA"/>
        </w:rPr>
        <w:t>、</w:t>
      </w:r>
      <w:r>
        <w:rPr>
          <w:rFonts w:eastAsiaTheme="minorEastAsia" w:cstheme="minorBidi"/>
          <w:kern w:val="2"/>
          <w:lang w:val="en-US" w:bidi="ar-SA"/>
        </w:rPr>
        <w:t>宁县和盛镇街区排污口、宁县太昌镇街区排污口、宁县中村镇街区排污口、宁县焦村镇街区排污口 、合水县板桥镇街道 1 号排污口、合水县板桥镇街道2号排污口、 合水县板桥镇南街道排污口、合水县老城镇清水沟沟口排污口、合水县老城镇北街桥1号排污口、合水县老城镇北河桥2号排污口、合水县老城镇商场排污口、合水县蒿咀铺乡街道排污口、合水县固城乡街道排污口、合水县固城乡庄一联、合水县吉岘乡铁李川垭口桥东、合水县吉岘乡垭口桥、合水县何家畔镇铁李川、合水县污水处理厂五一山排污口。</w:t>
      </w:r>
      <w:r>
        <w:t>论证范围内排污口位置见图</w:t>
      </w:r>
      <w:r>
        <w:rPr>
          <w:spacing w:val="-60"/>
        </w:rPr>
        <w:t xml:space="preserve"> </w:t>
      </w:r>
      <w:r>
        <w:rPr>
          <w:rFonts w:eastAsia="Times New Roman" w:cs="Times New Roman"/>
        </w:rPr>
        <w:t>3.2-</w:t>
      </w:r>
      <w:r>
        <w:rPr>
          <w:rFonts w:hint="eastAsia" w:cs="Times New Roman" w:eastAsiaTheme="minorEastAsia"/>
        </w:rPr>
        <w:t>1</w:t>
      </w:r>
      <w:r>
        <w:t>。</w:t>
      </w:r>
    </w:p>
    <w:p>
      <w:pPr>
        <w:pStyle w:val="7"/>
        <w:spacing w:before="5" w:line="350" w:lineRule="auto"/>
        <w:ind w:right="322" w:firstLine="0" w:firstLineChars="0"/>
        <w:jc w:val="both"/>
        <w:sectPr>
          <w:footerReference r:id="rId12" w:type="default"/>
          <w:pgSz w:w="11910" w:h="16840"/>
          <w:pgMar w:top="1661" w:right="1321" w:bottom="1361" w:left="1338" w:header="1086" w:footer="1164" w:gutter="0"/>
          <w:pgNumType w:start="1"/>
          <w:cols w:space="720" w:num="1"/>
        </w:sectPr>
      </w:pPr>
    </w:p>
    <w:p>
      <w:pPr>
        <w:pStyle w:val="7"/>
        <w:spacing w:before="5" w:line="350" w:lineRule="auto"/>
        <w:ind w:right="322" w:firstLine="0" w:firstLineChars="0"/>
        <w:jc w:val="center"/>
      </w:pPr>
      <w:r>
        <w:pict>
          <v:group id="_x0000_s1185" o:spid="_x0000_s1185" o:spt="203" style="height:399.95pt;width:658.8pt;" coordsize="13176,7999">
            <o:lock v:ext="edit"/>
            <v:shape id="_x0000_s1186" o:spid="_x0000_s1186" o:spt="75" type="#_x0000_t75" style="position:absolute;left:0;top:0;height:7999;width:13176;" filled="f" o:preferrelative="t" stroked="f" coordsize="21600,21600">
              <v:path/>
              <v:fill on="f" focussize="0,0"/>
              <v:stroke on="f" joinstyle="miter"/>
              <v:imagedata r:id="rId33" o:title=""/>
              <o:lock v:ext="edit" aspectratio="t"/>
            </v:shape>
            <v:group id="_x0000_s1187" o:spid="_x0000_s1187" o:spt="203" style="position:absolute;left:6611;top:2508;height:1097;width:1205;" coordorigin="6611,2508" coordsize="1205,1097">
              <o:lock v:ext="edit"/>
              <v:shape id="_x0000_s1188" o:spid="_x0000_s1188" style="position:absolute;left:6611;top:2508;height:1097;width:1205;" stroked="f" coordorigin="6611,2508" coordsize="1205,1097" path="m7113,3178l6812,3178,6667,3605,7113,3178xe">
                <v:path arrowok="t"/>
                <v:fill focussize="0,0"/>
                <v:stroke on="f"/>
                <v:imagedata o:title=""/>
                <o:lock v:ext="edit"/>
              </v:shape>
              <v:shape id="_x0000_s1189" o:spid="_x0000_s1189" style="position:absolute;left:6611;top:2508;height:1097;width:1205;" stroked="f" coordorigin="6611,2508" coordsize="1205,1097" path="m7816,2508l6611,2508,6611,3178,7816,3178,7816,2508xe">
                <v:path arrowok="t"/>
                <v:fill focussize="0,0"/>
                <v:stroke on="f"/>
                <v:imagedata o:title=""/>
                <o:lock v:ext="edit"/>
              </v:shape>
            </v:group>
            <v:group id="_x0000_s1190" o:spid="_x0000_s1190" o:spt="203" style="position:absolute;left:6611;top:2508;height:1097;width:1205;" coordorigin="6611,2508" coordsize="1205,1097">
              <o:lock v:ext="edit"/>
              <v:shape id="_x0000_s1191" o:spid="_x0000_s1191" style="position:absolute;left:6611;top:2508;height:1097;width:1205;" filled="f" coordorigin="6611,2508" coordsize="1205,1097" path="m6611,2508l6611,2899,6611,3066,6611,3178,6812,3178,6667,3605,7113,3178,7816,3178,7816,3066,7816,2899,7816,2508,7113,2508,6812,2508,6611,2508xe">
                <v:path arrowok="t"/>
                <v:fill on="f" focussize="0,0"/>
                <v:stroke/>
                <v:imagedata o:title=""/>
                <o:lock v:ext="edit"/>
              </v:shape>
            </v:group>
            <v:group id="_x0000_s1192" o:spid="_x0000_s1192" o:spt="203" style="position:absolute;left:5461;top:2089;height:1281;width:1033;" coordorigin="5461,2089" coordsize="1033,1281">
              <o:lock v:ext="edit"/>
              <v:shape id="_x0000_s1193" o:spid="_x0000_s1193" style="position:absolute;left:5461;top:2089;height:1281;width:1033;" stroked="f" coordorigin="5461,2089" coordsize="1033,1281" path="m5908,2759l5657,2759,5461,3370,5908,2759xe">
                <v:path arrowok="t"/>
                <v:fill focussize="0,0"/>
                <v:stroke on="f"/>
                <v:imagedata o:title=""/>
                <o:lock v:ext="edit"/>
              </v:shape>
              <v:shape id="_x0000_s1194" o:spid="_x0000_s1194" style="position:absolute;left:5461;top:2089;height:1281;width:1033;" stroked="f" coordorigin="5461,2089" coordsize="1033,1281" path="m6494,2089l5490,2089,5490,2759,6494,2759,6494,2089xe">
                <v:path arrowok="t"/>
                <v:fill focussize="0,0"/>
                <v:stroke on="f"/>
                <v:imagedata o:title=""/>
                <o:lock v:ext="edit"/>
              </v:shape>
            </v:group>
            <v:group id="_x0000_s1195" o:spid="_x0000_s1195" o:spt="203" style="position:absolute;left:5461;top:2089;height:1281;width:1033;" coordorigin="5461,2089" coordsize="1033,1281">
              <o:lock v:ext="edit"/>
              <v:shape id="_x0000_s1196" o:spid="_x0000_s1196" style="position:absolute;left:5461;top:2089;height:1281;width:1033;" filled="f" coordorigin="5461,2089" coordsize="1033,1281" path="m5490,2089l5490,2480,5490,2647,5490,2759,5657,2759,5461,3370,5908,2759,6494,2759,6494,2647,6494,2480,6494,2089,5908,2089,5657,2089,5490,2089xe">
                <v:path arrowok="t"/>
                <v:fill on="f" focussize="0,0"/>
                <v:stroke/>
                <v:imagedata o:title=""/>
                <o:lock v:ext="edit"/>
              </v:shape>
            </v:group>
            <v:group id="_x0000_s1197" o:spid="_x0000_s1197" o:spt="203" style="position:absolute;left:6822;top:4350;height:670;width:1718;" coordorigin="6822,4350" coordsize="1718,670">
              <o:lock v:ext="edit"/>
              <v:shape id="_x0000_s1198" o:spid="_x0000_s1198" style="position:absolute;left:6822;top:4350;height:670;width:1718;" stroked="f" coordorigin="6822,4350" coordsize="1718,670" path="m8540,4350l7335,4350,7335,4462,6822,4560,7335,4629,7335,5020,8540,5020,8540,4350xe">
                <v:path arrowok="t"/>
                <v:fill focussize="0,0"/>
                <v:stroke on="f"/>
                <v:imagedata o:title=""/>
                <o:lock v:ext="edit"/>
              </v:shape>
            </v:group>
            <v:group id="_x0000_s1199" o:spid="_x0000_s1199" o:spt="203" style="position:absolute;left:6822;top:4350;height:670;width:1718;" coordorigin="6822,4350" coordsize="1718,670">
              <o:lock v:ext="edit"/>
              <v:shape id="_x0000_s1200" o:spid="_x0000_s1200" style="position:absolute;left:6822;top:4350;height:670;width:1718;" filled="f" coordorigin="6822,4350" coordsize="1718,670" path="m7335,4350l7335,4462,6822,4560,7335,4629,7335,5020,7536,5020,7837,5020,8540,5020,8540,4629,8540,4462,8540,4350,7837,4350,7536,4350,7335,4350xe">
                <v:path arrowok="t"/>
                <v:fill on="f" focussize="0,0"/>
                <v:stroke/>
                <v:imagedata o:title=""/>
                <o:lock v:ext="edit"/>
              </v:shape>
            </v:group>
            <v:group id="_x0000_s1201" o:spid="_x0000_s1201" o:spt="203" style="position:absolute;left:4065;top:4936;height:670;width:2087;" coordorigin="4065,4936" coordsize="2087,670">
              <o:lock v:ext="edit"/>
              <v:shape id="_x0000_s1202" o:spid="_x0000_s1202" style="position:absolute;left:4065;top:4936;height:670;width:2087;" stroked="f" coordorigin="4065,4936" coordsize="2087,670" path="m5191,4936l4065,4936,4065,5606,5191,5606,5191,5494,6003,5327,5191,5327,5191,4936xe">
                <v:path arrowok="t"/>
                <v:fill focussize="0,0"/>
                <v:stroke on="f"/>
                <v:imagedata o:title=""/>
                <o:lock v:ext="edit"/>
              </v:shape>
              <v:shape id="_x0000_s1203" o:spid="_x0000_s1203" style="position:absolute;left:4065;top:4936;height:670;width:2087;" stroked="f" coordorigin="4065,4936" coordsize="2087,670" path="m6152,5296l5191,5327,6003,5327,6152,5296xe">
                <v:path arrowok="t"/>
                <v:fill focussize="0,0"/>
                <v:stroke on="f"/>
                <v:imagedata o:title=""/>
                <o:lock v:ext="edit"/>
              </v:shape>
            </v:group>
            <v:group id="_x0000_s1204" o:spid="_x0000_s1204" o:spt="203" style="position:absolute;left:4065;top:4936;height:670;width:2087;" coordorigin="4065,4936" coordsize="2087,670">
              <o:lock v:ext="edit"/>
              <v:shape id="_x0000_s1205" o:spid="_x0000_s1205" style="position:absolute;left:4065;top:4936;height:670;width:2087;" filled="f" coordorigin="4065,4936" coordsize="2087,670" path="m4065,4936l4065,5327,4065,5494,4065,5606,4722,5606,5003,5606,5191,5606,5191,5494,6152,5296,5191,5327,5191,4936,5003,4936,4722,4936,4065,4936xe">
                <v:path arrowok="t"/>
                <v:fill on="f" focussize="0,0"/>
                <v:stroke/>
                <v:imagedata o:title=""/>
                <o:lock v:ext="edit"/>
              </v:shape>
            </v:group>
            <v:group id="_x0000_s1206" o:spid="_x0000_s1206" o:spt="203" style="position:absolute;left:5191;top:5916;height:1096;width:1129;" coordorigin="5191,5916" coordsize="1129,1096">
              <o:lock v:ext="edit"/>
              <v:shape id="_x0000_s1207" o:spid="_x0000_s1207" style="position:absolute;left:5191;top:5916;height:1096;width:1129;" stroked="f" coordorigin="5191,5916" coordsize="1129,1096" path="m6275,6342l5191,6342,5191,7012,6275,7012,6275,6342xe">
                <v:path arrowok="t"/>
                <v:fill focussize="0,0"/>
                <v:stroke on="f"/>
                <v:imagedata o:title=""/>
                <o:lock v:ext="edit"/>
              </v:shape>
              <v:shape id="_x0000_s1208" o:spid="_x0000_s1208" style="position:absolute;left:5191;top:5916;height:1096;width:1129;" stroked="f" coordorigin="5191,5916" coordsize="1129,1096" path="m6320,5916l5823,6342,6094,6342,6320,5916xe">
                <v:path arrowok="t"/>
                <v:fill focussize="0,0"/>
                <v:stroke on="f"/>
                <v:imagedata o:title=""/>
                <o:lock v:ext="edit"/>
              </v:shape>
            </v:group>
            <v:group id="_x0000_s1209" o:spid="_x0000_s1209" o:spt="203" style="position:absolute;left:5191;top:5916;height:1096;width:1129;" coordorigin="5191,5916" coordsize="1129,1096">
              <o:lock v:ext="edit"/>
              <v:shape id="_x0000_s1210" o:spid="_x0000_s1210" style="position:absolute;left:5191;top:5916;height:1096;width:1129;" filled="f" coordorigin="5191,5916" coordsize="1129,1096" path="m5191,6342l5191,6454,5191,6621,5191,7012,5823,7012,6094,7012,6275,7012,6275,6621,6275,6454,6275,6342,6094,6342,6320,5916,5823,6342,5191,6342xe">
                <v:path arrowok="t"/>
                <v:fill on="f" focussize="0,0"/>
                <v:stroke/>
                <v:imagedata o:title=""/>
                <o:lock v:ext="edit"/>
              </v:shape>
            </v:group>
            <v:group id="_x0000_s1211" o:spid="_x0000_s1211" o:spt="203" style="position:absolute;left:7591;top:5221;height:670;width:1950;" coordorigin="7591,5221" coordsize="1950,670">
              <o:lock v:ext="edit"/>
              <v:shape id="_x0000_s1212" o:spid="_x0000_s1212" style="position:absolute;left:7591;top:5221;height:670;width:1950;" stroked="f" coordorigin="7591,5221" coordsize="1950,670" path="m9541,5779l8540,5779,8540,5891,9541,5891,9541,5779xe">
                <v:path arrowok="t"/>
                <v:fill focussize="0,0"/>
                <v:stroke on="f"/>
                <v:imagedata o:title=""/>
                <o:lock v:ext="edit"/>
              </v:shape>
              <v:shape id="_x0000_s1213" o:spid="_x0000_s1213" style="position:absolute;left:7591;top:5221;height:670;width:1950;" stroked="f" coordorigin="7591,5221" coordsize="1950,670" path="m9541,5221l8540,5221,8540,5612,7591,5799,8540,5779,9541,5779,9541,5221xe">
                <v:path arrowok="t"/>
                <v:fill focussize="0,0"/>
                <v:stroke on="f"/>
                <v:imagedata o:title=""/>
                <o:lock v:ext="edit"/>
              </v:shape>
            </v:group>
            <v:group id="_x0000_s1214" o:spid="_x0000_s1214" o:spt="203" style="position:absolute;left:7591;top:5221;height:670;width:1950;" coordorigin="7591,5221" coordsize="1950,670">
              <o:lock v:ext="edit"/>
              <v:shape id="_x0000_s1215" o:spid="_x0000_s1215" style="position:absolute;left:7591;top:5221;height:670;width:1950;" filled="f" coordorigin="7591,5221" coordsize="1950,670" path="m8540,5221l8540,5612,7591,5799,8540,5779,8540,5891,8707,5891,8957,5891,9541,5891,9541,5779,9541,5612,9541,5221,8957,5221,8707,5221,8540,5221xe">
                <v:path arrowok="t"/>
                <v:fill on="f" focussize="0,0"/>
                <v:stroke/>
                <v:imagedata o:title=""/>
                <o:lock v:ext="edit"/>
              </v:shape>
            </v:group>
            <v:group id="_x0000_s1216" o:spid="_x0000_s1216" o:spt="203" style="position:absolute;left:6855;top:6175;height:670;width:1899;" coordorigin="6855,6175" coordsize="1899,670">
              <o:lock v:ext="edit"/>
              <v:shape id="_x0000_s1217" o:spid="_x0000_s1217" style="position:absolute;left:6855;top:6175;height:670;width:1899;" stroked="f" coordorigin="6855,6175" coordsize="1899,670" path="m6855,6254l7636,6454,7636,6845,8754,6845,8754,6287,7636,6287,6855,6254xe">
                <v:path arrowok="t"/>
                <v:fill focussize="0,0"/>
                <v:stroke on="f"/>
                <v:imagedata o:title=""/>
                <o:lock v:ext="edit"/>
              </v:shape>
              <v:shape id="_x0000_s1218" o:spid="_x0000_s1218" style="position:absolute;left:6855;top:6175;height:670;width:1899;" stroked="f" coordorigin="6855,6175" coordsize="1899,670" path="m8754,6175l7636,6175,7636,6287,8754,6287,8754,6175xe">
                <v:path arrowok="t"/>
                <v:fill focussize="0,0"/>
                <v:stroke on="f"/>
                <v:imagedata o:title=""/>
                <o:lock v:ext="edit"/>
              </v:shape>
            </v:group>
            <v:group id="_x0000_s1219" o:spid="_x0000_s1219" o:spt="203" style="position:absolute;left:6855;top:6175;height:670;width:1899;" coordorigin="6855,6175" coordsize="1899,670">
              <o:lock v:ext="edit"/>
              <v:shape id="_x0000_s1220" o:spid="_x0000_s1220" style="position:absolute;left:6855;top:6175;height:670;width:1899;" filled="f" coordorigin="6855,6175" coordsize="1899,670" path="m7636,6175l7636,6287,6855,6254,7636,6454,7636,6845,7822,6845,8102,6845,8754,6845,8754,6454,8754,6287,8754,6175,8102,6175,7822,6175,7636,6175xe">
                <v:path arrowok="t"/>
                <v:fill on="f" focussize="0,0"/>
                <v:stroke/>
                <v:imagedata o:title=""/>
                <o:lock v:ext="edit"/>
              </v:shape>
              <v:shape id="_x0000_s1221" o:spid="_x0000_s1221" o:spt="202" type="#_x0000_t202" style="position:absolute;left:5643;top:2339;height:212;width:634;" filled="f" stroked="f" coordsize="21600,21600">
                <v:path/>
                <v:fill on="f" focussize="0,0"/>
                <v:stroke on="f"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z w:val="21"/>
                          <w:szCs w:val="21"/>
                        </w:rPr>
                        <w:t>陈仓沟</w:t>
                      </w:r>
                    </w:p>
                  </w:txbxContent>
                </v:textbox>
              </v:shape>
              <v:shape id="_x0000_s1222" o:spid="_x0000_s1222" o:spt="202" type="#_x0000_t202" style="position:absolute;left:6764;top:2757;height:212;width:843;" filled="f" stroked="f" coordsize="21600,21600">
                <v:path/>
                <v:fill on="f" focussize="0,0"/>
                <v:stroke on="f"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z w:val="21"/>
                          <w:szCs w:val="21"/>
                        </w:rPr>
                        <w:t>盖家</w:t>
                      </w:r>
                      <w:r>
                        <w:rPr>
                          <w:rFonts w:ascii="宋体" w:hAnsi="宋体"/>
                          <w:spacing w:val="-3"/>
                          <w:sz w:val="21"/>
                          <w:szCs w:val="21"/>
                        </w:rPr>
                        <w:t>川</w:t>
                      </w:r>
                      <w:r>
                        <w:rPr>
                          <w:rFonts w:ascii="宋体" w:hAnsi="宋体"/>
                          <w:sz w:val="21"/>
                          <w:szCs w:val="21"/>
                        </w:rPr>
                        <w:t>河</w:t>
                      </w:r>
                    </w:p>
                  </w:txbxContent>
                </v:textbox>
              </v:shape>
              <v:shape id="_x0000_s1223" o:spid="_x0000_s1223" o:spt="202" type="#_x0000_t202" style="position:absolute;left:7489;top:4601;height:212;width:905;" filled="f" stroked="f" coordsize="21600,21600">
                <v:path/>
                <v:fill on="f" focussize="0,0"/>
                <v:stroke on="f"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pacing w:val="19"/>
                          <w:sz w:val="21"/>
                          <w:szCs w:val="21"/>
                        </w:rPr>
                        <w:t>砚瓦</w:t>
                      </w:r>
                      <w:r>
                        <w:rPr>
                          <w:rFonts w:ascii="宋体" w:hAnsi="宋体"/>
                          <w:spacing w:val="21"/>
                          <w:sz w:val="21"/>
                          <w:szCs w:val="21"/>
                        </w:rPr>
                        <w:t>川</w:t>
                      </w:r>
                      <w:r>
                        <w:rPr>
                          <w:rFonts w:ascii="宋体" w:hAnsi="宋体"/>
                          <w:sz w:val="21"/>
                          <w:szCs w:val="21"/>
                        </w:rPr>
                        <w:t>沟</w:t>
                      </w:r>
                    </w:p>
                  </w:txbxContent>
                </v:textbox>
              </v:shape>
              <v:shape id="_x0000_s1224" o:spid="_x0000_s1224" o:spt="202" type="#_x0000_t202" style="position:absolute;left:4218;top:5186;height:212;width:634;" filled="f" stroked="f" coordsize="21600,21600">
                <v:path/>
                <v:fill on="f" focussize="0,0"/>
                <v:stroke on="f"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z w:val="21"/>
                          <w:szCs w:val="21"/>
                        </w:rPr>
                        <w:t>烂泥沟</w:t>
                      </w:r>
                    </w:p>
                  </w:txbxContent>
                </v:textbox>
              </v:shape>
              <v:shape id="_x0000_s1225" o:spid="_x0000_s1225" o:spt="202" type="#_x0000_t202" style="position:absolute;left:8694;top:5472;height:212;width:634;" filled="f" stroked="f" coordsize="21600,21600">
                <v:path/>
                <v:fill on="f" focussize="0,0"/>
                <v:stroke on="f"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z w:val="21"/>
                          <w:szCs w:val="21"/>
                        </w:rPr>
                        <w:t>古宜沟</w:t>
                      </w:r>
                    </w:p>
                  </w:txbxContent>
                </v:textbox>
              </v:shape>
              <v:shape id="_x0000_s1226" o:spid="_x0000_s1226" o:spt="202" type="#_x0000_t202" style="position:absolute;left:5343;top:6593;height:212;width:634;" filled="f" stroked="f" coordsize="21600,21600">
                <v:path/>
                <v:fill on="f" focussize="0,0"/>
                <v:stroke on="f"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z w:val="21"/>
                          <w:szCs w:val="21"/>
                        </w:rPr>
                        <w:t>老虎沟</w:t>
                      </w:r>
                    </w:p>
                  </w:txbxContent>
                </v:textbox>
              </v:shape>
              <v:shape id="_x0000_s1227" o:spid="_x0000_s1227" o:spt="202" type="#_x0000_t202" style="position:absolute;left:7789;top:6425;height:212;width:634;" filled="f" stroked="f" coordsize="21600,21600">
                <v:path/>
                <v:fill on="f" focussize="0,0"/>
                <v:stroke on="f"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z w:val="21"/>
                          <w:szCs w:val="21"/>
                        </w:rPr>
                        <w:t>马莲河</w:t>
                      </w:r>
                    </w:p>
                  </w:txbxContent>
                </v:textbox>
              </v:shape>
            </v:group>
            <w10:wrap type="none"/>
            <w10:anchorlock/>
          </v:group>
        </w:pict>
      </w:r>
    </w:p>
    <w:p>
      <w:pPr>
        <w:tabs>
          <w:tab w:val="left" w:pos="3213"/>
        </w:tabs>
        <w:autoSpaceDE/>
        <w:autoSpaceDN/>
        <w:ind w:firstLine="198" w:firstLineChars="94"/>
        <w:jc w:val="center"/>
        <w:rPr>
          <w:rFonts w:eastAsiaTheme="minorEastAsia" w:cstheme="minorBidi"/>
          <w:b/>
          <w:kern w:val="2"/>
          <w:sz w:val="21"/>
          <w:lang w:val="en-US" w:bidi="ar-SA"/>
        </w:rPr>
      </w:pPr>
      <w:r>
        <w:rPr>
          <w:rFonts w:hint="eastAsia" w:eastAsiaTheme="minorEastAsia" w:cstheme="minorBidi"/>
          <w:b/>
          <w:kern w:val="2"/>
          <w:sz w:val="21"/>
          <w:lang w:val="en-US" w:bidi="ar-SA"/>
        </w:rPr>
        <w:t>图</w:t>
      </w:r>
      <w:r>
        <w:rPr>
          <w:rFonts w:eastAsia="Times New Roman" w:cstheme="minorBidi"/>
          <w:b/>
          <w:kern w:val="2"/>
          <w:sz w:val="21"/>
          <w:lang w:val="en-US" w:bidi="ar-SA"/>
        </w:rPr>
        <w:t>3.</w:t>
      </w:r>
      <w:r>
        <w:rPr>
          <w:rFonts w:hint="eastAsia" w:eastAsiaTheme="minorEastAsia" w:cstheme="minorBidi"/>
          <w:b/>
          <w:kern w:val="2"/>
          <w:sz w:val="21"/>
          <w:lang w:val="en-US" w:bidi="ar-SA"/>
        </w:rPr>
        <w:t>2</w:t>
      </w:r>
      <w:r>
        <w:rPr>
          <w:rFonts w:eastAsia="Times New Roman" w:cstheme="minorBidi"/>
          <w:b/>
          <w:kern w:val="2"/>
          <w:sz w:val="21"/>
          <w:lang w:val="en-US" w:bidi="ar-SA"/>
        </w:rPr>
        <w:t>-1</w:t>
      </w:r>
      <w:r>
        <w:rPr>
          <w:rFonts w:hint="eastAsia" w:eastAsiaTheme="minorEastAsia" w:cstheme="minorBidi"/>
          <w:b/>
          <w:kern w:val="2"/>
          <w:sz w:val="21"/>
          <w:lang w:val="en-US" w:bidi="ar-SA"/>
        </w:rPr>
        <w:t>论证范围内排污口位置示意图</w:t>
      </w:r>
    </w:p>
    <w:p>
      <w:pPr>
        <w:ind w:firstLine="0" w:firstLineChars="0"/>
        <w:rPr>
          <w:rFonts w:eastAsiaTheme="minorEastAsia" w:cstheme="minorBidi"/>
          <w:kern w:val="2"/>
          <w:lang w:val="en-US" w:bidi="ar-SA"/>
        </w:rPr>
      </w:pPr>
    </w:p>
    <w:p>
      <w:pPr>
        <w:ind w:firstLine="0" w:firstLineChars="0"/>
        <w:rPr>
          <w:rFonts w:eastAsiaTheme="minorEastAsia" w:cstheme="minorBidi"/>
          <w:kern w:val="2"/>
          <w:lang w:val="en-US" w:bidi="ar-SA"/>
        </w:rPr>
        <w:sectPr>
          <w:pgSz w:w="16840" w:h="11910" w:orient="landscape"/>
          <w:pgMar w:top="1338" w:right="1661" w:bottom="1321" w:left="1361" w:header="1086" w:footer="1164" w:gutter="0"/>
          <w:cols w:space="720" w:num="1"/>
        </w:sectPr>
      </w:pPr>
    </w:p>
    <w:p>
      <w:pPr>
        <w:ind w:firstLine="0" w:firstLineChars="0"/>
        <w:rPr>
          <w:rFonts w:eastAsiaTheme="minorEastAsia" w:cstheme="minorBidi"/>
          <w:kern w:val="2"/>
          <w:lang w:val="en-US" w:bidi="ar-SA"/>
        </w:rPr>
      </w:pPr>
    </w:p>
    <w:p>
      <w:pPr>
        <w:pStyle w:val="3"/>
      </w:pPr>
      <w:bookmarkStart w:id="14" w:name="_Toc57964355"/>
      <w:r>
        <w:rPr>
          <w:rFonts w:hint="eastAsia"/>
        </w:rPr>
        <w:t xml:space="preserve">3.3 </w:t>
      </w:r>
      <w:r>
        <w:t>水功能区</w:t>
      </w:r>
      <w:r>
        <w:rPr>
          <w:rFonts w:hint="eastAsia"/>
        </w:rPr>
        <w:t>（水域）水质</w:t>
      </w:r>
      <w:r>
        <w:t>现状</w:t>
      </w:r>
      <w:bookmarkEnd w:id="14"/>
    </w:p>
    <w:p>
      <w:pPr>
        <w:pStyle w:val="4"/>
      </w:pPr>
      <w:r>
        <w:rPr>
          <w:rFonts w:hint="eastAsia"/>
        </w:rPr>
        <w:t>3.3.1水功能区水质</w:t>
      </w:r>
      <w:r>
        <w:t>现状</w:t>
      </w:r>
    </w:p>
    <w:p>
      <w:pPr>
        <w:pStyle w:val="5"/>
      </w:pPr>
      <w:r>
        <w:rPr>
          <w:rFonts w:hint="eastAsia"/>
        </w:rPr>
        <w:t>3</w:t>
      </w:r>
      <w:r>
        <w:t>.</w:t>
      </w:r>
      <w:r>
        <w:rPr>
          <w:rFonts w:hint="eastAsia"/>
        </w:rPr>
        <w:t>3</w:t>
      </w:r>
      <w:r>
        <w:t>.</w:t>
      </w:r>
      <w:r>
        <w:rPr>
          <w:rFonts w:hint="eastAsia"/>
        </w:rPr>
        <w:t>1</w:t>
      </w:r>
      <w:r>
        <w:t>.1</w:t>
      </w:r>
      <w:r>
        <w:rPr>
          <w:rFonts w:hint="eastAsia"/>
        </w:rPr>
        <w:t>水质监测现状</w:t>
      </w:r>
    </w:p>
    <w:p>
      <w:pPr>
        <w:ind w:firstLine="480"/>
        <w:rPr>
          <w:color w:val="000000" w:themeColor="text1"/>
        </w:rPr>
      </w:pPr>
      <w:r>
        <w:rPr>
          <w:color w:val="000000" w:themeColor="text1"/>
        </w:rPr>
        <w:t>在论证水功能区内，</w:t>
      </w:r>
      <w:r>
        <w:rPr>
          <w:rFonts w:hint="eastAsia"/>
          <w:color w:val="000000" w:themeColor="text1"/>
        </w:rPr>
        <w:t>常设的水质断面有两处，分别</w:t>
      </w:r>
      <w:r>
        <w:rPr>
          <w:spacing w:val="-7"/>
        </w:rPr>
        <w:t xml:space="preserve">庆阳 </w:t>
      </w:r>
      <w:r>
        <w:rPr>
          <w:spacing w:val="-5"/>
        </w:rPr>
        <w:t>、雨落坪</w:t>
      </w:r>
      <w:r>
        <w:rPr>
          <w:rFonts w:hint="eastAsia"/>
          <w:spacing w:val="-5"/>
        </w:rPr>
        <w:t>水</w:t>
      </w:r>
      <w:r>
        <w:rPr>
          <w:rFonts w:hint="eastAsia"/>
          <w:color w:val="000000" w:themeColor="text1"/>
        </w:rPr>
        <w:t>质监测断面对应的水功能区见表3.3-1，位置见图3.3-1。何家畔村截污控源工程排污口所在二级水功能区为马莲河环县、庆城、合水、宁县工业、农业用水区，入河排污口污水排入马莲河后流经庆阳、雨落坪断面，最终流入马莲河，水质目标为</w:t>
      </w:r>
      <w:r>
        <w:rPr>
          <w:rFonts w:hint="eastAsia" w:asciiTheme="minorEastAsia" w:hAnsiTheme="minorEastAsia" w:eastAsiaTheme="minorEastAsia"/>
          <w:color w:val="000000" w:themeColor="text1"/>
        </w:rPr>
        <w:t xml:space="preserve">IV </w:t>
      </w:r>
      <w:r>
        <w:rPr>
          <w:rFonts w:hint="eastAsia"/>
          <w:color w:val="000000" w:themeColor="text1"/>
        </w:rPr>
        <w:t>类。</w:t>
      </w:r>
    </w:p>
    <w:p>
      <w:pPr>
        <w:tabs>
          <w:tab w:val="left" w:pos="3213"/>
        </w:tabs>
        <w:autoSpaceDE/>
        <w:autoSpaceDN/>
        <w:ind w:left="299" w:firstLine="422"/>
        <w:jc w:val="center"/>
        <w:rPr>
          <w:rFonts w:eastAsiaTheme="minorEastAsia" w:cstheme="minorBidi"/>
          <w:b/>
          <w:kern w:val="2"/>
          <w:sz w:val="21"/>
          <w:lang w:val="en-US" w:bidi="ar-SA"/>
        </w:rPr>
      </w:pPr>
      <w:r>
        <w:rPr>
          <w:rFonts w:eastAsiaTheme="minorEastAsia" w:cstheme="minorBidi"/>
          <w:b/>
          <w:kern w:val="2"/>
          <w:sz w:val="21"/>
          <w:lang w:val="en-US" w:bidi="ar-SA"/>
        </w:rPr>
        <w:t>表</w:t>
      </w:r>
      <w:r>
        <w:rPr>
          <w:rFonts w:eastAsia="Times New Roman" w:cstheme="minorBidi"/>
          <w:b/>
          <w:kern w:val="2"/>
          <w:sz w:val="21"/>
          <w:lang w:val="en-US" w:bidi="ar-SA"/>
        </w:rPr>
        <w:t>3.</w:t>
      </w:r>
      <w:r>
        <w:rPr>
          <w:rFonts w:hint="eastAsia" w:eastAsiaTheme="minorEastAsia" w:cstheme="minorBidi"/>
          <w:b/>
          <w:kern w:val="2"/>
          <w:sz w:val="21"/>
          <w:lang w:val="en-US" w:bidi="ar-SA"/>
        </w:rPr>
        <w:t>3</w:t>
      </w:r>
      <w:r>
        <w:rPr>
          <w:rFonts w:eastAsia="Times New Roman" w:cstheme="minorBidi"/>
          <w:b/>
          <w:kern w:val="2"/>
          <w:sz w:val="21"/>
          <w:lang w:val="en-US" w:bidi="ar-SA"/>
        </w:rPr>
        <w:t>-</w:t>
      </w:r>
      <w:r>
        <w:rPr>
          <w:rFonts w:hint="eastAsia" w:eastAsiaTheme="minorEastAsia" w:cstheme="minorBidi"/>
          <w:b/>
          <w:kern w:val="2"/>
          <w:sz w:val="21"/>
          <w:lang w:val="en-US" w:bidi="ar-SA"/>
        </w:rPr>
        <w:t>1水质监测断面及对应水功能区</w:t>
      </w:r>
      <w:r>
        <w:rPr>
          <w:rFonts w:eastAsiaTheme="minorEastAsia" w:cstheme="minorBidi"/>
          <w:b/>
          <w:kern w:val="2"/>
          <w:sz w:val="21"/>
          <w:lang w:val="en-US" w:bidi="ar-SA"/>
        </w:rP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2"/>
        <w:gridCol w:w="3260"/>
        <w:gridCol w:w="1870"/>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2402" w:type="dxa"/>
            <w:vAlign w:val="center"/>
          </w:tcPr>
          <w:p>
            <w:pPr>
              <w:tabs>
                <w:tab w:val="left" w:pos="3213"/>
              </w:tabs>
              <w:autoSpaceDE/>
              <w:autoSpaceDN/>
              <w:spacing w:line="240" w:lineRule="auto"/>
              <w:ind w:firstLine="0" w:firstLineChars="0"/>
              <w:jc w:val="center"/>
              <w:rPr>
                <w:rFonts w:ascii="宋体" w:hAnsi="宋体" w:cstheme="minorBidi"/>
                <w:b/>
                <w:kern w:val="2"/>
                <w:sz w:val="21"/>
                <w:lang w:val="en-US" w:bidi="ar-SA"/>
              </w:rPr>
            </w:pPr>
            <w:r>
              <w:rPr>
                <w:rFonts w:hint="eastAsia" w:ascii="宋体" w:hAnsi="宋体" w:cstheme="minorBidi"/>
                <w:b/>
                <w:kern w:val="2"/>
                <w:sz w:val="21"/>
                <w:lang w:val="en-US" w:bidi="ar-SA"/>
              </w:rPr>
              <w:t>一级水功能区</w:t>
            </w:r>
          </w:p>
        </w:tc>
        <w:tc>
          <w:tcPr>
            <w:tcW w:w="3260" w:type="dxa"/>
            <w:vAlign w:val="center"/>
          </w:tcPr>
          <w:p>
            <w:pPr>
              <w:tabs>
                <w:tab w:val="left" w:pos="3213"/>
              </w:tabs>
              <w:autoSpaceDE/>
              <w:autoSpaceDN/>
              <w:spacing w:line="240" w:lineRule="auto"/>
              <w:ind w:firstLine="0" w:firstLineChars="0"/>
              <w:jc w:val="center"/>
              <w:rPr>
                <w:rFonts w:ascii="宋体" w:hAnsi="宋体" w:cstheme="minorBidi"/>
                <w:b/>
                <w:kern w:val="2"/>
                <w:sz w:val="21"/>
                <w:lang w:val="en-US" w:bidi="ar-SA"/>
              </w:rPr>
            </w:pPr>
            <w:r>
              <w:rPr>
                <w:rFonts w:hint="eastAsia" w:ascii="宋体" w:hAnsi="宋体" w:cstheme="minorBidi"/>
                <w:b/>
                <w:kern w:val="2"/>
                <w:sz w:val="21"/>
                <w:lang w:val="en-US" w:bidi="ar-SA"/>
              </w:rPr>
              <w:t>所在二级水</w:t>
            </w:r>
            <w:r>
              <w:rPr>
                <w:rFonts w:ascii="宋体" w:hAnsi="宋体" w:cstheme="minorBidi"/>
                <w:b/>
                <w:kern w:val="2"/>
                <w:sz w:val="21"/>
                <w:lang w:val="en-US" w:bidi="ar-SA"/>
              </w:rPr>
              <w:t>功能区</w:t>
            </w:r>
          </w:p>
        </w:tc>
        <w:tc>
          <w:tcPr>
            <w:tcW w:w="1870" w:type="dxa"/>
            <w:vAlign w:val="center"/>
          </w:tcPr>
          <w:p>
            <w:pPr>
              <w:tabs>
                <w:tab w:val="left" w:pos="3213"/>
              </w:tabs>
              <w:autoSpaceDE/>
              <w:autoSpaceDN/>
              <w:spacing w:line="240" w:lineRule="auto"/>
              <w:ind w:firstLine="0" w:firstLineChars="0"/>
              <w:jc w:val="center"/>
              <w:rPr>
                <w:rFonts w:ascii="宋体" w:hAnsi="宋体" w:cstheme="minorBidi"/>
                <w:b/>
                <w:kern w:val="2"/>
                <w:sz w:val="21"/>
                <w:lang w:val="en-US" w:bidi="ar-SA"/>
              </w:rPr>
            </w:pPr>
            <w:r>
              <w:rPr>
                <w:rFonts w:hint="eastAsia" w:ascii="宋体" w:hAnsi="宋体" w:cstheme="minorBidi"/>
                <w:b/>
                <w:kern w:val="2"/>
                <w:sz w:val="21"/>
                <w:lang w:val="en-US" w:bidi="ar-SA"/>
              </w:rPr>
              <w:t>代表断面</w:t>
            </w:r>
          </w:p>
        </w:tc>
        <w:tc>
          <w:tcPr>
            <w:tcW w:w="1418" w:type="dxa"/>
            <w:vAlign w:val="center"/>
          </w:tcPr>
          <w:p>
            <w:pPr>
              <w:tabs>
                <w:tab w:val="left" w:pos="3213"/>
              </w:tabs>
              <w:autoSpaceDE/>
              <w:autoSpaceDN/>
              <w:spacing w:line="240" w:lineRule="auto"/>
              <w:ind w:firstLine="0" w:firstLineChars="0"/>
              <w:jc w:val="center"/>
              <w:rPr>
                <w:rFonts w:ascii="宋体" w:hAnsi="宋体" w:cstheme="minorBidi"/>
                <w:b/>
                <w:kern w:val="2"/>
                <w:sz w:val="21"/>
                <w:lang w:val="en-US" w:bidi="ar-SA"/>
              </w:rPr>
            </w:pPr>
            <w:r>
              <w:rPr>
                <w:rFonts w:hint="eastAsia" w:ascii="宋体" w:hAnsi="宋体" w:cstheme="minorBidi"/>
                <w:b/>
                <w:kern w:val="2"/>
                <w:sz w:val="21"/>
                <w:lang w:val="en-US" w:bidi="ar-SA"/>
              </w:rPr>
              <w:t>水质目标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402" w:type="dxa"/>
            <w:vMerge w:val="restart"/>
            <w:vAlign w:val="center"/>
          </w:tcPr>
          <w:p>
            <w:pPr>
              <w:spacing w:line="276" w:lineRule="auto"/>
              <w:ind w:firstLine="0" w:firstLineChars="0"/>
              <w:jc w:val="center"/>
              <w:rPr>
                <w:sz w:val="21"/>
                <w:szCs w:val="21"/>
              </w:rPr>
            </w:pPr>
            <w:r>
              <w:rPr>
                <w:sz w:val="21"/>
                <w:szCs w:val="21"/>
              </w:rPr>
              <w:t>马莲河环县、庆城、合水、宁县开发利用区</w:t>
            </w:r>
          </w:p>
        </w:tc>
        <w:tc>
          <w:tcPr>
            <w:tcW w:w="3260" w:type="dxa"/>
            <w:vMerge w:val="restart"/>
            <w:vAlign w:val="center"/>
          </w:tcPr>
          <w:p>
            <w:pPr>
              <w:spacing w:line="276" w:lineRule="auto"/>
              <w:ind w:firstLine="0" w:firstLineChars="0"/>
              <w:jc w:val="center"/>
              <w:rPr>
                <w:sz w:val="21"/>
                <w:szCs w:val="21"/>
              </w:rPr>
            </w:pPr>
            <w:r>
              <w:rPr>
                <w:sz w:val="21"/>
                <w:szCs w:val="21"/>
              </w:rPr>
              <w:t>马莲河环县、庆城、合 水、宁县工业、农业用 水区</w:t>
            </w:r>
          </w:p>
        </w:tc>
        <w:tc>
          <w:tcPr>
            <w:tcW w:w="1870" w:type="dxa"/>
            <w:vAlign w:val="center"/>
          </w:tcPr>
          <w:p>
            <w:pPr>
              <w:tabs>
                <w:tab w:val="left" w:pos="3213"/>
              </w:tabs>
              <w:autoSpaceDE/>
              <w:autoSpaceDN/>
              <w:spacing w:line="276" w:lineRule="auto"/>
              <w:ind w:firstLine="0" w:firstLineChars="0"/>
              <w:jc w:val="center"/>
              <w:rPr>
                <w:rFonts w:cs="Times New Roman"/>
                <w:sz w:val="21"/>
                <w:szCs w:val="21"/>
              </w:rPr>
            </w:pPr>
            <w:r>
              <w:rPr>
                <w:rFonts w:hint="eastAsia"/>
                <w:color w:val="000000" w:themeColor="text1"/>
                <w:sz w:val="21"/>
                <w:szCs w:val="21"/>
              </w:rPr>
              <w:t>庆阳</w:t>
            </w:r>
          </w:p>
        </w:tc>
        <w:tc>
          <w:tcPr>
            <w:tcW w:w="1418" w:type="dxa"/>
            <w:vAlign w:val="center"/>
          </w:tcPr>
          <w:p>
            <w:pPr>
              <w:tabs>
                <w:tab w:val="left" w:pos="3213"/>
              </w:tabs>
              <w:autoSpaceDE/>
              <w:autoSpaceDN/>
              <w:spacing w:line="276" w:lineRule="auto"/>
              <w:ind w:firstLine="0" w:firstLineChars="0"/>
              <w:jc w:val="center"/>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02" w:type="dxa"/>
            <w:vMerge w:val="continue"/>
          </w:tcPr>
          <w:p>
            <w:pPr>
              <w:spacing w:line="276" w:lineRule="auto"/>
              <w:ind w:firstLine="0" w:firstLineChars="0"/>
              <w:rPr>
                <w:sz w:val="21"/>
                <w:szCs w:val="21"/>
              </w:rPr>
            </w:pPr>
          </w:p>
        </w:tc>
        <w:tc>
          <w:tcPr>
            <w:tcW w:w="3260" w:type="dxa"/>
            <w:vMerge w:val="continue"/>
          </w:tcPr>
          <w:p>
            <w:pPr>
              <w:spacing w:line="276" w:lineRule="auto"/>
              <w:ind w:firstLine="0" w:firstLineChars="0"/>
              <w:rPr>
                <w:sz w:val="21"/>
                <w:szCs w:val="21"/>
              </w:rPr>
            </w:pPr>
          </w:p>
        </w:tc>
        <w:tc>
          <w:tcPr>
            <w:tcW w:w="1870" w:type="dxa"/>
            <w:vAlign w:val="center"/>
          </w:tcPr>
          <w:p>
            <w:pPr>
              <w:tabs>
                <w:tab w:val="left" w:pos="3213"/>
              </w:tabs>
              <w:autoSpaceDE/>
              <w:autoSpaceDN/>
              <w:spacing w:line="276" w:lineRule="auto"/>
              <w:ind w:firstLine="0" w:firstLineChars="0"/>
              <w:jc w:val="center"/>
              <w:rPr>
                <w:color w:val="000000" w:themeColor="text1"/>
                <w:sz w:val="21"/>
                <w:szCs w:val="21"/>
              </w:rPr>
            </w:pPr>
            <w:r>
              <w:rPr>
                <w:rFonts w:hint="eastAsia"/>
                <w:color w:val="000000" w:themeColor="text1"/>
                <w:sz w:val="21"/>
                <w:szCs w:val="21"/>
              </w:rPr>
              <w:t>雨落坪</w:t>
            </w:r>
          </w:p>
        </w:tc>
        <w:tc>
          <w:tcPr>
            <w:tcW w:w="1418" w:type="dxa"/>
            <w:vAlign w:val="center"/>
          </w:tcPr>
          <w:p>
            <w:pPr>
              <w:tabs>
                <w:tab w:val="left" w:pos="3213"/>
              </w:tabs>
              <w:autoSpaceDE/>
              <w:autoSpaceDN/>
              <w:spacing w:line="276" w:lineRule="auto"/>
              <w:ind w:firstLine="0" w:firstLineChars="0"/>
              <w:jc w:val="center"/>
              <w:rPr>
                <w:rFonts w:asciiTheme="minorEastAsia" w:hAnsiTheme="minorEastAsia" w:eastAsiaTheme="minorEastAsia"/>
                <w:color w:val="000000" w:themeColor="text1"/>
                <w:sz w:val="21"/>
                <w:szCs w:val="21"/>
              </w:rPr>
            </w:pPr>
            <w:r>
              <w:rPr>
                <w:rFonts w:hint="eastAsia" w:asciiTheme="minorEastAsia" w:hAnsiTheme="minorEastAsia" w:eastAsiaTheme="minorEastAsia"/>
                <w:color w:val="000000" w:themeColor="text1"/>
                <w:sz w:val="21"/>
                <w:szCs w:val="21"/>
              </w:rPr>
              <w:t>IV</w:t>
            </w:r>
          </w:p>
        </w:tc>
      </w:tr>
    </w:tbl>
    <w:p>
      <w:pPr>
        <w:ind w:firstLine="480"/>
        <w:rPr>
          <w:color w:val="000000" w:themeColor="text1"/>
        </w:rPr>
        <w:sectPr>
          <w:headerReference r:id="rId15" w:type="first"/>
          <w:footerReference r:id="rId18" w:type="first"/>
          <w:headerReference r:id="rId13" w:type="default"/>
          <w:footerReference r:id="rId16" w:type="default"/>
          <w:headerReference r:id="rId14" w:type="even"/>
          <w:footerReference r:id="rId17" w:type="even"/>
          <w:pgSz w:w="11910" w:h="16840"/>
          <w:pgMar w:top="1660" w:right="1320" w:bottom="1360" w:left="1340" w:header="1086" w:footer="1164" w:gutter="0"/>
          <w:cols w:space="720" w:num="1"/>
        </w:sectPr>
      </w:pPr>
      <w:r>
        <w:rPr>
          <w:rFonts w:hint="eastAsia"/>
          <w:color w:val="000000" w:themeColor="text1"/>
        </w:rPr>
        <w:t>马莲河</w:t>
      </w:r>
      <w:r>
        <w:rPr>
          <w:color w:val="000000" w:themeColor="text1"/>
        </w:rPr>
        <w:t xml:space="preserve">2016~2018 </w:t>
      </w:r>
      <w:r>
        <w:rPr>
          <w:rFonts w:hint="eastAsia"/>
          <w:color w:val="000000" w:themeColor="text1"/>
        </w:rPr>
        <w:t>年水功能区曲子、庆阳 、雨落坪断面逐月流量、化学需氧量、五日生化需氧量、氨氮、总磷统计详见表</w:t>
      </w:r>
      <w:r>
        <w:rPr>
          <w:color w:val="000000" w:themeColor="text1"/>
        </w:rPr>
        <w:t>3</w:t>
      </w:r>
      <w:r>
        <w:rPr>
          <w:rFonts w:hint="eastAsia"/>
          <w:color w:val="000000" w:themeColor="text1"/>
        </w:rPr>
        <w:t>.3-2至表</w:t>
      </w:r>
      <w:r>
        <w:rPr>
          <w:color w:val="000000" w:themeColor="text1"/>
        </w:rPr>
        <w:t>3</w:t>
      </w:r>
      <w:r>
        <w:rPr>
          <w:rFonts w:hint="eastAsia"/>
          <w:color w:val="000000" w:themeColor="text1"/>
        </w:rPr>
        <w:t>.3-4。</w:t>
      </w:r>
    </w:p>
    <w:p>
      <w:pPr>
        <w:widowControl/>
        <w:autoSpaceDE/>
        <w:autoSpaceDN/>
        <w:spacing w:line="240" w:lineRule="auto"/>
        <w:ind w:firstLine="0" w:firstLineChars="0"/>
        <w:rPr>
          <w:color w:val="000000" w:themeColor="text1"/>
        </w:rPr>
      </w:pPr>
    </w:p>
    <w:p>
      <w:pPr>
        <w:widowControl/>
        <w:autoSpaceDE/>
        <w:autoSpaceDN/>
        <w:spacing w:line="240" w:lineRule="auto"/>
        <w:ind w:firstLine="0" w:firstLineChars="0"/>
        <w:jc w:val="center"/>
        <w:rPr>
          <w:color w:val="000000" w:themeColor="text1"/>
        </w:rPr>
      </w:pPr>
      <w:r>
        <w:rPr>
          <w:lang w:val="en-US" w:bidi="ar-SA"/>
        </w:rPr>
        <w:pict>
          <v:shape id="_x0000_s1092" o:spid="_x0000_s1092" o:spt="61" type="#_x0000_t61" style="position:absolute;left:0pt;margin-left:314.45pt;margin-top:221.65pt;height:21pt;width:110.25pt;z-index:251672576;mso-width-relative:page;mso-height-relative:page;" coordsize="21600,21600" adj="24754,30857">
            <v:path/>
            <v:fill focussize="0,0"/>
            <v:stroke joinstyle="miter"/>
            <v:imagedata o:title=""/>
            <o:lock v:ext="edit"/>
            <v:textbox>
              <w:txbxContent>
                <w:p>
                  <w:pPr>
                    <w:spacing w:line="240" w:lineRule="auto"/>
                    <w:ind w:firstLine="0" w:firstLineChars="0"/>
                    <w:rPr>
                      <w:rFonts w:ascii="华文仿宋" w:hAnsi="华文仿宋" w:eastAsia="华文仿宋"/>
                      <w:b/>
                      <w:sz w:val="21"/>
                      <w:szCs w:val="21"/>
                    </w:rPr>
                  </w:pPr>
                  <w:r>
                    <w:rPr>
                      <w:rFonts w:hint="eastAsia" w:ascii="华文仿宋" w:hAnsi="华文仿宋" w:eastAsia="华文仿宋"/>
                      <w:b/>
                      <w:sz w:val="21"/>
                      <w:szCs w:val="21"/>
                    </w:rPr>
                    <w:t>何家畔村入河排污口</w:t>
                  </w:r>
                </w:p>
              </w:txbxContent>
            </v:textbox>
          </v:shape>
        </w:pict>
      </w:r>
      <w:r>
        <w:rPr>
          <w:lang w:val="en-US" w:bidi="ar-SA"/>
        </w:rPr>
        <w:pict>
          <v:shape id="_x0000_s1091" o:spid="_x0000_s1091" o:spt="61" type="#_x0000_t61" style="position:absolute;left:0pt;margin-left:487.7pt;margin-top:273.4pt;height:24.75pt;width:72pt;z-index:251671552;mso-width-relative:page;mso-height-relative:page;" coordsize="21600,21600" adj="-8550,42415">
            <v:path/>
            <v:fill focussize="0,0"/>
            <v:stroke joinstyle="miter"/>
            <v:imagedata o:title=""/>
            <o:lock v:ext="edit"/>
            <v:textbox>
              <w:txbxContent>
                <w:p>
                  <w:pPr>
                    <w:spacing w:line="240" w:lineRule="auto"/>
                    <w:ind w:firstLine="0" w:firstLineChars="0"/>
                    <w:jc w:val="distribute"/>
                    <w:rPr>
                      <w:rFonts w:ascii="华文仿宋" w:hAnsi="华文仿宋" w:eastAsia="华文仿宋"/>
                      <w:b/>
                    </w:rPr>
                  </w:pPr>
                  <w:r>
                    <w:rPr>
                      <w:rFonts w:hint="eastAsia" w:ascii="华文仿宋" w:hAnsi="华文仿宋" w:eastAsia="华文仿宋"/>
                      <w:b/>
                      <w:sz w:val="21"/>
                      <w:szCs w:val="21"/>
                    </w:rPr>
                    <w:t>雨落坪断面</w:t>
                  </w:r>
                </w:p>
              </w:txbxContent>
            </v:textbox>
          </v:shape>
        </w:pict>
      </w:r>
      <w:r>
        <w:rPr>
          <w:lang w:val="en-US" w:bidi="ar-SA"/>
        </w:rPr>
        <w:pict>
          <v:shape id="_x0000_s1093" o:spid="_x0000_s1093" o:spt="61" type="#_x0000_t61" style="position:absolute;left:0pt;margin-left:458.45pt;margin-top:160.15pt;height:21.75pt;width:59.25pt;z-index:251673600;mso-width-relative:page;mso-height-relative:page;" coordsize="21600,21600" adj="1641,57203">
            <v:path/>
            <v:fill focussize="0,0"/>
            <v:stroke joinstyle="miter"/>
            <v:imagedata o:title=""/>
            <o:lock v:ext="edit"/>
            <v:textbox>
              <w:txbxContent>
                <w:p>
                  <w:pPr>
                    <w:spacing w:line="240" w:lineRule="auto"/>
                    <w:ind w:firstLine="0" w:firstLineChars="0"/>
                    <w:jc w:val="distribute"/>
                    <w:rPr>
                      <w:rFonts w:ascii="华文仿宋" w:hAnsi="华文仿宋" w:eastAsia="华文仿宋"/>
                      <w:b/>
                      <w:sz w:val="21"/>
                      <w:szCs w:val="21"/>
                    </w:rPr>
                  </w:pPr>
                  <w:r>
                    <w:rPr>
                      <w:rFonts w:hint="eastAsia" w:ascii="华文仿宋" w:hAnsi="华文仿宋" w:eastAsia="华文仿宋"/>
                      <w:b/>
                      <w:sz w:val="21"/>
                      <w:szCs w:val="21"/>
                    </w:rPr>
                    <w:t>庆阳断面</w:t>
                  </w:r>
                </w:p>
                <w:p>
                  <w:pPr>
                    <w:ind w:firstLine="480"/>
                  </w:pPr>
                </w:p>
              </w:txbxContent>
            </v:textbox>
          </v:shape>
        </w:pict>
      </w:r>
      <w:r>
        <w:rPr>
          <w:lang w:val="en-US" w:bidi="ar-SA"/>
        </w:rPr>
        <w:drawing>
          <wp:inline distT="0" distB="0" distL="0" distR="0">
            <wp:extent cx="8143875" cy="51409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4"/>
                    <a:stretch>
                      <a:fillRect/>
                    </a:stretch>
                  </pic:blipFill>
                  <pic:spPr>
                    <a:xfrm>
                      <a:off x="0" y="0"/>
                      <a:ext cx="8147528" cy="5143500"/>
                    </a:xfrm>
                    <a:prstGeom prst="rect">
                      <a:avLst/>
                    </a:prstGeom>
                  </pic:spPr>
                </pic:pic>
              </a:graphicData>
            </a:graphic>
          </wp:inline>
        </w:drawing>
      </w:r>
    </w:p>
    <w:p>
      <w:pPr>
        <w:tabs>
          <w:tab w:val="left" w:pos="3213"/>
        </w:tabs>
        <w:autoSpaceDE/>
        <w:autoSpaceDN/>
        <w:ind w:left="299" w:firstLine="422"/>
        <w:jc w:val="center"/>
        <w:rPr>
          <w:rFonts w:eastAsiaTheme="minorEastAsia" w:cstheme="minorBidi"/>
          <w:b/>
          <w:kern w:val="2"/>
          <w:sz w:val="21"/>
          <w:lang w:val="en-US" w:bidi="ar-SA"/>
        </w:rPr>
      </w:pPr>
      <w:r>
        <w:rPr>
          <w:rFonts w:hint="eastAsia" w:eastAsiaTheme="minorEastAsia" w:cstheme="minorBidi"/>
          <w:b/>
          <w:kern w:val="2"/>
          <w:sz w:val="21"/>
          <w:lang w:val="en-US" w:bidi="ar-SA"/>
        </w:rPr>
        <w:t>图</w:t>
      </w:r>
      <w:r>
        <w:rPr>
          <w:rFonts w:eastAsia="Times New Roman" w:cstheme="minorBidi"/>
          <w:b/>
          <w:kern w:val="2"/>
          <w:sz w:val="21"/>
          <w:lang w:val="en-US" w:bidi="ar-SA"/>
        </w:rPr>
        <w:t>3.</w:t>
      </w:r>
      <w:r>
        <w:rPr>
          <w:rFonts w:hint="eastAsia" w:eastAsiaTheme="minorEastAsia" w:cstheme="minorBidi"/>
          <w:b/>
          <w:kern w:val="2"/>
          <w:sz w:val="21"/>
          <w:lang w:val="en-US" w:bidi="ar-SA"/>
        </w:rPr>
        <w:t>3</w:t>
      </w:r>
      <w:r>
        <w:rPr>
          <w:rFonts w:eastAsia="Times New Roman" w:cstheme="minorBidi"/>
          <w:b/>
          <w:kern w:val="2"/>
          <w:sz w:val="21"/>
          <w:lang w:val="en-US" w:bidi="ar-SA"/>
        </w:rPr>
        <w:t>-</w:t>
      </w:r>
      <w:r>
        <w:rPr>
          <w:rFonts w:hint="eastAsia" w:eastAsiaTheme="minorEastAsia" w:cstheme="minorBidi"/>
          <w:b/>
          <w:kern w:val="2"/>
          <w:sz w:val="21"/>
          <w:lang w:val="en-US" w:bidi="ar-SA"/>
        </w:rPr>
        <w:t>1甘肃省水环境监测中心设置的常规水质监测断面位置示意图</w:t>
      </w:r>
    </w:p>
    <w:tbl>
      <w:tblPr>
        <w:tblStyle w:val="17"/>
        <w:tblpPr w:leftFromText="180" w:rightFromText="180" w:vertAnchor="text" w:horzAnchor="page" w:tblpX="1246" w:tblpY="173"/>
        <w:tblOverlap w:val="never"/>
        <w:tblW w:w="0" w:type="auto"/>
        <w:tblInd w:w="0" w:type="dxa"/>
        <w:tblLayout w:type="autofit"/>
        <w:tblCellMar>
          <w:top w:w="0" w:type="dxa"/>
          <w:left w:w="108" w:type="dxa"/>
          <w:bottom w:w="0" w:type="dxa"/>
          <w:right w:w="108" w:type="dxa"/>
        </w:tblCellMar>
      </w:tblPr>
      <w:tblGrid>
        <w:gridCol w:w="947"/>
        <w:gridCol w:w="1672"/>
        <w:gridCol w:w="667"/>
        <w:gridCol w:w="689"/>
        <w:gridCol w:w="689"/>
        <w:gridCol w:w="689"/>
        <w:gridCol w:w="689"/>
        <w:gridCol w:w="697"/>
        <w:gridCol w:w="689"/>
        <w:gridCol w:w="697"/>
        <w:gridCol w:w="689"/>
        <w:gridCol w:w="689"/>
        <w:gridCol w:w="735"/>
        <w:gridCol w:w="735"/>
        <w:gridCol w:w="735"/>
        <w:gridCol w:w="1788"/>
      </w:tblGrid>
      <w:tr>
        <w:tblPrEx>
          <w:tblCellMar>
            <w:top w:w="0" w:type="dxa"/>
            <w:left w:w="108" w:type="dxa"/>
            <w:bottom w:w="0" w:type="dxa"/>
            <w:right w:w="108" w:type="dxa"/>
          </w:tblCellMar>
        </w:tblPrEx>
        <w:trPr>
          <w:trHeight w:val="403" w:hRule="atLeast"/>
        </w:trPr>
        <w:tc>
          <w:tcPr>
            <w:tcW w:w="0" w:type="auto"/>
            <w:gridSpan w:val="16"/>
            <w:tcBorders>
              <w:top w:val="nil"/>
              <w:left w:val="nil"/>
              <w:bottom w:val="single" w:color="auto" w:sz="4" w:space="0"/>
              <w:right w:val="nil"/>
            </w:tcBorders>
            <w:vAlign w:val="center"/>
          </w:tcPr>
          <w:p>
            <w:pPr>
              <w:pStyle w:val="32"/>
              <w:autoSpaceDE/>
              <w:autoSpaceDN/>
              <w:spacing w:line="240" w:lineRule="auto"/>
              <w:ind w:firstLine="0" w:firstLineChars="0"/>
              <w:rPr>
                <w:rFonts w:cs="Times New Roman"/>
                <w:sz w:val="21"/>
                <w:szCs w:val="21"/>
                <w:lang w:eastAsia="zh-CN"/>
              </w:rPr>
            </w:pPr>
            <w:r>
              <w:rPr>
                <w:rFonts w:cs="Times New Roman"/>
                <w:b/>
                <w:sz w:val="21"/>
                <w:szCs w:val="21"/>
                <w:lang w:eastAsia="zh-CN"/>
              </w:rPr>
              <w:t>表</w:t>
            </w:r>
            <w:r>
              <w:rPr>
                <w:rFonts w:cs="Times New Roman"/>
                <w:b/>
                <w:spacing w:val="-51"/>
                <w:sz w:val="21"/>
                <w:szCs w:val="21"/>
                <w:lang w:eastAsia="zh-CN"/>
              </w:rPr>
              <w:t xml:space="preserve"> </w:t>
            </w:r>
            <w:r>
              <w:rPr>
                <w:rFonts w:cs="Times New Roman"/>
                <w:b/>
                <w:spacing w:val="-1"/>
                <w:sz w:val="21"/>
                <w:szCs w:val="21"/>
                <w:lang w:eastAsia="zh-CN"/>
              </w:rPr>
              <w:t>3</w:t>
            </w:r>
            <w:r>
              <w:rPr>
                <w:rFonts w:hint="eastAsia" w:cs="Times New Roman"/>
                <w:b/>
                <w:spacing w:val="-1"/>
                <w:sz w:val="21"/>
                <w:szCs w:val="21"/>
                <w:lang w:eastAsia="zh-CN"/>
              </w:rPr>
              <w:t>.3-2</w:t>
            </w:r>
            <w:r>
              <w:rPr>
                <w:rFonts w:cs="Times New Roman"/>
                <w:b/>
                <w:spacing w:val="-1"/>
                <w:sz w:val="21"/>
                <w:szCs w:val="21"/>
                <w:lang w:eastAsia="zh-CN"/>
              </w:rPr>
              <w:t xml:space="preserve">     马莲河曲子断面水质监测数据</w:t>
            </w:r>
          </w:p>
        </w:tc>
      </w:tr>
      <w:tr>
        <w:tblPrEx>
          <w:tblCellMar>
            <w:top w:w="0" w:type="dxa"/>
            <w:left w:w="108" w:type="dxa"/>
            <w:bottom w:w="0" w:type="dxa"/>
            <w:right w:w="108" w:type="dxa"/>
          </w:tblCellMar>
        </w:tblPrEx>
        <w:trPr>
          <w:trHeight w:val="405" w:hRule="atLeast"/>
        </w:trPr>
        <w:tc>
          <w:tcPr>
            <w:tcW w:w="0" w:type="auto"/>
            <w:tcBorders>
              <w:top w:val="single" w:color="auto" w:sz="4" w:space="0"/>
              <w:left w:val="single" w:color="000000" w:sz="8"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时间</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监测项目</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单位</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position w:val="1"/>
                <w:sz w:val="21"/>
                <w:szCs w:val="21"/>
              </w:rPr>
              <w:t xml:space="preserve">1 </w:t>
            </w:r>
            <w:r>
              <w:rPr>
                <w:rFonts w:cs="Times New Roman"/>
                <w:sz w:val="21"/>
                <w:szCs w:val="21"/>
              </w:rPr>
              <w:t>月</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position w:val="1"/>
                <w:sz w:val="21"/>
                <w:szCs w:val="21"/>
              </w:rPr>
              <w:t xml:space="preserve">2 </w:t>
            </w:r>
            <w:r>
              <w:rPr>
                <w:rFonts w:cs="Times New Roman"/>
                <w:sz w:val="21"/>
                <w:szCs w:val="21"/>
              </w:rPr>
              <w:t>月</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position w:val="1"/>
                <w:sz w:val="21"/>
                <w:szCs w:val="21"/>
              </w:rPr>
              <w:t xml:space="preserve">3 </w:t>
            </w:r>
            <w:r>
              <w:rPr>
                <w:rFonts w:cs="Times New Roman"/>
                <w:sz w:val="21"/>
                <w:szCs w:val="21"/>
              </w:rPr>
              <w:t>月</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position w:val="1"/>
                <w:sz w:val="21"/>
                <w:szCs w:val="21"/>
              </w:rPr>
              <w:t xml:space="preserve">4 </w:t>
            </w:r>
            <w:r>
              <w:rPr>
                <w:rFonts w:cs="Times New Roman"/>
                <w:sz w:val="21"/>
                <w:szCs w:val="21"/>
              </w:rPr>
              <w:t>月</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position w:val="1"/>
                <w:sz w:val="21"/>
                <w:szCs w:val="21"/>
              </w:rPr>
              <w:t xml:space="preserve">5 </w:t>
            </w:r>
            <w:r>
              <w:rPr>
                <w:rFonts w:cs="Times New Roman"/>
                <w:sz w:val="21"/>
                <w:szCs w:val="21"/>
              </w:rPr>
              <w:t>月</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position w:val="1"/>
                <w:sz w:val="21"/>
                <w:szCs w:val="21"/>
              </w:rPr>
              <w:t xml:space="preserve">6 </w:t>
            </w:r>
            <w:r>
              <w:rPr>
                <w:rFonts w:cs="Times New Roman"/>
                <w:sz w:val="21"/>
                <w:szCs w:val="21"/>
              </w:rPr>
              <w:t>月</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position w:val="1"/>
                <w:sz w:val="21"/>
                <w:szCs w:val="21"/>
              </w:rPr>
              <w:t xml:space="preserve">7 </w:t>
            </w:r>
            <w:r>
              <w:rPr>
                <w:rFonts w:cs="Times New Roman"/>
                <w:sz w:val="21"/>
                <w:szCs w:val="21"/>
              </w:rPr>
              <w:t>月</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position w:val="1"/>
                <w:sz w:val="21"/>
                <w:szCs w:val="21"/>
              </w:rPr>
              <w:t xml:space="preserve">8 </w:t>
            </w:r>
            <w:r>
              <w:rPr>
                <w:rFonts w:cs="Times New Roman"/>
                <w:sz w:val="21"/>
                <w:szCs w:val="21"/>
              </w:rPr>
              <w:t>月</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lang w:eastAsia="zh-CN"/>
              </w:rPr>
            </w:pPr>
            <w:r>
              <w:rPr>
                <w:rFonts w:cs="Times New Roman"/>
                <w:position w:val="1"/>
                <w:sz w:val="21"/>
                <w:szCs w:val="21"/>
              </w:rPr>
              <w:t>9</w:t>
            </w:r>
            <w:r>
              <w:rPr>
                <w:rFonts w:hint="eastAsia" w:cs="Times New Roman"/>
                <w:position w:val="1"/>
                <w:sz w:val="21"/>
                <w:szCs w:val="21"/>
                <w:lang w:eastAsia="zh-CN"/>
              </w:rPr>
              <w:t>月</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position w:val="1"/>
                <w:sz w:val="21"/>
                <w:szCs w:val="21"/>
              </w:rPr>
              <w:t xml:space="preserve">10 </w:t>
            </w:r>
            <w:r>
              <w:rPr>
                <w:rFonts w:cs="Times New Roman"/>
                <w:spacing w:val="-3"/>
                <w:sz w:val="21"/>
                <w:szCs w:val="21"/>
              </w:rPr>
              <w:t>月</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position w:val="1"/>
                <w:sz w:val="21"/>
                <w:szCs w:val="21"/>
              </w:rPr>
              <w:t xml:space="preserve">11 </w:t>
            </w:r>
            <w:r>
              <w:rPr>
                <w:rFonts w:cs="Times New Roman"/>
                <w:spacing w:val="-3"/>
                <w:sz w:val="21"/>
                <w:szCs w:val="21"/>
              </w:rPr>
              <w:t>月</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position w:val="1"/>
                <w:sz w:val="21"/>
                <w:szCs w:val="21"/>
              </w:rPr>
              <w:t xml:space="preserve">12 </w:t>
            </w:r>
            <w:r>
              <w:rPr>
                <w:rFonts w:cs="Times New Roman"/>
                <w:spacing w:val="-3"/>
                <w:sz w:val="21"/>
                <w:szCs w:val="21"/>
              </w:rPr>
              <w:t>月</w:t>
            </w:r>
          </w:p>
        </w:tc>
        <w:tc>
          <w:tcPr>
            <w:tcW w:w="0" w:type="auto"/>
            <w:tcBorders>
              <w:top w:val="single" w:color="auto"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position w:val="1"/>
                <w:sz w:val="21"/>
                <w:szCs w:val="21"/>
              </w:rPr>
              <w:t>Ⅳ</w:t>
            </w:r>
            <w:r>
              <w:rPr>
                <w:rFonts w:cs="Times New Roman"/>
                <w:spacing w:val="-1"/>
                <w:sz w:val="21"/>
                <w:szCs w:val="21"/>
              </w:rPr>
              <w:t>类地表水限值</w:t>
            </w:r>
            <w:r>
              <w:rPr>
                <w:rFonts w:cs="Times New Roman"/>
                <w:spacing w:val="-1"/>
                <w:position w:val="1"/>
                <w:sz w:val="21"/>
                <w:szCs w:val="21"/>
              </w:rPr>
              <w:t>≤</w:t>
            </w:r>
          </w:p>
        </w:tc>
      </w:tr>
      <w:tr>
        <w:tblPrEx>
          <w:tblCellMar>
            <w:top w:w="0" w:type="dxa"/>
            <w:left w:w="108" w:type="dxa"/>
            <w:bottom w:w="0" w:type="dxa"/>
            <w:right w:w="108" w:type="dxa"/>
          </w:tblCellMar>
        </w:tblPrEx>
        <w:trPr>
          <w:trHeight w:val="405" w:hRule="atLeast"/>
        </w:trPr>
        <w:tc>
          <w:tcPr>
            <w:tcW w:w="0" w:type="auto"/>
            <w:vMerge w:val="restart"/>
            <w:tcBorders>
              <w:top w:val="single" w:color="000000" w:sz="4" w:space="0"/>
              <w:left w:val="single" w:color="000000" w:sz="8"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position w:val="1"/>
                <w:sz w:val="21"/>
                <w:szCs w:val="21"/>
              </w:rPr>
              <w:t>2016</w:t>
            </w:r>
            <w:r>
              <w:rPr>
                <w:rFonts w:cs="Times New Roman"/>
                <w:spacing w:val="-2"/>
                <w:position w:val="1"/>
                <w:sz w:val="21"/>
                <w:szCs w:val="21"/>
              </w:rPr>
              <w:t xml:space="preserve"> </w:t>
            </w:r>
            <w:r>
              <w:rPr>
                <w:rFonts w:cs="Times New Roman"/>
                <w:sz w:val="21"/>
                <w:szCs w:val="21"/>
              </w:rPr>
              <w:t>年</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流量</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2"/>
                <w:sz w:val="21"/>
                <w:szCs w:val="21"/>
                <w:lang w:eastAsia="zh-CN"/>
              </w:rPr>
              <w:t>m</w:t>
            </w:r>
            <w:r>
              <w:rPr>
                <w:rFonts w:cs="Times New Roman"/>
                <w:spacing w:val="-2"/>
                <w:sz w:val="21"/>
                <w:szCs w:val="21"/>
                <w:vertAlign w:val="superscript"/>
                <w:lang w:eastAsia="zh-CN"/>
              </w:rPr>
              <w:t>3</w:t>
            </w:r>
            <w:r>
              <w:rPr>
                <w:rFonts w:cs="Times New Roman"/>
                <w:spacing w:val="-2"/>
                <w:sz w:val="21"/>
                <w:szCs w:val="21"/>
              </w:rPr>
              <w:t>/s</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1.50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autoSpaceDE/>
              <w:autoSpaceDN/>
              <w:spacing w:line="240" w:lineRule="auto"/>
              <w:ind w:firstLine="0" w:firstLineChars="0"/>
              <w:jc w:val="center"/>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autoSpaceDE/>
              <w:autoSpaceDN/>
              <w:spacing w:line="240" w:lineRule="auto"/>
              <w:ind w:firstLine="0" w:firstLineChars="0"/>
              <w:jc w:val="center"/>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0.750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0.430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0.213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2.40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0.790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3.05</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0.500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0.550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0.380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化学需氧量</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80.1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95.1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76.1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99.4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93.2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109</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89.6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102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119</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94.1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115</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118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30</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五日生化需氧量</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&lt;2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&lt;2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&lt;2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&lt;2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2.0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&lt;2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&lt;2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8.6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autoSpaceDE/>
              <w:autoSpaceDN/>
              <w:spacing w:line="240" w:lineRule="auto"/>
              <w:ind w:firstLine="0" w:firstLineChars="0"/>
              <w:jc w:val="center"/>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8.0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6</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氨氮</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1.70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1.66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0.86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1.99</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1.42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1.24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1.10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1.68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0.66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1.50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0.88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2.79</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1.5</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总磷</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0.120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0.088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0.090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0.054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0.058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0.076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0.084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0.054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0.068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0.080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0.102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0.163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0.3</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氟化物</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0.59</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2.34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1.10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1.98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1.07</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0.21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1.50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1.41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1.10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1.69</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1.23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0.81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1.5</w:t>
            </w:r>
          </w:p>
        </w:tc>
      </w:tr>
      <w:tr>
        <w:tblPrEx>
          <w:tblCellMar>
            <w:top w:w="0" w:type="dxa"/>
            <w:left w:w="108" w:type="dxa"/>
            <w:bottom w:w="0" w:type="dxa"/>
            <w:right w:w="108" w:type="dxa"/>
          </w:tblCellMar>
        </w:tblPrEx>
        <w:trPr>
          <w:trHeight w:val="405" w:hRule="atLeast"/>
        </w:trPr>
        <w:tc>
          <w:tcPr>
            <w:tcW w:w="0" w:type="auto"/>
            <w:vMerge w:val="restart"/>
            <w:tcBorders>
              <w:top w:val="single" w:color="000000" w:sz="4" w:space="0"/>
              <w:left w:val="single" w:color="000000" w:sz="8"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lang w:eastAsia="zh-CN"/>
              </w:rPr>
            </w:pPr>
            <w:r>
              <w:rPr>
                <w:rFonts w:cs="Times New Roman"/>
                <w:position w:val="1"/>
                <w:sz w:val="21"/>
                <w:szCs w:val="21"/>
              </w:rPr>
              <w:t>2017</w:t>
            </w:r>
            <w:r>
              <w:rPr>
                <w:rFonts w:cs="Times New Roman"/>
                <w:position w:val="1"/>
                <w:sz w:val="21"/>
                <w:szCs w:val="21"/>
                <w:lang w:eastAsia="zh-CN"/>
              </w:rPr>
              <w:t>年</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流量</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hint="eastAsia" w:cs="Times New Roman"/>
                <w:spacing w:val="-2"/>
                <w:sz w:val="21"/>
                <w:szCs w:val="21"/>
                <w:lang w:eastAsia="zh-CN"/>
              </w:rPr>
              <w:t>m</w:t>
            </w:r>
            <w:r>
              <w:rPr>
                <w:rFonts w:hint="eastAsia" w:cs="Times New Roman"/>
                <w:spacing w:val="-2"/>
                <w:sz w:val="21"/>
                <w:szCs w:val="21"/>
                <w:vertAlign w:val="superscript"/>
                <w:lang w:eastAsia="zh-CN"/>
              </w:rPr>
              <w:t>3</w:t>
            </w:r>
            <w:r>
              <w:rPr>
                <w:rFonts w:cs="Times New Roman"/>
                <w:spacing w:val="-2"/>
                <w:sz w:val="21"/>
                <w:szCs w:val="21"/>
              </w:rPr>
              <w:t>/s</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1.05</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0.300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0.140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1.020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3.94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2.94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8.09</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3.45</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8.21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3.75</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autoSpaceDE/>
              <w:autoSpaceDN/>
              <w:spacing w:line="240" w:lineRule="auto"/>
              <w:ind w:firstLine="0" w:firstLineChars="0"/>
              <w:jc w:val="center"/>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0.520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化学需氧量</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98.5</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71.4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95.7</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95.6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77.3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106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98.6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109</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130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36.6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60.9</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65.4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30</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五日生化需氧量</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&lt;2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&lt;2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&lt;2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&lt;2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4.7</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19.3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26.1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4.3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6.4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22.8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6</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氨氮</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3.85</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1.28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1.32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1.25</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1.09</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0.950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1.35</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1.93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0.826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1.22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0.378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0.729</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1.5</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总磷</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0.156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0.182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0.063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0.081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&lt;0.01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0.050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0.026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0.058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0.151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0.093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0.032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0.024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0.3</w:t>
            </w: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氟化物</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1.54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1.53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1.41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1.44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1.52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1.11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0.11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1.40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0.84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0.82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0.90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1.07</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1.5</w:t>
            </w:r>
          </w:p>
        </w:tc>
      </w:tr>
      <w:tr>
        <w:tblPrEx>
          <w:tblCellMar>
            <w:top w:w="0" w:type="dxa"/>
            <w:left w:w="108" w:type="dxa"/>
            <w:bottom w:w="0" w:type="dxa"/>
            <w:right w:w="108" w:type="dxa"/>
          </w:tblCellMar>
        </w:tblPrEx>
        <w:trPr>
          <w:trHeight w:val="405" w:hRule="atLeast"/>
        </w:trPr>
        <w:tc>
          <w:tcPr>
            <w:tcW w:w="0" w:type="auto"/>
            <w:vMerge w:val="restart"/>
            <w:tcBorders>
              <w:top w:val="single" w:color="000000" w:sz="4" w:space="0"/>
              <w:left w:val="single" w:color="000000" w:sz="8" w:space="0"/>
              <w:right w:val="single" w:color="000000" w:sz="4" w:space="0"/>
              <w:tl2br w:val="nil"/>
              <w:tr2bl w:val="nil"/>
            </w:tcBorders>
            <w:vAlign w:val="center"/>
          </w:tcPr>
          <w:p>
            <w:pPr>
              <w:autoSpaceDE/>
              <w:autoSpaceDN/>
              <w:spacing w:line="240" w:lineRule="auto"/>
              <w:ind w:firstLine="0" w:firstLineChars="0"/>
              <w:jc w:val="center"/>
              <w:rPr>
                <w:rFonts w:cs="Times New Roman"/>
                <w:sz w:val="21"/>
                <w:szCs w:val="21"/>
              </w:rPr>
            </w:pPr>
            <w:r>
              <w:rPr>
                <w:rFonts w:cs="Times New Roman"/>
                <w:position w:val="1"/>
                <w:sz w:val="21"/>
                <w:szCs w:val="21"/>
              </w:rPr>
              <w:t>2018</w:t>
            </w:r>
            <w:r>
              <w:rPr>
                <w:rFonts w:cs="Times New Roman"/>
                <w:sz w:val="21"/>
                <w:szCs w:val="21"/>
              </w:rPr>
              <w:t>年</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流量</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hint="eastAsia" w:cs="Times New Roman"/>
                <w:spacing w:val="-2"/>
                <w:sz w:val="21"/>
                <w:szCs w:val="21"/>
                <w:lang w:eastAsia="zh-CN"/>
              </w:rPr>
              <w:t>m</w:t>
            </w:r>
            <w:r>
              <w:rPr>
                <w:rFonts w:hint="eastAsia" w:cs="Times New Roman"/>
                <w:spacing w:val="-2"/>
                <w:sz w:val="21"/>
                <w:szCs w:val="21"/>
                <w:vertAlign w:val="superscript"/>
                <w:lang w:eastAsia="zh-CN"/>
              </w:rPr>
              <w:t>3</w:t>
            </w:r>
            <w:r>
              <w:rPr>
                <w:rFonts w:cs="Times New Roman"/>
                <w:spacing w:val="-2"/>
                <w:sz w:val="21"/>
                <w:szCs w:val="21"/>
              </w:rPr>
              <w:t>/s</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0.140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2.78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3.80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4.98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0.830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0.210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4.20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4.72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4.02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3.00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0.680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2.82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w:t>
            </w:r>
          </w:p>
        </w:tc>
      </w:tr>
      <w:tr>
        <w:tblPrEx>
          <w:tblCellMar>
            <w:top w:w="0" w:type="dxa"/>
            <w:left w:w="108" w:type="dxa"/>
            <w:bottom w:w="0" w:type="dxa"/>
            <w:right w:w="108" w:type="dxa"/>
          </w:tblCellMar>
        </w:tblPrEx>
        <w:trPr>
          <w:trHeight w:val="405" w:hRule="atLeast"/>
        </w:trPr>
        <w:tc>
          <w:tcPr>
            <w:tcW w:w="0" w:type="auto"/>
            <w:vMerge w:val="continue"/>
            <w:tcBorders>
              <w:left w:val="single" w:color="000000" w:sz="8" w:space="0"/>
              <w:right w:val="single" w:color="000000" w:sz="4" w:space="0"/>
              <w:tl2br w:val="nil"/>
              <w:tr2bl w:val="nil"/>
            </w:tcBorders>
            <w:vAlign w:val="center"/>
          </w:tcPr>
          <w:p>
            <w:pPr>
              <w:autoSpaceDE/>
              <w:autoSpaceDN/>
              <w:spacing w:line="240" w:lineRule="auto"/>
              <w:ind w:firstLine="0" w:firstLineChars="0"/>
              <w:jc w:val="center"/>
              <w:rPr>
                <w:rFonts w:cs="Times New Roman"/>
                <w:sz w:val="21"/>
                <w:szCs w:val="21"/>
              </w:rPr>
            </w:pP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化学需氧量</w:t>
            </w: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47.9</w:t>
            </w: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24.6</w:t>
            </w: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29.3</w:t>
            </w: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36.5</w:t>
            </w: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44.0</w:t>
            </w: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62.0</w:t>
            </w: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28.2</w:t>
            </w: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25.4</w:t>
            </w: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35.6</w:t>
            </w: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34.2</w:t>
            </w: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42.6</w:t>
            </w:r>
          </w:p>
        </w:tc>
        <w:tc>
          <w:tcPr>
            <w:tcW w:w="0" w:type="auto"/>
            <w:tcBorders>
              <w:top w:val="single" w:color="000000" w:sz="10"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74.2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30</w:t>
            </w:r>
          </w:p>
        </w:tc>
      </w:tr>
      <w:tr>
        <w:tblPrEx>
          <w:tblCellMar>
            <w:top w:w="0" w:type="dxa"/>
            <w:left w:w="108" w:type="dxa"/>
            <w:bottom w:w="0" w:type="dxa"/>
            <w:right w:w="108" w:type="dxa"/>
          </w:tblCellMar>
        </w:tblPrEx>
        <w:trPr>
          <w:trHeight w:val="405" w:hRule="atLeast"/>
        </w:trPr>
        <w:tc>
          <w:tcPr>
            <w:tcW w:w="0" w:type="auto"/>
            <w:vMerge w:val="continue"/>
            <w:tcBorders>
              <w:left w:val="single" w:color="000000" w:sz="8" w:space="0"/>
              <w:right w:val="single" w:color="000000" w:sz="4" w:space="0"/>
              <w:tl2br w:val="nil"/>
              <w:tr2bl w:val="nil"/>
            </w:tcBorders>
            <w:vAlign w:val="center"/>
          </w:tcPr>
          <w:p>
            <w:pPr>
              <w:autoSpaceDE/>
              <w:autoSpaceDN/>
              <w:spacing w:line="240" w:lineRule="auto"/>
              <w:ind w:firstLine="0" w:firstLineChars="0"/>
              <w:jc w:val="center"/>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五日生化需氧量</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6.4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&lt;2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5.6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4.2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9.2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6.8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4.0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2.8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3.3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4.7</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4.7</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6</w:t>
            </w:r>
          </w:p>
        </w:tc>
      </w:tr>
      <w:tr>
        <w:tblPrEx>
          <w:tblCellMar>
            <w:top w:w="0" w:type="dxa"/>
            <w:left w:w="108" w:type="dxa"/>
            <w:bottom w:w="0" w:type="dxa"/>
            <w:right w:w="108" w:type="dxa"/>
          </w:tblCellMar>
        </w:tblPrEx>
        <w:trPr>
          <w:trHeight w:val="405" w:hRule="atLeast"/>
        </w:trPr>
        <w:tc>
          <w:tcPr>
            <w:tcW w:w="0" w:type="auto"/>
            <w:vMerge w:val="continue"/>
            <w:tcBorders>
              <w:left w:val="single" w:color="000000" w:sz="8" w:space="0"/>
              <w:right w:val="single" w:color="000000" w:sz="4" w:space="0"/>
              <w:tl2br w:val="nil"/>
              <w:tr2bl w:val="nil"/>
            </w:tcBorders>
            <w:vAlign w:val="center"/>
          </w:tcPr>
          <w:p>
            <w:pPr>
              <w:autoSpaceDE/>
              <w:autoSpaceDN/>
              <w:spacing w:line="240" w:lineRule="auto"/>
              <w:ind w:firstLine="0" w:firstLineChars="0"/>
              <w:jc w:val="center"/>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氨氮</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7.92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5.41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2.06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2.64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1.56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1.29</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1.53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1.44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2.04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2.82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2.41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5.98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1.5</w:t>
            </w:r>
          </w:p>
        </w:tc>
      </w:tr>
      <w:tr>
        <w:tblPrEx>
          <w:tblCellMar>
            <w:top w:w="0" w:type="dxa"/>
            <w:left w:w="108" w:type="dxa"/>
            <w:bottom w:w="0" w:type="dxa"/>
            <w:right w:w="108" w:type="dxa"/>
          </w:tblCellMar>
        </w:tblPrEx>
        <w:trPr>
          <w:trHeight w:val="405" w:hRule="atLeast"/>
        </w:trPr>
        <w:tc>
          <w:tcPr>
            <w:tcW w:w="0" w:type="auto"/>
            <w:vMerge w:val="continue"/>
            <w:tcBorders>
              <w:left w:val="single" w:color="000000" w:sz="8" w:space="0"/>
              <w:right w:val="single" w:color="000000" w:sz="4" w:space="0"/>
              <w:tl2br w:val="nil"/>
              <w:tr2bl w:val="nil"/>
            </w:tcBorders>
            <w:vAlign w:val="center"/>
          </w:tcPr>
          <w:p>
            <w:pPr>
              <w:autoSpaceDE/>
              <w:autoSpaceDN/>
              <w:spacing w:line="240" w:lineRule="auto"/>
              <w:ind w:firstLine="0" w:firstLineChars="0"/>
              <w:jc w:val="center"/>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总磷</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0.090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0.051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0.071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0.031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0.053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0.016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&lt;0.01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0.186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0.026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0.052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&lt;0.01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0.065</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0.3</w:t>
            </w:r>
          </w:p>
        </w:tc>
      </w:tr>
      <w:tr>
        <w:tblPrEx>
          <w:tblCellMar>
            <w:top w:w="0" w:type="dxa"/>
            <w:left w:w="108" w:type="dxa"/>
            <w:bottom w:w="0" w:type="dxa"/>
            <w:right w:w="108" w:type="dxa"/>
          </w:tblCellMar>
        </w:tblPrEx>
        <w:trPr>
          <w:trHeight w:val="405" w:hRule="atLeast"/>
        </w:trPr>
        <w:tc>
          <w:tcPr>
            <w:tcW w:w="0" w:type="auto"/>
            <w:vMerge w:val="continue"/>
            <w:tcBorders>
              <w:left w:val="single" w:color="000000" w:sz="8" w:space="0"/>
              <w:bottom w:val="single" w:color="000000" w:sz="4" w:space="0"/>
              <w:right w:val="single" w:color="000000" w:sz="4" w:space="0"/>
              <w:tl2br w:val="nil"/>
              <w:tr2bl w:val="nil"/>
            </w:tcBorders>
            <w:vAlign w:val="center"/>
          </w:tcPr>
          <w:p>
            <w:pPr>
              <w:autoSpaceDE/>
              <w:autoSpaceDN/>
              <w:spacing w:line="240" w:lineRule="auto"/>
              <w:ind w:firstLine="0" w:firstLineChars="0"/>
              <w:jc w:val="center"/>
              <w:rPr>
                <w:rFonts w:cs="Times New Roman"/>
                <w:sz w:val="21"/>
                <w:szCs w:val="21"/>
              </w:rPr>
            </w:pP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氟化物</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pacing w:val="-1"/>
                <w:sz w:val="21"/>
                <w:szCs w:val="21"/>
              </w:rPr>
              <w:t>mg/L</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1.12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0.95</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0.97</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1.10</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0.96</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1.11</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b/>
                <w:sz w:val="21"/>
                <w:szCs w:val="21"/>
              </w:rPr>
              <w:t>1.53</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0.87</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0.92</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0.88</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0.54</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0.99</w:t>
            </w:r>
          </w:p>
        </w:tc>
        <w:tc>
          <w:tcPr>
            <w:tcW w:w="0" w:type="auto"/>
            <w:tcBorders>
              <w:top w:val="single" w:color="000000" w:sz="4" w:space="0"/>
              <w:left w:val="single" w:color="000000" w:sz="4" w:space="0"/>
              <w:bottom w:val="single" w:color="000000" w:sz="4" w:space="0"/>
              <w:right w:val="single" w:color="000000" w:sz="4" w:space="0"/>
              <w:tl2br w:val="nil"/>
              <w:tr2bl w:val="nil"/>
            </w:tcBorders>
            <w:vAlign w:val="center"/>
          </w:tcPr>
          <w:p>
            <w:pPr>
              <w:pStyle w:val="32"/>
              <w:autoSpaceDE/>
              <w:autoSpaceDN/>
              <w:spacing w:line="240" w:lineRule="auto"/>
              <w:ind w:firstLine="0" w:firstLineChars="0"/>
              <w:rPr>
                <w:rFonts w:cs="Times New Roman"/>
                <w:sz w:val="21"/>
                <w:szCs w:val="21"/>
              </w:rPr>
            </w:pPr>
            <w:r>
              <w:rPr>
                <w:rFonts w:cs="Times New Roman"/>
                <w:sz w:val="21"/>
                <w:szCs w:val="21"/>
              </w:rPr>
              <w:t>1.5</w:t>
            </w:r>
          </w:p>
        </w:tc>
      </w:tr>
    </w:tbl>
    <w:p>
      <w:pPr>
        <w:ind w:firstLine="0" w:firstLineChars="0"/>
        <w:jc w:val="center"/>
        <w:rPr>
          <w:color w:val="000000" w:themeColor="text1"/>
        </w:rPr>
      </w:pPr>
    </w:p>
    <w:tbl>
      <w:tblPr>
        <w:tblStyle w:val="17"/>
        <w:tblW w:w="14036" w:type="dxa"/>
        <w:jc w:val="center"/>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Layout w:type="fixed"/>
        <w:tblCellMar>
          <w:top w:w="0" w:type="dxa"/>
          <w:left w:w="108" w:type="dxa"/>
          <w:bottom w:w="0" w:type="dxa"/>
          <w:right w:w="108" w:type="dxa"/>
        </w:tblCellMar>
      </w:tblPr>
      <w:tblGrid>
        <w:gridCol w:w="746"/>
        <w:gridCol w:w="168"/>
        <w:gridCol w:w="1276"/>
        <w:gridCol w:w="333"/>
        <w:gridCol w:w="346"/>
        <w:gridCol w:w="321"/>
        <w:gridCol w:w="484"/>
        <w:gridCol w:w="255"/>
        <w:gridCol w:w="563"/>
        <w:gridCol w:w="175"/>
        <w:gridCol w:w="629"/>
        <w:gridCol w:w="109"/>
        <w:gridCol w:w="709"/>
        <w:gridCol w:w="29"/>
        <w:gridCol w:w="738"/>
        <w:gridCol w:w="38"/>
        <w:gridCol w:w="700"/>
        <w:gridCol w:w="146"/>
        <w:gridCol w:w="593"/>
        <w:gridCol w:w="225"/>
        <w:gridCol w:w="513"/>
        <w:gridCol w:w="278"/>
        <w:gridCol w:w="460"/>
        <w:gridCol w:w="371"/>
        <w:gridCol w:w="456"/>
        <w:gridCol w:w="444"/>
        <w:gridCol w:w="384"/>
        <w:gridCol w:w="489"/>
        <w:gridCol w:w="339"/>
        <w:gridCol w:w="547"/>
        <w:gridCol w:w="1172"/>
      </w:tblGrid>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492" w:hRule="exact"/>
          <w:jc w:val="center"/>
        </w:trPr>
        <w:tc>
          <w:tcPr>
            <w:tcW w:w="14034" w:type="dxa"/>
            <w:gridSpan w:val="31"/>
            <w:tcBorders>
              <w:left w:val="nil"/>
              <w:right w:val="nil"/>
            </w:tcBorders>
            <w:vAlign w:val="center"/>
          </w:tcPr>
          <w:p>
            <w:pPr>
              <w:pStyle w:val="32"/>
              <w:kinsoku w:val="0"/>
              <w:overflowPunct w:val="0"/>
              <w:spacing w:line="240" w:lineRule="auto"/>
              <w:ind w:firstLine="0" w:firstLineChars="0"/>
              <w:rPr>
                <w:rFonts w:cs="Times New Roman"/>
                <w:sz w:val="18"/>
                <w:szCs w:val="18"/>
                <w:lang w:eastAsia="zh-CN"/>
              </w:rPr>
            </w:pPr>
            <w:r>
              <w:rPr>
                <w:rFonts w:cs="Times New Roman"/>
                <w:b/>
                <w:sz w:val="21"/>
                <w:szCs w:val="21"/>
                <w:lang w:eastAsia="zh-CN"/>
              </w:rPr>
              <w:t>表 3.3-3    马莲河庆阳断面水质监测数据</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466" w:hRule="atLeast"/>
          <w:jc w:val="center"/>
        </w:trPr>
        <w:tc>
          <w:tcPr>
            <w:tcW w:w="746"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时间</w:t>
            </w: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监测项目</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单位</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 xml:space="preserve">1 </w:t>
            </w:r>
            <w:r>
              <w:rPr>
                <w:rFonts w:cs="Times New Roman" w:eastAsiaTheme="minorEastAsia"/>
                <w:sz w:val="21"/>
                <w:szCs w:val="21"/>
              </w:rPr>
              <w:t>月</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 xml:space="preserve">2 </w:t>
            </w:r>
            <w:r>
              <w:rPr>
                <w:rFonts w:cs="Times New Roman" w:eastAsiaTheme="minorEastAsia"/>
                <w:sz w:val="21"/>
                <w:szCs w:val="21"/>
              </w:rPr>
              <w:t>月</w:t>
            </w: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 xml:space="preserve">3 </w:t>
            </w:r>
            <w:r>
              <w:rPr>
                <w:rFonts w:cs="Times New Roman" w:eastAsiaTheme="minorEastAsia"/>
                <w:sz w:val="21"/>
                <w:szCs w:val="21"/>
              </w:rPr>
              <w:t>月</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 xml:space="preserve">4 </w:t>
            </w:r>
            <w:r>
              <w:rPr>
                <w:rFonts w:cs="Times New Roman" w:eastAsiaTheme="minorEastAsia"/>
                <w:sz w:val="21"/>
                <w:szCs w:val="21"/>
              </w:rPr>
              <w:t>月</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 xml:space="preserve">5 </w:t>
            </w:r>
            <w:r>
              <w:rPr>
                <w:rFonts w:cs="Times New Roman" w:eastAsiaTheme="minorEastAsia"/>
                <w:sz w:val="21"/>
                <w:szCs w:val="21"/>
              </w:rPr>
              <w:t>月</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 xml:space="preserve">6 </w:t>
            </w:r>
            <w:r>
              <w:rPr>
                <w:rFonts w:cs="Times New Roman" w:eastAsiaTheme="minorEastAsia"/>
                <w:sz w:val="21"/>
                <w:szCs w:val="21"/>
              </w:rPr>
              <w:t>月</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 xml:space="preserve">7 </w:t>
            </w:r>
            <w:r>
              <w:rPr>
                <w:rFonts w:cs="Times New Roman" w:eastAsiaTheme="minorEastAsia"/>
                <w:sz w:val="21"/>
                <w:szCs w:val="21"/>
              </w:rPr>
              <w:t>月份</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 xml:space="preserve">8 </w:t>
            </w:r>
            <w:r>
              <w:rPr>
                <w:rFonts w:cs="Times New Roman" w:eastAsiaTheme="minorEastAsia"/>
                <w:sz w:val="21"/>
                <w:szCs w:val="21"/>
              </w:rPr>
              <w:t>月份</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 xml:space="preserve">9 </w:t>
            </w:r>
            <w:r>
              <w:rPr>
                <w:rFonts w:cs="Times New Roman" w:eastAsiaTheme="minorEastAsia"/>
                <w:sz w:val="21"/>
                <w:szCs w:val="21"/>
              </w:rPr>
              <w:t>月份</w:t>
            </w: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 xml:space="preserve">10 </w:t>
            </w:r>
            <w:r>
              <w:rPr>
                <w:rFonts w:cs="Times New Roman" w:eastAsiaTheme="minorEastAsia"/>
                <w:spacing w:val="-3"/>
                <w:sz w:val="21"/>
                <w:szCs w:val="21"/>
              </w:rPr>
              <w:t>月份</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 xml:space="preserve">11 </w:t>
            </w:r>
            <w:r>
              <w:rPr>
                <w:rFonts w:cs="Times New Roman" w:eastAsiaTheme="minorEastAsia"/>
                <w:spacing w:val="-3"/>
                <w:sz w:val="21"/>
                <w:szCs w:val="21"/>
              </w:rPr>
              <w:t>月份</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 xml:space="preserve">12 </w:t>
            </w:r>
            <w:r>
              <w:rPr>
                <w:rFonts w:cs="Times New Roman" w:eastAsiaTheme="minorEastAsia"/>
                <w:spacing w:val="-3"/>
                <w:sz w:val="21"/>
                <w:szCs w:val="21"/>
              </w:rPr>
              <w:t>月份</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position w:val="1"/>
                <w:sz w:val="21"/>
                <w:szCs w:val="21"/>
              </w:rPr>
              <w:t>Ⅳ</w:t>
            </w:r>
            <w:r>
              <w:rPr>
                <w:rFonts w:cs="Times New Roman" w:eastAsiaTheme="minorEastAsia"/>
                <w:spacing w:val="-1"/>
                <w:sz w:val="21"/>
                <w:szCs w:val="21"/>
              </w:rPr>
              <w:t>类地表水限值</w:t>
            </w:r>
            <w:r>
              <w:rPr>
                <w:rFonts w:cs="Times New Roman" w:eastAsiaTheme="minorEastAsia"/>
                <w:spacing w:val="-1"/>
                <w:position w:val="1"/>
                <w:sz w:val="21"/>
                <w:szCs w:val="21"/>
              </w:rPr>
              <w:t>≤</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70" w:hRule="atLeast"/>
          <w:jc w:val="center"/>
        </w:trPr>
        <w:tc>
          <w:tcPr>
            <w:tcW w:w="746" w:type="dxa"/>
            <w:vMerge w:val="restart"/>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p>
          <w:p>
            <w:pPr>
              <w:pStyle w:val="32"/>
              <w:kinsoku w:val="0"/>
              <w:overflowPunct w:val="0"/>
              <w:spacing w:line="240" w:lineRule="auto"/>
              <w:ind w:firstLine="0" w:firstLineChars="0"/>
              <w:rPr>
                <w:rFonts w:cs="Times New Roman" w:eastAsiaTheme="minorEastAsia"/>
                <w:sz w:val="21"/>
                <w:szCs w:val="21"/>
              </w:rPr>
            </w:pPr>
          </w:p>
          <w:p>
            <w:pPr>
              <w:pStyle w:val="32"/>
              <w:kinsoku w:val="0"/>
              <w:overflowPunct w:val="0"/>
              <w:spacing w:line="240" w:lineRule="auto"/>
              <w:ind w:firstLine="0" w:firstLineChars="0"/>
              <w:rPr>
                <w:rFonts w:cs="Times New Roman" w:eastAsiaTheme="minorEastAsia"/>
                <w:sz w:val="21"/>
                <w:szCs w:val="21"/>
              </w:rPr>
            </w:pPr>
          </w:p>
          <w:p>
            <w:pPr>
              <w:pStyle w:val="32"/>
              <w:kinsoku w:val="0"/>
              <w:overflowPunct w:val="0"/>
              <w:spacing w:line="240" w:lineRule="auto"/>
              <w:ind w:firstLine="0" w:firstLineChars="0"/>
              <w:rPr>
                <w:rFonts w:cs="Times New Roman" w:eastAsiaTheme="minorEastAsia"/>
                <w:sz w:val="21"/>
                <w:szCs w:val="21"/>
              </w:rPr>
            </w:pPr>
          </w:p>
          <w:p>
            <w:pPr>
              <w:pStyle w:val="32"/>
              <w:kinsoku w:val="0"/>
              <w:overflowPunct w:val="0"/>
              <w:spacing w:line="240" w:lineRule="auto"/>
              <w:ind w:firstLine="0" w:firstLineChars="0"/>
              <w:rPr>
                <w:rFonts w:cs="Times New Roman" w:eastAsiaTheme="minorEastAsia"/>
                <w:sz w:val="21"/>
                <w:szCs w:val="21"/>
                <w:lang w:eastAsia="zh-CN"/>
              </w:rPr>
            </w:pPr>
          </w:p>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2016</w:t>
            </w:r>
            <w:r>
              <w:rPr>
                <w:rFonts w:cs="Times New Roman" w:eastAsiaTheme="minorEastAsia"/>
                <w:spacing w:val="-2"/>
                <w:position w:val="1"/>
                <w:sz w:val="21"/>
                <w:szCs w:val="21"/>
              </w:rPr>
              <w:t xml:space="preserve"> </w:t>
            </w:r>
            <w:r>
              <w:rPr>
                <w:rFonts w:cs="Times New Roman" w:eastAsiaTheme="minorEastAsia"/>
                <w:sz w:val="21"/>
                <w:szCs w:val="21"/>
              </w:rPr>
              <w:t>年</w:t>
            </w: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流量</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2"/>
                <w:sz w:val="21"/>
                <w:szCs w:val="21"/>
                <w:lang w:eastAsia="zh-CN"/>
              </w:rPr>
              <w:t>m</w:t>
            </w:r>
            <w:r>
              <w:rPr>
                <w:rFonts w:cs="Times New Roman" w:eastAsiaTheme="minorEastAsia"/>
                <w:spacing w:val="-2"/>
                <w:sz w:val="21"/>
                <w:szCs w:val="21"/>
                <w:vertAlign w:val="superscript"/>
                <w:lang w:eastAsia="zh-CN"/>
              </w:rPr>
              <w:t>3</w:t>
            </w:r>
            <w:r>
              <w:rPr>
                <w:rFonts w:cs="Times New Roman" w:eastAsiaTheme="minorEastAsia"/>
                <w:spacing w:val="-2"/>
                <w:sz w:val="21"/>
                <w:szCs w:val="21"/>
              </w:rPr>
              <w:t>/s</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2.46</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1.82</w:t>
            </w:r>
          </w:p>
        </w:tc>
        <w:tc>
          <w:tcPr>
            <w:tcW w:w="804" w:type="dxa"/>
            <w:gridSpan w:val="2"/>
            <w:tcBorders>
              <w:tl2br w:val="nil"/>
              <w:tr2bl w:val="nil"/>
            </w:tcBorders>
            <w:vAlign w:val="center"/>
          </w:tcPr>
          <w:p>
            <w:pPr>
              <w:spacing w:line="240" w:lineRule="auto"/>
              <w:ind w:firstLine="0" w:firstLineChars="0"/>
              <w:jc w:val="center"/>
              <w:rPr>
                <w:rFonts w:cs="Times New Roman" w:eastAsiaTheme="minorEastAsia"/>
                <w:sz w:val="21"/>
                <w:szCs w:val="21"/>
              </w:rPr>
            </w:pP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2.05</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0.62</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3.60</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4.70</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1.09</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3.24</w:t>
            </w: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0.450</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0.500</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0.510</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96" w:hRule="atLeast"/>
          <w:jc w:val="center"/>
        </w:trPr>
        <w:tc>
          <w:tcPr>
            <w:tcW w:w="746" w:type="dxa"/>
            <w:vMerge w:val="continue"/>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化学需氧量</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63.8</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76.9</w:t>
            </w: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59.9</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80.0</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70.4</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96.8</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70.9</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76.8</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100</w:t>
            </w: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64.6</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67.0</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77.5</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30</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466" w:hRule="atLeast"/>
          <w:jc w:val="center"/>
        </w:trPr>
        <w:tc>
          <w:tcPr>
            <w:tcW w:w="746" w:type="dxa"/>
            <w:vMerge w:val="continue"/>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五日生化需氧量</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&lt;2</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3.0</w:t>
            </w: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&lt;2</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&lt;2</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&lt;2</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3.3</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&lt;2</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3.4</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6.9</w:t>
            </w:r>
          </w:p>
        </w:tc>
        <w:tc>
          <w:tcPr>
            <w:tcW w:w="900" w:type="dxa"/>
            <w:gridSpan w:val="2"/>
            <w:tcBorders>
              <w:tl2br w:val="nil"/>
              <w:tr2bl w:val="nil"/>
            </w:tcBorders>
            <w:vAlign w:val="center"/>
          </w:tcPr>
          <w:p>
            <w:pPr>
              <w:spacing w:line="240" w:lineRule="auto"/>
              <w:ind w:firstLine="0" w:firstLineChars="0"/>
              <w:jc w:val="center"/>
              <w:rPr>
                <w:rFonts w:cs="Times New Roman" w:eastAsiaTheme="minorEastAsia"/>
                <w:sz w:val="21"/>
                <w:szCs w:val="21"/>
              </w:rPr>
            </w:pP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6.8</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4.6</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6</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261" w:hRule="atLeast"/>
          <w:jc w:val="center"/>
        </w:trPr>
        <w:tc>
          <w:tcPr>
            <w:tcW w:w="746" w:type="dxa"/>
            <w:vMerge w:val="continue"/>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氨氮</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1.98</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2.76</w:t>
            </w: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1.25</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1.26</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1.17</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1.03</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1.35</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1.92</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1.06</w:t>
            </w: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1.11</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1.02</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2.50</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1.5</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466" w:hRule="atLeast"/>
          <w:jc w:val="center"/>
        </w:trPr>
        <w:tc>
          <w:tcPr>
            <w:tcW w:w="746" w:type="dxa"/>
            <w:vMerge w:val="continue"/>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总磷</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0.096</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0.104</w:t>
            </w: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0.07</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0.114</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0.066</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0.183</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0.189</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0.093</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0.058</w:t>
            </w: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0.106</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0.131</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0.108</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0.3</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46" w:hRule="atLeast"/>
          <w:jc w:val="center"/>
        </w:trPr>
        <w:tc>
          <w:tcPr>
            <w:tcW w:w="746" w:type="dxa"/>
            <w:vMerge w:val="continue"/>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氟化物</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0.60</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0.51</w:t>
            </w: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1.09</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1.11</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0.81</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1.13</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1.32</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1.06</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1.20</w:t>
            </w: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1.35</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0.94</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0.43</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1.5</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63" w:hRule="atLeast"/>
          <w:jc w:val="center"/>
        </w:trPr>
        <w:tc>
          <w:tcPr>
            <w:tcW w:w="746" w:type="dxa"/>
            <w:vMerge w:val="restart"/>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p>
          <w:p>
            <w:pPr>
              <w:pStyle w:val="32"/>
              <w:kinsoku w:val="0"/>
              <w:overflowPunct w:val="0"/>
              <w:spacing w:line="240" w:lineRule="auto"/>
              <w:ind w:firstLine="0" w:firstLineChars="0"/>
              <w:rPr>
                <w:rFonts w:cs="Times New Roman" w:eastAsiaTheme="minorEastAsia"/>
                <w:sz w:val="21"/>
                <w:szCs w:val="21"/>
              </w:rPr>
            </w:pPr>
          </w:p>
          <w:p>
            <w:pPr>
              <w:pStyle w:val="32"/>
              <w:kinsoku w:val="0"/>
              <w:overflowPunct w:val="0"/>
              <w:spacing w:line="240" w:lineRule="auto"/>
              <w:ind w:firstLine="0" w:firstLineChars="0"/>
              <w:rPr>
                <w:rFonts w:cs="Times New Roman" w:eastAsiaTheme="minorEastAsia"/>
                <w:sz w:val="21"/>
                <w:szCs w:val="21"/>
              </w:rPr>
            </w:pPr>
          </w:p>
          <w:p>
            <w:pPr>
              <w:pStyle w:val="32"/>
              <w:kinsoku w:val="0"/>
              <w:overflowPunct w:val="0"/>
              <w:spacing w:line="240" w:lineRule="auto"/>
              <w:ind w:firstLine="0" w:firstLineChars="0"/>
              <w:rPr>
                <w:rFonts w:cs="Times New Roman" w:eastAsiaTheme="minorEastAsia"/>
                <w:sz w:val="21"/>
                <w:szCs w:val="21"/>
              </w:rPr>
            </w:pPr>
          </w:p>
          <w:p>
            <w:pPr>
              <w:pStyle w:val="32"/>
              <w:kinsoku w:val="0"/>
              <w:overflowPunct w:val="0"/>
              <w:spacing w:line="240" w:lineRule="auto"/>
              <w:ind w:firstLine="0" w:firstLineChars="0"/>
              <w:rPr>
                <w:rFonts w:cs="Times New Roman" w:eastAsiaTheme="minorEastAsia"/>
                <w:sz w:val="21"/>
                <w:szCs w:val="21"/>
              </w:rPr>
            </w:pPr>
          </w:p>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position w:val="1"/>
                <w:sz w:val="21"/>
                <w:szCs w:val="21"/>
              </w:rPr>
              <w:t>2017</w:t>
            </w:r>
            <w:r>
              <w:rPr>
                <w:rFonts w:cs="Times New Roman" w:eastAsiaTheme="minorEastAsia"/>
                <w:spacing w:val="-2"/>
                <w:position w:val="1"/>
                <w:sz w:val="21"/>
                <w:szCs w:val="21"/>
              </w:rPr>
              <w:t xml:space="preserve"> </w:t>
            </w:r>
            <w:r>
              <w:rPr>
                <w:rFonts w:cs="Times New Roman" w:eastAsiaTheme="minorEastAsia"/>
                <w:sz w:val="21"/>
                <w:szCs w:val="21"/>
              </w:rPr>
              <w:t>年</w:t>
            </w: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流量</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2"/>
                <w:sz w:val="21"/>
                <w:szCs w:val="21"/>
                <w:lang w:eastAsia="zh-CN"/>
              </w:rPr>
              <w:t>m</w:t>
            </w:r>
            <w:r>
              <w:rPr>
                <w:rFonts w:cs="Times New Roman" w:eastAsiaTheme="minorEastAsia"/>
                <w:spacing w:val="-2"/>
                <w:sz w:val="21"/>
                <w:szCs w:val="21"/>
                <w:vertAlign w:val="superscript"/>
                <w:lang w:eastAsia="zh-CN"/>
              </w:rPr>
              <w:t>3</w:t>
            </w:r>
            <w:r>
              <w:rPr>
                <w:rFonts w:cs="Times New Roman" w:eastAsiaTheme="minorEastAsia"/>
                <w:spacing w:val="-2"/>
                <w:sz w:val="21"/>
                <w:szCs w:val="21"/>
              </w:rPr>
              <w:t>/s</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2.01</w:t>
            </w:r>
          </w:p>
        </w:tc>
        <w:tc>
          <w:tcPr>
            <w:tcW w:w="818" w:type="dxa"/>
            <w:gridSpan w:val="2"/>
            <w:tcBorders>
              <w:tl2br w:val="nil"/>
              <w:tr2bl w:val="nil"/>
            </w:tcBorders>
            <w:vAlign w:val="center"/>
          </w:tcPr>
          <w:p>
            <w:pPr>
              <w:spacing w:line="240" w:lineRule="auto"/>
              <w:ind w:firstLine="0" w:firstLineChars="0"/>
              <w:jc w:val="center"/>
              <w:rPr>
                <w:rFonts w:cs="Times New Roman" w:eastAsiaTheme="minorEastAsia"/>
                <w:sz w:val="21"/>
                <w:szCs w:val="21"/>
              </w:rPr>
            </w:pP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0.230</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2.98</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4.25</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3.74</w:t>
            </w:r>
          </w:p>
        </w:tc>
        <w:tc>
          <w:tcPr>
            <w:tcW w:w="818" w:type="dxa"/>
            <w:gridSpan w:val="2"/>
            <w:tcBorders>
              <w:tl2br w:val="nil"/>
              <w:tr2bl w:val="nil"/>
            </w:tcBorders>
            <w:vAlign w:val="center"/>
          </w:tcPr>
          <w:p>
            <w:pPr>
              <w:spacing w:line="240" w:lineRule="auto"/>
              <w:ind w:firstLine="0" w:firstLineChars="0"/>
              <w:jc w:val="center"/>
              <w:rPr>
                <w:rFonts w:cs="Times New Roman" w:eastAsiaTheme="minorEastAsia"/>
                <w:sz w:val="21"/>
                <w:szCs w:val="21"/>
              </w:rPr>
            </w:pP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3.67</w:t>
            </w:r>
          </w:p>
        </w:tc>
        <w:tc>
          <w:tcPr>
            <w:tcW w:w="831" w:type="dxa"/>
            <w:gridSpan w:val="2"/>
            <w:tcBorders>
              <w:tl2br w:val="nil"/>
              <w:tr2bl w:val="nil"/>
            </w:tcBorders>
            <w:vAlign w:val="center"/>
          </w:tcPr>
          <w:p>
            <w:pPr>
              <w:spacing w:line="240" w:lineRule="auto"/>
              <w:ind w:firstLine="0" w:firstLineChars="0"/>
              <w:jc w:val="center"/>
              <w:rPr>
                <w:rFonts w:cs="Times New Roman" w:eastAsiaTheme="minorEastAsia"/>
                <w:sz w:val="21"/>
                <w:szCs w:val="21"/>
              </w:rPr>
            </w:pP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10.80</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0.035</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0.340</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62" w:hRule="atLeast"/>
          <w:jc w:val="center"/>
        </w:trPr>
        <w:tc>
          <w:tcPr>
            <w:tcW w:w="746" w:type="dxa"/>
            <w:vMerge w:val="continue"/>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化学需氧量</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75.5</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53.1</w:t>
            </w: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84.0</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68.5</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63.4</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82.9</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75.6</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87.3</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73.5</w:t>
            </w: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31.0</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29.5</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73.2</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30</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466" w:hRule="atLeast"/>
          <w:jc w:val="center"/>
        </w:trPr>
        <w:tc>
          <w:tcPr>
            <w:tcW w:w="746" w:type="dxa"/>
            <w:vMerge w:val="continue"/>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五日生化需氧量</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&lt;2</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&lt;2</w:t>
            </w: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&lt;2</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&lt;2</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&lt;2</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3.2</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5.5</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35</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2.3</w:t>
            </w: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&lt;2</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3.4</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25.3</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6</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79" w:hRule="atLeast"/>
          <w:jc w:val="center"/>
        </w:trPr>
        <w:tc>
          <w:tcPr>
            <w:tcW w:w="746" w:type="dxa"/>
            <w:vMerge w:val="continue"/>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氨氮</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3.83</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4.45</w:t>
            </w: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1.68</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1.38</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3.94</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1.21</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1.12</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1.27</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0.834</w:t>
            </w: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0.529</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0.711</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0.771</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1.5</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29" w:hRule="atLeast"/>
          <w:jc w:val="center"/>
        </w:trPr>
        <w:tc>
          <w:tcPr>
            <w:tcW w:w="746" w:type="dxa"/>
            <w:vMerge w:val="continue"/>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总磷</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0.135</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0.134</w:t>
            </w: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0.087</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0.165</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0.078</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0.047</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0.035</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0.043</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0.020</w:t>
            </w: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0.015</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0.038</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0.087</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0.3</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466" w:hRule="atLeast"/>
          <w:jc w:val="center"/>
        </w:trPr>
        <w:tc>
          <w:tcPr>
            <w:tcW w:w="746" w:type="dxa"/>
            <w:vMerge w:val="continue"/>
            <w:tcBorders>
              <w:bottom w:val="nil"/>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氟化物</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1.42</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1.33</w:t>
            </w: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1.09</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0.97</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0.92</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1.04</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0.33</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1.23</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0.57</w:t>
            </w: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0.94</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0.81</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1.11</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1.5</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46" w:hRule="atLeast"/>
          <w:jc w:val="center"/>
        </w:trPr>
        <w:tc>
          <w:tcPr>
            <w:tcW w:w="746" w:type="dxa"/>
            <w:vMerge w:val="restart"/>
            <w:tcBorders>
              <w:top w:val="nil"/>
              <w:left w:val="single" w:color="000000" w:sz="4" w:space="0"/>
            </w:tcBorders>
            <w:vAlign w:val="center"/>
          </w:tcPr>
          <w:p>
            <w:pPr>
              <w:pStyle w:val="32"/>
              <w:kinsoku w:val="0"/>
              <w:overflowPunct w:val="0"/>
              <w:spacing w:line="240" w:lineRule="auto"/>
              <w:ind w:firstLine="0" w:firstLineChars="0"/>
              <w:rPr>
                <w:rFonts w:cs="Times New Roman" w:eastAsiaTheme="minorEastAsia"/>
                <w:sz w:val="21"/>
                <w:szCs w:val="21"/>
              </w:rPr>
            </w:pPr>
          </w:p>
          <w:p>
            <w:pPr>
              <w:pStyle w:val="32"/>
              <w:kinsoku w:val="0"/>
              <w:overflowPunct w:val="0"/>
              <w:spacing w:line="240" w:lineRule="auto"/>
              <w:ind w:firstLine="0" w:firstLineChars="0"/>
              <w:rPr>
                <w:rFonts w:cs="Times New Roman" w:eastAsiaTheme="minorEastAsia"/>
                <w:sz w:val="21"/>
                <w:szCs w:val="21"/>
              </w:rPr>
            </w:pPr>
          </w:p>
          <w:p>
            <w:pPr>
              <w:spacing w:line="240" w:lineRule="auto"/>
              <w:ind w:firstLine="0" w:firstLineChars="0"/>
              <w:jc w:val="center"/>
              <w:rPr>
                <w:rFonts w:cs="Times New Roman" w:eastAsiaTheme="minorEastAsia"/>
                <w:sz w:val="21"/>
                <w:szCs w:val="21"/>
              </w:rPr>
            </w:pPr>
            <w:r>
              <w:rPr>
                <w:rFonts w:cs="Times New Roman" w:eastAsiaTheme="minorEastAsia"/>
                <w:position w:val="1"/>
                <w:sz w:val="21"/>
                <w:szCs w:val="21"/>
              </w:rPr>
              <w:t>2018</w:t>
            </w:r>
            <w:r>
              <w:rPr>
                <w:rFonts w:cs="Times New Roman" w:eastAsiaTheme="minorEastAsia"/>
                <w:sz w:val="21"/>
                <w:szCs w:val="21"/>
              </w:rPr>
              <w:t>年</w:t>
            </w: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流量</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2"/>
                <w:sz w:val="21"/>
                <w:szCs w:val="21"/>
                <w:lang w:eastAsia="zh-CN"/>
              </w:rPr>
              <w:t>m</w:t>
            </w:r>
            <w:r>
              <w:rPr>
                <w:rFonts w:cs="Times New Roman" w:eastAsiaTheme="minorEastAsia"/>
                <w:spacing w:val="-2"/>
                <w:sz w:val="21"/>
                <w:szCs w:val="21"/>
                <w:vertAlign w:val="superscript"/>
                <w:lang w:eastAsia="zh-CN"/>
              </w:rPr>
              <w:t>3</w:t>
            </w:r>
            <w:r>
              <w:rPr>
                <w:rFonts w:cs="Times New Roman" w:eastAsiaTheme="minorEastAsia"/>
                <w:spacing w:val="-2"/>
                <w:sz w:val="21"/>
                <w:szCs w:val="21"/>
              </w:rPr>
              <w:t>/s</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0.120</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2.86</w:t>
            </w: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4.91</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6.12</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0.520</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0.430</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4.00</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5.64</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4.44</w:t>
            </w: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3.76</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0.980</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3.44</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w:t>
            </w:r>
          </w:p>
        </w:tc>
      </w:tr>
      <w:tr>
        <w:tblPrEx>
          <w:tblBorders>
            <w:top w:val="none" w:color="auto" w:sz="0" w:space="0"/>
            <w:left w:val="single" w:color="000000" w:sz="8" w:space="0"/>
            <w:bottom w:val="single" w:color="000000" w:sz="4"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346" w:hRule="atLeast"/>
          <w:jc w:val="center"/>
        </w:trPr>
        <w:tc>
          <w:tcPr>
            <w:tcW w:w="746" w:type="dxa"/>
            <w:vMerge w:val="continue"/>
            <w:tcBorders>
              <w:left w:val="single" w:color="000000" w:sz="4" w:space="0"/>
            </w:tcBorders>
            <w:vAlign w:val="center"/>
          </w:tcPr>
          <w:p>
            <w:pPr>
              <w:pStyle w:val="32"/>
              <w:kinsoku w:val="0"/>
              <w:overflowPunct w:val="0"/>
              <w:spacing w:line="240" w:lineRule="auto"/>
              <w:ind w:firstLine="0" w:firstLineChars="0"/>
              <w:rPr>
                <w:rFonts w:cs="Times New Roman" w:eastAsiaTheme="minorEastAsia"/>
                <w:sz w:val="21"/>
                <w:szCs w:val="21"/>
              </w:rPr>
            </w:pPr>
          </w:p>
        </w:tc>
        <w:tc>
          <w:tcPr>
            <w:tcW w:w="144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化学需氧量</w:t>
            </w:r>
          </w:p>
        </w:tc>
        <w:tc>
          <w:tcPr>
            <w:tcW w:w="679"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30.2</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27.1</w:t>
            </w:r>
          </w:p>
        </w:tc>
        <w:tc>
          <w:tcPr>
            <w:tcW w:w="804"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23.3</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32.4</w:t>
            </w:r>
          </w:p>
        </w:tc>
        <w:tc>
          <w:tcPr>
            <w:tcW w:w="805" w:type="dxa"/>
            <w:gridSpan w:val="3"/>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42.8</w:t>
            </w:r>
          </w:p>
        </w:tc>
        <w:tc>
          <w:tcPr>
            <w:tcW w:w="84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22.9</w:t>
            </w:r>
          </w:p>
        </w:tc>
        <w:tc>
          <w:tcPr>
            <w:tcW w:w="818"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17.8</w:t>
            </w:r>
          </w:p>
        </w:tc>
        <w:tc>
          <w:tcPr>
            <w:tcW w:w="79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24.2</w:t>
            </w:r>
          </w:p>
        </w:tc>
        <w:tc>
          <w:tcPr>
            <w:tcW w:w="831"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42.0</w:t>
            </w:r>
          </w:p>
        </w:tc>
        <w:tc>
          <w:tcPr>
            <w:tcW w:w="900"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36.6</w:t>
            </w:r>
          </w:p>
        </w:tc>
        <w:tc>
          <w:tcPr>
            <w:tcW w:w="873"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35.0</w:t>
            </w:r>
          </w:p>
        </w:tc>
        <w:tc>
          <w:tcPr>
            <w:tcW w:w="886" w:type="dxa"/>
            <w:gridSpan w:val="2"/>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61.0</w:t>
            </w:r>
          </w:p>
        </w:tc>
        <w:tc>
          <w:tcPr>
            <w:tcW w:w="1170" w:type="dxa"/>
            <w:tcBorders>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46" w:type="dxa"/>
            <w:vMerge w:val="continue"/>
            <w:tcBorders>
              <w:left w:val="single" w:color="000000" w:sz="4" w:space="0"/>
            </w:tcBorders>
            <w:vAlign w:val="center"/>
          </w:tcPr>
          <w:p>
            <w:pPr>
              <w:spacing w:line="240" w:lineRule="auto"/>
              <w:ind w:firstLine="0" w:firstLineChars="0"/>
              <w:jc w:val="center"/>
              <w:rPr>
                <w:rFonts w:cs="Times New Roman" w:eastAsiaTheme="minorEastAsia"/>
                <w:sz w:val="21"/>
                <w:szCs w:val="21"/>
              </w:rPr>
            </w:pPr>
          </w:p>
        </w:tc>
        <w:tc>
          <w:tcPr>
            <w:tcW w:w="1444"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五日生化需氧量</w:t>
            </w:r>
          </w:p>
        </w:tc>
        <w:tc>
          <w:tcPr>
            <w:tcW w:w="679"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3.1</w:t>
            </w:r>
          </w:p>
        </w:tc>
        <w:tc>
          <w:tcPr>
            <w:tcW w:w="818"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&lt;2</w:t>
            </w:r>
          </w:p>
        </w:tc>
        <w:tc>
          <w:tcPr>
            <w:tcW w:w="804"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&lt;2</w:t>
            </w:r>
          </w:p>
        </w:tc>
        <w:tc>
          <w:tcPr>
            <w:tcW w:w="818"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4.7</w:t>
            </w:r>
          </w:p>
        </w:tc>
        <w:tc>
          <w:tcPr>
            <w:tcW w:w="805" w:type="dxa"/>
            <w:gridSpan w:val="3"/>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3.8</w:t>
            </w:r>
          </w:p>
        </w:tc>
        <w:tc>
          <w:tcPr>
            <w:tcW w:w="846"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3.7</w:t>
            </w:r>
          </w:p>
        </w:tc>
        <w:tc>
          <w:tcPr>
            <w:tcW w:w="818"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3.2</w:t>
            </w:r>
          </w:p>
        </w:tc>
        <w:tc>
          <w:tcPr>
            <w:tcW w:w="791"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4.4</w:t>
            </w:r>
          </w:p>
        </w:tc>
        <w:tc>
          <w:tcPr>
            <w:tcW w:w="831"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3.0</w:t>
            </w:r>
          </w:p>
        </w:tc>
        <w:tc>
          <w:tcPr>
            <w:tcW w:w="900"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4.5</w:t>
            </w:r>
          </w:p>
        </w:tc>
        <w:tc>
          <w:tcPr>
            <w:tcW w:w="873"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3.9</w:t>
            </w:r>
          </w:p>
        </w:tc>
        <w:tc>
          <w:tcPr>
            <w:tcW w:w="886"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3.5</w:t>
            </w:r>
          </w:p>
        </w:tc>
        <w:tc>
          <w:tcPr>
            <w:tcW w:w="117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jc w:val="center"/>
        </w:trPr>
        <w:tc>
          <w:tcPr>
            <w:tcW w:w="746" w:type="dxa"/>
            <w:vMerge w:val="continue"/>
            <w:tcBorders>
              <w:left w:val="single" w:color="000000" w:sz="4" w:space="0"/>
              <w:tl2br w:val="nil"/>
              <w:tr2bl w:val="nil"/>
            </w:tcBorders>
            <w:vAlign w:val="center"/>
          </w:tcPr>
          <w:p>
            <w:pPr>
              <w:spacing w:line="240" w:lineRule="auto"/>
              <w:ind w:firstLine="0" w:firstLineChars="0"/>
              <w:jc w:val="center"/>
              <w:rPr>
                <w:rFonts w:cs="Times New Roman" w:eastAsiaTheme="minorEastAsia"/>
                <w:sz w:val="21"/>
                <w:szCs w:val="21"/>
              </w:rPr>
            </w:pPr>
          </w:p>
        </w:tc>
        <w:tc>
          <w:tcPr>
            <w:tcW w:w="1444"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氨氮</w:t>
            </w:r>
          </w:p>
        </w:tc>
        <w:tc>
          <w:tcPr>
            <w:tcW w:w="67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1.91</w:t>
            </w:r>
          </w:p>
        </w:tc>
        <w:tc>
          <w:tcPr>
            <w:tcW w:w="81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5.00</w:t>
            </w:r>
          </w:p>
        </w:tc>
        <w:tc>
          <w:tcPr>
            <w:tcW w:w="804"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4.92</w:t>
            </w:r>
          </w:p>
        </w:tc>
        <w:tc>
          <w:tcPr>
            <w:tcW w:w="81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2.56</w:t>
            </w:r>
          </w:p>
        </w:tc>
        <w:tc>
          <w:tcPr>
            <w:tcW w:w="805"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1.67</w:t>
            </w:r>
          </w:p>
        </w:tc>
        <w:tc>
          <w:tcPr>
            <w:tcW w:w="846"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0.986</w:t>
            </w:r>
          </w:p>
        </w:tc>
        <w:tc>
          <w:tcPr>
            <w:tcW w:w="81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1.04</w:t>
            </w:r>
          </w:p>
        </w:tc>
        <w:tc>
          <w:tcPr>
            <w:tcW w:w="791"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1.75</w:t>
            </w:r>
          </w:p>
        </w:tc>
        <w:tc>
          <w:tcPr>
            <w:tcW w:w="831"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2.47</w:t>
            </w:r>
          </w:p>
        </w:tc>
        <w:tc>
          <w:tcPr>
            <w:tcW w:w="900"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2.89</w:t>
            </w:r>
          </w:p>
        </w:tc>
        <w:tc>
          <w:tcPr>
            <w:tcW w:w="873"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2.62</w:t>
            </w:r>
          </w:p>
        </w:tc>
        <w:tc>
          <w:tcPr>
            <w:tcW w:w="886"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b/>
                <w:sz w:val="21"/>
                <w:szCs w:val="21"/>
              </w:rPr>
              <w:t>3.10</w:t>
            </w:r>
          </w:p>
        </w:tc>
        <w:tc>
          <w:tcPr>
            <w:tcW w:w="117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46" w:type="dxa"/>
            <w:vMerge w:val="continue"/>
            <w:tcBorders>
              <w:left w:val="single" w:color="000000" w:sz="4" w:space="0"/>
              <w:tl2br w:val="nil"/>
              <w:tr2bl w:val="nil"/>
            </w:tcBorders>
            <w:vAlign w:val="center"/>
          </w:tcPr>
          <w:p>
            <w:pPr>
              <w:spacing w:line="240" w:lineRule="auto"/>
              <w:ind w:firstLine="0" w:firstLineChars="0"/>
              <w:jc w:val="center"/>
              <w:rPr>
                <w:rFonts w:cs="Times New Roman" w:eastAsiaTheme="minorEastAsia"/>
                <w:sz w:val="21"/>
                <w:szCs w:val="21"/>
              </w:rPr>
            </w:pPr>
          </w:p>
        </w:tc>
        <w:tc>
          <w:tcPr>
            <w:tcW w:w="1444"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总磷</w:t>
            </w:r>
          </w:p>
        </w:tc>
        <w:tc>
          <w:tcPr>
            <w:tcW w:w="67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0.051</w:t>
            </w:r>
          </w:p>
        </w:tc>
        <w:tc>
          <w:tcPr>
            <w:tcW w:w="81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0.033</w:t>
            </w:r>
          </w:p>
        </w:tc>
        <w:tc>
          <w:tcPr>
            <w:tcW w:w="804"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0.075</w:t>
            </w:r>
          </w:p>
        </w:tc>
        <w:tc>
          <w:tcPr>
            <w:tcW w:w="81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0.019</w:t>
            </w:r>
          </w:p>
        </w:tc>
        <w:tc>
          <w:tcPr>
            <w:tcW w:w="805"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0.045</w:t>
            </w:r>
          </w:p>
        </w:tc>
        <w:tc>
          <w:tcPr>
            <w:tcW w:w="846"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0.014</w:t>
            </w:r>
          </w:p>
        </w:tc>
        <w:tc>
          <w:tcPr>
            <w:tcW w:w="81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0.037</w:t>
            </w:r>
          </w:p>
        </w:tc>
        <w:tc>
          <w:tcPr>
            <w:tcW w:w="791"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0.090</w:t>
            </w:r>
          </w:p>
        </w:tc>
        <w:tc>
          <w:tcPr>
            <w:tcW w:w="831"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0.069</w:t>
            </w:r>
          </w:p>
        </w:tc>
        <w:tc>
          <w:tcPr>
            <w:tcW w:w="900"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0.041</w:t>
            </w:r>
          </w:p>
        </w:tc>
        <w:tc>
          <w:tcPr>
            <w:tcW w:w="873"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&lt;0.01</w:t>
            </w:r>
          </w:p>
        </w:tc>
        <w:tc>
          <w:tcPr>
            <w:tcW w:w="886"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0.026</w:t>
            </w:r>
          </w:p>
        </w:tc>
        <w:tc>
          <w:tcPr>
            <w:tcW w:w="117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46" w:type="dxa"/>
            <w:vMerge w:val="continue"/>
            <w:tcBorders>
              <w:left w:val="single" w:color="000000" w:sz="4" w:space="0"/>
              <w:bottom w:val="single" w:color="000000" w:sz="4" w:space="0"/>
              <w:tl2br w:val="nil"/>
              <w:tr2bl w:val="nil"/>
            </w:tcBorders>
            <w:vAlign w:val="center"/>
          </w:tcPr>
          <w:p>
            <w:pPr>
              <w:spacing w:line="240" w:lineRule="auto"/>
              <w:ind w:firstLine="0" w:firstLineChars="0"/>
              <w:jc w:val="center"/>
              <w:rPr>
                <w:rFonts w:cs="Times New Roman" w:eastAsiaTheme="minorEastAsia"/>
                <w:sz w:val="21"/>
                <w:szCs w:val="21"/>
              </w:rPr>
            </w:pPr>
          </w:p>
        </w:tc>
        <w:tc>
          <w:tcPr>
            <w:tcW w:w="1444"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氟化物</w:t>
            </w:r>
          </w:p>
        </w:tc>
        <w:tc>
          <w:tcPr>
            <w:tcW w:w="67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pacing w:val="-1"/>
                <w:sz w:val="21"/>
                <w:szCs w:val="21"/>
              </w:rPr>
              <w:t>mg/L</w:t>
            </w:r>
          </w:p>
        </w:tc>
        <w:tc>
          <w:tcPr>
            <w:tcW w:w="805"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1.04</w:t>
            </w:r>
          </w:p>
        </w:tc>
        <w:tc>
          <w:tcPr>
            <w:tcW w:w="81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0.86</w:t>
            </w:r>
          </w:p>
        </w:tc>
        <w:tc>
          <w:tcPr>
            <w:tcW w:w="804"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0.77</w:t>
            </w:r>
          </w:p>
        </w:tc>
        <w:tc>
          <w:tcPr>
            <w:tcW w:w="81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0.91</w:t>
            </w:r>
          </w:p>
        </w:tc>
        <w:tc>
          <w:tcPr>
            <w:tcW w:w="805" w:type="dxa"/>
            <w:gridSpan w:val="3"/>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0.67</w:t>
            </w:r>
          </w:p>
        </w:tc>
        <w:tc>
          <w:tcPr>
            <w:tcW w:w="846"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0.93</w:t>
            </w:r>
          </w:p>
        </w:tc>
        <w:tc>
          <w:tcPr>
            <w:tcW w:w="81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1.06</w:t>
            </w:r>
          </w:p>
        </w:tc>
        <w:tc>
          <w:tcPr>
            <w:tcW w:w="791"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0.85</w:t>
            </w:r>
          </w:p>
        </w:tc>
        <w:tc>
          <w:tcPr>
            <w:tcW w:w="831"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0.87</w:t>
            </w:r>
          </w:p>
        </w:tc>
        <w:tc>
          <w:tcPr>
            <w:tcW w:w="900"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0.92</w:t>
            </w:r>
          </w:p>
        </w:tc>
        <w:tc>
          <w:tcPr>
            <w:tcW w:w="873"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0.51</w:t>
            </w:r>
          </w:p>
        </w:tc>
        <w:tc>
          <w:tcPr>
            <w:tcW w:w="886"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0.93</w:t>
            </w:r>
          </w:p>
        </w:tc>
        <w:tc>
          <w:tcPr>
            <w:tcW w:w="1170"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eastAsiaTheme="minorEastAsia"/>
                <w:sz w:val="21"/>
                <w:szCs w:val="21"/>
              </w:rPr>
            </w:pPr>
            <w:r>
              <w:rPr>
                <w:rFonts w:cs="Times New Roman" w:eastAsiaTheme="minorEastAsia"/>
                <w:sz w:val="21"/>
                <w:szCs w:val="21"/>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exact"/>
          <w:jc w:val="center"/>
        </w:trPr>
        <w:tc>
          <w:tcPr>
            <w:tcW w:w="14036" w:type="dxa"/>
            <w:gridSpan w:val="31"/>
            <w:tcBorders>
              <w:top w:val="nil"/>
              <w:left w:val="nil"/>
              <w:bottom w:val="single" w:color="000000" w:sz="8" w:space="0"/>
              <w:right w:val="nil"/>
            </w:tcBorders>
            <w:vAlign w:val="center"/>
          </w:tcPr>
          <w:p>
            <w:pPr>
              <w:pStyle w:val="32"/>
              <w:kinsoku w:val="0"/>
              <w:overflowPunct w:val="0"/>
              <w:spacing w:line="240" w:lineRule="auto"/>
              <w:ind w:firstLine="0" w:firstLineChars="0"/>
              <w:rPr>
                <w:rFonts w:cs="Times New Roman"/>
                <w:lang w:eastAsia="zh-CN"/>
              </w:rPr>
            </w:pPr>
            <w:r>
              <w:rPr>
                <w:rFonts w:cs="Times New Roman"/>
                <w:b/>
                <w:sz w:val="21"/>
                <w:lang w:eastAsia="zh-CN"/>
              </w:rPr>
              <w:t xml:space="preserve">表3.3-4  </w:t>
            </w:r>
            <w:r>
              <w:rPr>
                <w:rFonts w:cs="Times New Roman"/>
                <w:b/>
                <w:spacing w:val="-1"/>
                <w:sz w:val="21"/>
                <w:lang w:eastAsia="zh-CN"/>
              </w:rPr>
              <w:t>马莲河雨落坪断面水质监测数据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9" w:hRule="exact"/>
          <w:jc w:val="center"/>
        </w:trPr>
        <w:tc>
          <w:tcPr>
            <w:tcW w:w="914" w:type="dxa"/>
            <w:gridSpan w:val="2"/>
            <w:tcBorders>
              <w:top w:val="single" w:color="000000" w:sz="8" w:space="0"/>
              <w:left w:val="single" w:color="000000" w:sz="8"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时间</w:t>
            </w:r>
          </w:p>
        </w:tc>
        <w:tc>
          <w:tcPr>
            <w:tcW w:w="1609"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pacing w:val="-1"/>
                <w:sz w:val="21"/>
              </w:rPr>
              <w:t>监测项目</w:t>
            </w:r>
          </w:p>
        </w:tc>
        <w:tc>
          <w:tcPr>
            <w:tcW w:w="667"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单位</w:t>
            </w:r>
          </w:p>
        </w:tc>
        <w:tc>
          <w:tcPr>
            <w:tcW w:w="739"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1</w:t>
            </w:r>
            <w:r>
              <w:rPr>
                <w:rFonts w:cs="Times New Roman"/>
                <w:sz w:val="21"/>
              </w:rPr>
              <w:t>月</w:t>
            </w:r>
          </w:p>
        </w:tc>
        <w:tc>
          <w:tcPr>
            <w:tcW w:w="738"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2</w:t>
            </w:r>
            <w:r>
              <w:rPr>
                <w:rFonts w:cs="Times New Roman"/>
                <w:sz w:val="21"/>
              </w:rPr>
              <w:t>月</w:t>
            </w:r>
          </w:p>
        </w:tc>
        <w:tc>
          <w:tcPr>
            <w:tcW w:w="738"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3</w:t>
            </w:r>
            <w:r>
              <w:rPr>
                <w:rFonts w:cs="Times New Roman"/>
                <w:sz w:val="21"/>
              </w:rPr>
              <w:t>月</w:t>
            </w:r>
          </w:p>
        </w:tc>
        <w:tc>
          <w:tcPr>
            <w:tcW w:w="738"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4</w:t>
            </w:r>
            <w:r>
              <w:rPr>
                <w:rFonts w:cs="Times New Roman"/>
                <w:sz w:val="21"/>
              </w:rPr>
              <w:t>月</w:t>
            </w:r>
          </w:p>
        </w:tc>
        <w:tc>
          <w:tcPr>
            <w:tcW w:w="738" w:type="dxa"/>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5</w:t>
            </w:r>
            <w:r>
              <w:rPr>
                <w:rFonts w:cs="Times New Roman"/>
                <w:sz w:val="21"/>
              </w:rPr>
              <w:t>月</w:t>
            </w:r>
          </w:p>
        </w:tc>
        <w:tc>
          <w:tcPr>
            <w:tcW w:w="738"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6</w:t>
            </w:r>
            <w:r>
              <w:rPr>
                <w:rFonts w:cs="Times New Roman"/>
                <w:sz w:val="21"/>
              </w:rPr>
              <w:t>月</w:t>
            </w:r>
          </w:p>
        </w:tc>
        <w:tc>
          <w:tcPr>
            <w:tcW w:w="739"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7</w:t>
            </w:r>
            <w:r>
              <w:rPr>
                <w:rFonts w:cs="Times New Roman"/>
                <w:sz w:val="21"/>
              </w:rPr>
              <w:t>月</w:t>
            </w:r>
          </w:p>
        </w:tc>
        <w:tc>
          <w:tcPr>
            <w:tcW w:w="738"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8</w:t>
            </w:r>
            <w:r>
              <w:rPr>
                <w:rFonts w:cs="Times New Roman"/>
                <w:sz w:val="21"/>
              </w:rPr>
              <w:t>月</w:t>
            </w:r>
          </w:p>
        </w:tc>
        <w:tc>
          <w:tcPr>
            <w:tcW w:w="738"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9</w:t>
            </w:r>
            <w:r>
              <w:rPr>
                <w:rFonts w:cs="Times New Roman"/>
                <w:sz w:val="21"/>
              </w:rPr>
              <w:t>月</w:t>
            </w:r>
          </w:p>
        </w:tc>
        <w:tc>
          <w:tcPr>
            <w:tcW w:w="827"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10</w:t>
            </w:r>
            <w:r>
              <w:rPr>
                <w:rFonts w:cs="Times New Roman"/>
                <w:spacing w:val="-3"/>
                <w:sz w:val="21"/>
              </w:rPr>
              <w:t>月</w:t>
            </w:r>
          </w:p>
        </w:tc>
        <w:tc>
          <w:tcPr>
            <w:tcW w:w="828"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11</w:t>
            </w:r>
            <w:r>
              <w:rPr>
                <w:rFonts w:cs="Times New Roman"/>
                <w:spacing w:val="-3"/>
                <w:sz w:val="21"/>
              </w:rPr>
              <w:t>月</w:t>
            </w:r>
          </w:p>
        </w:tc>
        <w:tc>
          <w:tcPr>
            <w:tcW w:w="828"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12</w:t>
            </w:r>
            <w:r>
              <w:rPr>
                <w:rFonts w:cs="Times New Roman"/>
                <w:spacing w:val="-3"/>
                <w:sz w:val="21"/>
              </w:rPr>
              <w:t>月</w:t>
            </w:r>
          </w:p>
        </w:tc>
        <w:tc>
          <w:tcPr>
            <w:tcW w:w="1719" w:type="dxa"/>
            <w:gridSpan w:val="2"/>
            <w:tcBorders>
              <w:top w:val="single" w:color="000000" w:sz="8"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pacing w:val="-1"/>
                <w:position w:val="1"/>
                <w:sz w:val="21"/>
              </w:rPr>
              <w:t>Ⅳ</w:t>
            </w:r>
            <w:r>
              <w:rPr>
                <w:rFonts w:cs="Times New Roman"/>
                <w:spacing w:val="-1"/>
                <w:sz w:val="21"/>
              </w:rPr>
              <w:t>类地表水限值</w:t>
            </w:r>
            <w:r>
              <w:rPr>
                <w:rFonts w:eastAsia="Times New Roman" w:cs="Times New Roman"/>
                <w:spacing w:val="-1"/>
                <w:position w:val="1"/>
                <w:sz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exact"/>
          <w:jc w:val="center"/>
        </w:trPr>
        <w:tc>
          <w:tcPr>
            <w:tcW w:w="914" w:type="dxa"/>
            <w:gridSpan w:val="2"/>
            <w:vMerge w:val="restart"/>
            <w:tcBorders>
              <w:top w:val="single" w:color="000000" w:sz="4" w:space="0"/>
              <w:left w:val="single" w:color="000000" w:sz="8"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jc w:val="left"/>
              <w:rPr>
                <w:rFonts w:cs="Times New Roman" w:eastAsiaTheme="minorEastAsia"/>
                <w:sz w:val="29"/>
                <w:lang w:eastAsia="zh-CN"/>
              </w:rPr>
            </w:pPr>
          </w:p>
          <w:p>
            <w:pPr>
              <w:pStyle w:val="32"/>
              <w:kinsoku w:val="0"/>
              <w:overflowPunct w:val="0"/>
              <w:spacing w:line="240" w:lineRule="auto"/>
              <w:ind w:firstLine="0" w:firstLineChars="0"/>
              <w:rPr>
                <w:rFonts w:cs="Times New Roman"/>
              </w:rPr>
            </w:pPr>
            <w:r>
              <w:rPr>
                <w:rFonts w:eastAsia="Times New Roman" w:cs="Times New Roman"/>
                <w:position w:val="1"/>
                <w:sz w:val="21"/>
              </w:rPr>
              <w:t>2016</w:t>
            </w:r>
            <w:r>
              <w:rPr>
                <w:rFonts w:eastAsia="Times New Roman" w:cs="Times New Roman"/>
                <w:spacing w:val="-2"/>
                <w:position w:val="1"/>
                <w:sz w:val="21"/>
              </w:rPr>
              <w:t xml:space="preserve"> </w:t>
            </w:r>
            <w:r>
              <w:rPr>
                <w:rFonts w:cs="Times New Roman"/>
                <w:sz w:val="21"/>
              </w:rPr>
              <w:t>年</w:t>
            </w: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流量</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2"/>
                <w:sz w:val="21"/>
              </w:rPr>
              <w:t>m</w:t>
            </w:r>
            <w:r>
              <w:rPr>
                <w:rFonts w:eastAsia="Times New Roman" w:cs="Times New Roman"/>
                <w:spacing w:val="-2"/>
                <w:position w:val="10"/>
                <w:sz w:val="14"/>
              </w:rPr>
              <w:t>3</w:t>
            </w:r>
            <w:r>
              <w:rPr>
                <w:rFonts w:eastAsia="Times New Roman" w:cs="Times New Roman"/>
                <w:spacing w:val="-2"/>
                <w:sz w:val="21"/>
              </w:rPr>
              <w:t>/s</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6.16</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1.97</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firstLine="0" w:firstLineChars="0"/>
              <w:jc w:val="center"/>
              <w:rPr>
                <w:rFonts w:cs="Times New Roman"/>
              </w:rPr>
            </w:pP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2.47</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1.82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4.30</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5.21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1.31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3.51</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0.606</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6.75</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3.50</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exact"/>
          <w:jc w:val="center"/>
        </w:trPr>
        <w:tc>
          <w:tcPr>
            <w:tcW w:w="914" w:type="dxa"/>
            <w:gridSpan w:val="2"/>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pacing w:val="-1"/>
                <w:sz w:val="21"/>
              </w:rPr>
              <w:t>化学需氧量</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28.8</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18.4</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17.5</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17.6</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26.4</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16.0</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24.8</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34.7</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25.2</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17.8</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28.6</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29.7</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exact"/>
          <w:jc w:val="center"/>
        </w:trPr>
        <w:tc>
          <w:tcPr>
            <w:tcW w:w="914" w:type="dxa"/>
            <w:gridSpan w:val="2"/>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pacing w:val="-1"/>
                <w:sz w:val="21"/>
              </w:rPr>
              <w:t>五日生化需氧量</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&lt;2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&lt;2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&lt;2</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&lt;2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2.6</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&lt;2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&lt;2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8.8</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firstLine="0" w:firstLineChars="0"/>
              <w:jc w:val="center"/>
              <w:rPr>
                <w:rFonts w:cs="Times New Roman"/>
              </w:rPr>
            </w:pP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3.2</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5.2</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exact"/>
          <w:jc w:val="center"/>
        </w:trPr>
        <w:tc>
          <w:tcPr>
            <w:tcW w:w="914" w:type="dxa"/>
            <w:gridSpan w:val="2"/>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氨氮</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2.91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2.32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4.60</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1.21</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1.00</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1.75</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1.75</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2.94</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2.50</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0.78</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1.12</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6.25</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jc w:val="center"/>
        </w:trPr>
        <w:tc>
          <w:tcPr>
            <w:tcW w:w="914" w:type="dxa"/>
            <w:gridSpan w:val="2"/>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总磷</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0.218</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0.150</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0.130</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0.088</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0.084</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0.221</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0.095</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0.082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0.098</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0.105</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0.057</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0.151</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jc w:val="center"/>
        </w:trPr>
        <w:tc>
          <w:tcPr>
            <w:tcW w:w="914" w:type="dxa"/>
            <w:gridSpan w:val="2"/>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氟化物</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0.46</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0.84</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0.80</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0.66</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0.74</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0.55</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1.39</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1.40</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0.60</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0.90</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0.95</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0.91</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exact"/>
          <w:jc w:val="center"/>
        </w:trPr>
        <w:tc>
          <w:tcPr>
            <w:tcW w:w="914" w:type="dxa"/>
            <w:gridSpan w:val="2"/>
            <w:vMerge w:val="restart"/>
            <w:tcBorders>
              <w:top w:val="single" w:color="000000" w:sz="4" w:space="0"/>
              <w:left w:val="single" w:color="000000" w:sz="8"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2017</w:t>
            </w:r>
            <w:r>
              <w:rPr>
                <w:rFonts w:eastAsia="Times New Roman" w:cs="Times New Roman"/>
                <w:spacing w:val="-2"/>
                <w:position w:val="1"/>
                <w:sz w:val="21"/>
              </w:rPr>
              <w:t xml:space="preserve"> </w:t>
            </w:r>
            <w:r>
              <w:rPr>
                <w:rFonts w:cs="Times New Roman"/>
                <w:sz w:val="21"/>
              </w:rPr>
              <w:t>年</w:t>
            </w: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流量</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2"/>
                <w:sz w:val="21"/>
              </w:rPr>
              <w:t>m</w:t>
            </w:r>
            <w:r>
              <w:rPr>
                <w:rFonts w:eastAsia="Times New Roman" w:cs="Times New Roman"/>
                <w:spacing w:val="-2"/>
                <w:position w:val="10"/>
                <w:sz w:val="14"/>
              </w:rPr>
              <w:t>3</w:t>
            </w:r>
            <w:r>
              <w:rPr>
                <w:rFonts w:eastAsia="Times New Roman" w:cs="Times New Roman"/>
                <w:spacing w:val="-2"/>
                <w:sz w:val="21"/>
              </w:rPr>
              <w:t>/s</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5.22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3.76</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1.67</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3.51</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4.51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4.56</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3.31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firstLine="0" w:firstLineChars="0"/>
              <w:jc w:val="center"/>
              <w:rPr>
                <w:rFonts w:cs="Times New Roman"/>
              </w:rPr>
            </w:pP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spacing w:line="240" w:lineRule="auto"/>
              <w:ind w:firstLine="0" w:firstLineChars="0"/>
              <w:jc w:val="center"/>
              <w:rPr>
                <w:rFonts w:cs="Times New Roman"/>
              </w:rPr>
            </w:pP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9.1</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6.71</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6.59</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exact"/>
          <w:jc w:val="center"/>
        </w:trPr>
        <w:tc>
          <w:tcPr>
            <w:tcW w:w="914" w:type="dxa"/>
            <w:gridSpan w:val="2"/>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pacing w:val="-1"/>
                <w:sz w:val="21"/>
              </w:rPr>
              <w:t>化学需氧量</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27.1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18.8</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15.8</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26.6</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39.8</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35.8</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46.1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31.4</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20.1</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18.9</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17.9</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&lt;10</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exact"/>
          <w:jc w:val="center"/>
        </w:trPr>
        <w:tc>
          <w:tcPr>
            <w:tcW w:w="914" w:type="dxa"/>
            <w:gridSpan w:val="2"/>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pacing w:val="-1"/>
                <w:sz w:val="21"/>
              </w:rPr>
              <w:t>五日生化需氧量</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&lt;2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&lt;2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4.7</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3.8</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3.7</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4.4</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3.0</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4.5</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3.9</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3.5</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exact"/>
          <w:jc w:val="center"/>
        </w:trPr>
        <w:tc>
          <w:tcPr>
            <w:tcW w:w="914" w:type="dxa"/>
            <w:gridSpan w:val="2"/>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氨氮</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9.87</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5.80</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2.72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4.09</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1.33</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1.56</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2.13</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1.34</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0.894</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0.610</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0.704</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0.406</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exact"/>
          <w:jc w:val="center"/>
        </w:trPr>
        <w:tc>
          <w:tcPr>
            <w:tcW w:w="914" w:type="dxa"/>
            <w:gridSpan w:val="2"/>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总磷</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0.051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0.033</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0.075</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0.019</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0.045</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0.014</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0.037</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0.090</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0.069</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0.041</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&lt;0.01</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0.026</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exact"/>
          <w:jc w:val="center"/>
        </w:trPr>
        <w:tc>
          <w:tcPr>
            <w:tcW w:w="914" w:type="dxa"/>
            <w:gridSpan w:val="2"/>
            <w:vMerge w:val="continue"/>
            <w:tcBorders>
              <w:top w:val="single" w:color="000000" w:sz="4" w:space="0"/>
              <w:left w:val="single" w:color="000000" w:sz="8"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氟化物</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1.08</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1.30</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1.02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1.05</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0.98</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1.07</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0.27</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0.86</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0.93</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0.92</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0.61</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0.56</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exact"/>
          <w:jc w:val="center"/>
        </w:trPr>
        <w:tc>
          <w:tcPr>
            <w:tcW w:w="914" w:type="dxa"/>
            <w:gridSpan w:val="2"/>
            <w:vMerge w:val="restart"/>
            <w:tcBorders>
              <w:top w:val="single" w:color="000000" w:sz="4" w:space="0"/>
              <w:left w:val="single" w:color="000000" w:sz="8"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position w:val="1"/>
                <w:sz w:val="21"/>
              </w:rPr>
              <w:t>2018</w:t>
            </w:r>
            <w:r>
              <w:rPr>
                <w:rFonts w:eastAsia="Times New Roman" w:cs="Times New Roman"/>
                <w:spacing w:val="-2"/>
                <w:position w:val="1"/>
                <w:sz w:val="21"/>
              </w:rPr>
              <w:t xml:space="preserve"> </w:t>
            </w:r>
            <w:r>
              <w:rPr>
                <w:rFonts w:cs="Times New Roman"/>
                <w:sz w:val="21"/>
              </w:rPr>
              <w:t>年</w:t>
            </w: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流量</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2"/>
                <w:sz w:val="21"/>
              </w:rPr>
              <w:t>m</w:t>
            </w:r>
            <w:r>
              <w:rPr>
                <w:rFonts w:eastAsia="Times New Roman" w:cs="Times New Roman"/>
                <w:spacing w:val="-2"/>
                <w:position w:val="10"/>
                <w:sz w:val="14"/>
              </w:rPr>
              <w:t>3</w:t>
            </w:r>
            <w:r>
              <w:rPr>
                <w:rFonts w:eastAsia="Times New Roman" w:cs="Times New Roman"/>
                <w:spacing w:val="-2"/>
                <w:sz w:val="21"/>
              </w:rPr>
              <w:t>/s</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5.99</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3.41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10.8</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10.5</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11.2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6.91</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10.6</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25.8</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25.6</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17.6</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6.45</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6.23</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 w:hRule="exact"/>
          <w:jc w:val="center"/>
        </w:trPr>
        <w:tc>
          <w:tcPr>
            <w:tcW w:w="914" w:type="dxa"/>
            <w:gridSpan w:val="2"/>
            <w:vMerge w:val="continue"/>
            <w:tcBorders>
              <w:left w:val="single" w:color="000000" w:sz="8" w:space="0"/>
              <w:right w:val="single" w:color="000000" w:sz="4" w:space="0"/>
              <w:tl2br w:val="nil"/>
              <w:tr2bl w:val="nil"/>
            </w:tcBorders>
            <w:vAlign w:val="center"/>
          </w:tcPr>
          <w:p>
            <w:pPr>
              <w:spacing w:line="240" w:lineRule="auto"/>
              <w:ind w:firstLine="0" w:firstLineChars="0"/>
              <w:jc w:val="center"/>
              <w:rPr>
                <w:rFonts w:cs="Times New Roman"/>
              </w:rPr>
            </w:pPr>
          </w:p>
        </w:tc>
        <w:tc>
          <w:tcPr>
            <w:tcW w:w="1609"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pacing w:val="-1"/>
                <w:sz w:val="21"/>
              </w:rPr>
              <w:t>化学需氧量</w:t>
            </w:r>
          </w:p>
        </w:tc>
        <w:tc>
          <w:tcPr>
            <w:tcW w:w="667"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11.4</w:t>
            </w:r>
          </w:p>
        </w:tc>
        <w:tc>
          <w:tcPr>
            <w:tcW w:w="738"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20.6</w:t>
            </w:r>
          </w:p>
        </w:tc>
        <w:tc>
          <w:tcPr>
            <w:tcW w:w="738"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25.4</w:t>
            </w:r>
          </w:p>
        </w:tc>
        <w:tc>
          <w:tcPr>
            <w:tcW w:w="738"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30.5</w:t>
            </w:r>
          </w:p>
        </w:tc>
        <w:tc>
          <w:tcPr>
            <w:tcW w:w="738" w:type="dxa"/>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36.8</w:t>
            </w:r>
          </w:p>
        </w:tc>
        <w:tc>
          <w:tcPr>
            <w:tcW w:w="738"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27.7</w:t>
            </w:r>
          </w:p>
        </w:tc>
        <w:tc>
          <w:tcPr>
            <w:tcW w:w="739"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6.20</w:t>
            </w:r>
          </w:p>
        </w:tc>
        <w:tc>
          <w:tcPr>
            <w:tcW w:w="738"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19.4</w:t>
            </w:r>
          </w:p>
        </w:tc>
        <w:tc>
          <w:tcPr>
            <w:tcW w:w="738"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20.6</w:t>
            </w:r>
          </w:p>
        </w:tc>
        <w:tc>
          <w:tcPr>
            <w:tcW w:w="827"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24.6</w:t>
            </w:r>
          </w:p>
        </w:tc>
        <w:tc>
          <w:tcPr>
            <w:tcW w:w="828"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30.2</w:t>
            </w:r>
          </w:p>
        </w:tc>
        <w:tc>
          <w:tcPr>
            <w:tcW w:w="828" w:type="dxa"/>
            <w:gridSpan w:val="2"/>
            <w:tcBorders>
              <w:top w:val="single" w:color="000000" w:sz="10"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14.2</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exact"/>
          <w:jc w:val="center"/>
        </w:trPr>
        <w:tc>
          <w:tcPr>
            <w:tcW w:w="914" w:type="dxa"/>
            <w:gridSpan w:val="2"/>
            <w:vMerge w:val="continue"/>
            <w:tcBorders>
              <w:left w:val="single" w:color="000000" w:sz="8" w:space="0"/>
              <w:right w:val="single" w:color="000000" w:sz="4" w:space="0"/>
              <w:tl2br w:val="nil"/>
              <w:tr2bl w:val="nil"/>
            </w:tcBorders>
            <w:vAlign w:val="center"/>
          </w:tcPr>
          <w:p>
            <w:pPr>
              <w:spacing w:line="240" w:lineRule="auto"/>
              <w:ind w:firstLine="0" w:firstLineChars="0"/>
              <w:jc w:val="center"/>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pacing w:val="-1"/>
                <w:sz w:val="21"/>
              </w:rPr>
              <w:t>五日生化需氧量</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2.0</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&lt;2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&lt;2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3.2</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3.6</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4.5</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&lt;2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4.2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2.1</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4.1</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5.2</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&lt;2</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exact"/>
          <w:jc w:val="center"/>
        </w:trPr>
        <w:tc>
          <w:tcPr>
            <w:tcW w:w="914" w:type="dxa"/>
            <w:gridSpan w:val="2"/>
            <w:vMerge w:val="continue"/>
            <w:tcBorders>
              <w:left w:val="single" w:color="000000" w:sz="8" w:space="0"/>
              <w:right w:val="single" w:color="000000" w:sz="4" w:space="0"/>
              <w:tl2br w:val="nil"/>
              <w:tr2bl w:val="nil"/>
            </w:tcBorders>
            <w:vAlign w:val="center"/>
          </w:tcPr>
          <w:p>
            <w:pPr>
              <w:spacing w:line="240" w:lineRule="auto"/>
              <w:ind w:firstLine="0" w:firstLineChars="0"/>
              <w:jc w:val="center"/>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氨氮</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0.288</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2.05</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1.51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1.71</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1.53</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1.17</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0.944</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1.10</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1.54</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1.68</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2.29</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b/>
                <w:sz w:val="21"/>
              </w:rPr>
              <w:t>1.80</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exact"/>
          <w:jc w:val="center"/>
        </w:trPr>
        <w:tc>
          <w:tcPr>
            <w:tcW w:w="914" w:type="dxa"/>
            <w:gridSpan w:val="2"/>
            <w:vMerge w:val="continue"/>
            <w:tcBorders>
              <w:left w:val="single" w:color="000000" w:sz="8" w:space="0"/>
              <w:right w:val="single" w:color="000000" w:sz="4" w:space="0"/>
              <w:tl2br w:val="nil"/>
              <w:tr2bl w:val="nil"/>
            </w:tcBorders>
            <w:vAlign w:val="center"/>
          </w:tcPr>
          <w:p>
            <w:pPr>
              <w:spacing w:line="240" w:lineRule="auto"/>
              <w:ind w:firstLine="0" w:firstLineChars="0"/>
              <w:jc w:val="center"/>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总磷</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&lt;0.01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0.154</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0.067</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0.029</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0.041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0.013</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&lt;0.01</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0.023</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0.028</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0.035</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0.021</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&lt;0.01</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exact"/>
          <w:jc w:val="center"/>
        </w:trPr>
        <w:tc>
          <w:tcPr>
            <w:tcW w:w="914" w:type="dxa"/>
            <w:gridSpan w:val="2"/>
            <w:vMerge w:val="continue"/>
            <w:tcBorders>
              <w:left w:val="single" w:color="000000" w:sz="8" w:space="0"/>
              <w:bottom w:val="single" w:color="000000" w:sz="4" w:space="0"/>
              <w:right w:val="single" w:color="000000" w:sz="4" w:space="0"/>
              <w:tl2br w:val="nil"/>
              <w:tr2bl w:val="nil"/>
            </w:tcBorders>
            <w:vAlign w:val="center"/>
          </w:tcPr>
          <w:p>
            <w:pPr>
              <w:spacing w:line="240" w:lineRule="auto"/>
              <w:ind w:firstLine="0" w:firstLineChars="0"/>
              <w:jc w:val="center"/>
              <w:rPr>
                <w:rFonts w:cs="Times New Roman"/>
              </w:rPr>
            </w:pPr>
          </w:p>
        </w:tc>
        <w:tc>
          <w:tcPr>
            <w:tcW w:w="160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cs="Times New Roman"/>
                <w:sz w:val="21"/>
              </w:rPr>
              <w:t>氟化物</w:t>
            </w:r>
          </w:p>
        </w:tc>
        <w:tc>
          <w:tcPr>
            <w:tcW w:w="66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pacing w:val="-1"/>
                <w:sz w:val="21"/>
              </w:rPr>
              <w:t>mg/L</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0.65</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0.82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0.86</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0.80</w:t>
            </w:r>
          </w:p>
        </w:tc>
        <w:tc>
          <w:tcPr>
            <w:tcW w:w="738" w:type="dxa"/>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0.58</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1.07</w:t>
            </w:r>
          </w:p>
        </w:tc>
        <w:tc>
          <w:tcPr>
            <w:tcW w:w="73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0.72</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0.96</w:t>
            </w:r>
          </w:p>
        </w:tc>
        <w:tc>
          <w:tcPr>
            <w:tcW w:w="73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0.98</w:t>
            </w:r>
          </w:p>
        </w:tc>
        <w:tc>
          <w:tcPr>
            <w:tcW w:w="827"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0.84</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0.34</w:t>
            </w:r>
          </w:p>
        </w:tc>
        <w:tc>
          <w:tcPr>
            <w:tcW w:w="828"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0.80</w:t>
            </w:r>
          </w:p>
        </w:tc>
        <w:tc>
          <w:tcPr>
            <w:tcW w:w="1719"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pStyle w:val="32"/>
              <w:kinsoku w:val="0"/>
              <w:overflowPunct w:val="0"/>
              <w:spacing w:line="240" w:lineRule="auto"/>
              <w:ind w:firstLine="0" w:firstLineChars="0"/>
              <w:rPr>
                <w:rFonts w:cs="Times New Roman"/>
              </w:rPr>
            </w:pPr>
            <w:r>
              <w:rPr>
                <w:rFonts w:eastAsia="Times New Roman" w:cs="Times New Roman"/>
                <w:sz w:val="21"/>
              </w:rPr>
              <w:t>1.5</w:t>
            </w:r>
          </w:p>
        </w:tc>
      </w:tr>
    </w:tbl>
    <w:p>
      <w:pPr>
        <w:widowControl/>
        <w:autoSpaceDE/>
        <w:autoSpaceDN/>
        <w:spacing w:line="240" w:lineRule="auto"/>
        <w:ind w:firstLine="0" w:firstLineChars="0"/>
        <w:rPr>
          <w:color w:val="000000" w:themeColor="text1"/>
        </w:rPr>
      </w:pPr>
    </w:p>
    <w:p>
      <w:pPr>
        <w:ind w:firstLine="480"/>
        <w:rPr>
          <w:color w:val="000000" w:themeColor="text1"/>
        </w:rPr>
      </w:pPr>
      <w:r>
        <w:rPr>
          <w:rFonts w:hint="eastAsia"/>
          <w:color w:val="000000" w:themeColor="text1"/>
        </w:rPr>
        <w:t>由表3.3-2至3.3-4可知，马莲河水质监测项目中，COD、氨氮出现了不同程度的超标，不能满足《地表水环境质量标准》（GB3838-2002）Ⅳ类标准，马莲河枯水期现状水质超标无环境容量，但从超标程度来看，超标倍数变小，马莲河水质有所改善。</w:t>
      </w:r>
    </w:p>
    <w:p>
      <w:pPr>
        <w:ind w:firstLine="0" w:firstLineChars="0"/>
        <w:rPr>
          <w:color w:val="000000" w:themeColor="text1"/>
        </w:rPr>
        <w:sectPr>
          <w:pgSz w:w="16840" w:h="11910" w:orient="landscape"/>
          <w:pgMar w:top="1338" w:right="1661" w:bottom="1321" w:left="1361" w:header="1086" w:footer="1164" w:gutter="0"/>
          <w:cols w:space="720" w:num="1"/>
        </w:sectPr>
      </w:pPr>
    </w:p>
    <w:p>
      <w:pPr>
        <w:pStyle w:val="5"/>
      </w:pPr>
      <w:r>
        <w:rPr>
          <w:rFonts w:hint="eastAsia"/>
        </w:rPr>
        <w:t>3</w:t>
      </w:r>
      <w:r>
        <w:t>.</w:t>
      </w:r>
      <w:r>
        <w:rPr>
          <w:rFonts w:hint="eastAsia"/>
        </w:rPr>
        <w:t>3</w:t>
      </w:r>
      <w:r>
        <w:t>.</w:t>
      </w:r>
      <w:r>
        <w:rPr>
          <w:rFonts w:hint="eastAsia"/>
        </w:rPr>
        <w:t>1</w:t>
      </w:r>
      <w:r>
        <w:t>.</w:t>
      </w:r>
      <w:r>
        <w:rPr>
          <w:rFonts w:hint="eastAsia"/>
        </w:rPr>
        <w:t>2监测断面特征污染物浓度分析</w:t>
      </w:r>
    </w:p>
    <w:p>
      <w:pPr>
        <w:pStyle w:val="7"/>
        <w:autoSpaceDE/>
        <w:autoSpaceDN/>
        <w:ind w:firstLine="199" w:firstLineChars="83"/>
        <w:jc w:val="both"/>
      </w:pPr>
      <w:r>
        <w:rPr>
          <w:rFonts w:hint="eastAsia"/>
        </w:rPr>
        <w:t>（</w:t>
      </w:r>
      <w:r>
        <w:rPr>
          <w:rFonts w:eastAsia="Times New Roman"/>
        </w:rPr>
        <w:t>1</w:t>
      </w:r>
      <w:r>
        <w:rPr>
          <w:rFonts w:hint="eastAsia"/>
        </w:rPr>
        <w:t>）曲子断面特征污染物浓度分析</w:t>
      </w:r>
    </w:p>
    <w:p>
      <w:pPr>
        <w:ind w:firstLine="468"/>
        <w:rPr>
          <w:spacing w:val="-3"/>
        </w:rPr>
      </w:pPr>
      <w:r>
        <w:rPr>
          <w:rFonts w:hint="eastAsia"/>
          <w:spacing w:val="-3"/>
        </w:rPr>
        <w:t xml:space="preserve">针对曲子断面 </w:t>
      </w:r>
      <w:r>
        <w:rPr>
          <w:spacing w:val="-3"/>
        </w:rPr>
        <w:t>2016</w:t>
      </w:r>
      <w:r>
        <w:rPr>
          <w:rFonts w:hint="eastAsia"/>
          <w:spacing w:val="-3"/>
        </w:rPr>
        <w:t>～</w:t>
      </w:r>
      <w:r>
        <w:rPr>
          <w:spacing w:val="-3"/>
        </w:rPr>
        <w:t xml:space="preserve">2018 </w:t>
      </w:r>
      <w:r>
        <w:rPr>
          <w:rFonts w:hint="eastAsia"/>
          <w:spacing w:val="-3"/>
        </w:rPr>
        <w:t xml:space="preserve">年不同月份 </w:t>
      </w:r>
      <w:r>
        <w:rPr>
          <w:spacing w:val="-3"/>
        </w:rPr>
        <w:t xml:space="preserve">COD </w:t>
      </w:r>
      <w:r>
        <w:rPr>
          <w:rFonts w:hint="eastAsia"/>
          <w:spacing w:val="-3"/>
        </w:rPr>
        <w:t>和氨氮浓度进行分析，按季节来看，低温枯水季节（</w:t>
      </w:r>
      <w:r>
        <w:rPr>
          <w:spacing w:val="-3"/>
        </w:rPr>
        <w:t>12</w:t>
      </w:r>
      <w:r>
        <w:rPr>
          <w:rFonts w:hint="eastAsia"/>
          <w:spacing w:val="-3"/>
        </w:rPr>
        <w:t>月、</w:t>
      </w:r>
      <w:r>
        <w:rPr>
          <w:spacing w:val="-3"/>
        </w:rPr>
        <w:t>1</w:t>
      </w:r>
      <w:r>
        <w:rPr>
          <w:rFonts w:hint="eastAsia"/>
          <w:spacing w:val="-3"/>
        </w:rPr>
        <w:t>月、</w:t>
      </w:r>
      <w:r>
        <w:rPr>
          <w:spacing w:val="-3"/>
        </w:rPr>
        <w:t>2</w:t>
      </w:r>
      <w:r>
        <w:rPr>
          <w:rFonts w:hint="eastAsia"/>
          <w:spacing w:val="-3"/>
        </w:rPr>
        <w:t>月、</w:t>
      </w:r>
      <w:r>
        <w:rPr>
          <w:spacing w:val="-3"/>
        </w:rPr>
        <w:t>3</w:t>
      </w:r>
      <w:r>
        <w:rPr>
          <w:rFonts w:hint="eastAsia"/>
          <w:spacing w:val="-3"/>
        </w:rPr>
        <w:t xml:space="preserve">月）马莲河 </w:t>
      </w:r>
      <w:r>
        <w:rPr>
          <w:spacing w:val="-3"/>
        </w:rPr>
        <w:t>COD</w:t>
      </w:r>
      <w:r>
        <w:rPr>
          <w:rFonts w:hint="eastAsia"/>
          <w:spacing w:val="-3"/>
        </w:rPr>
        <w:t xml:space="preserve">和氨氮浓度超过地表水Ⅳ类标准，超标幅度较大，主要由于枯水期河道流量较小，河流稀释自净能力较小造成的。汛期马莲河 </w:t>
      </w:r>
      <w:r>
        <w:rPr>
          <w:spacing w:val="-3"/>
        </w:rPr>
        <w:t>COD</w:t>
      </w:r>
      <w:r>
        <w:rPr>
          <w:rFonts w:hint="eastAsia"/>
          <w:spacing w:val="-3"/>
        </w:rPr>
        <w:t xml:space="preserve">和氨氮浓度超过地表水 </w:t>
      </w:r>
      <w:r>
        <w:rPr>
          <w:spacing w:val="-3"/>
        </w:rPr>
        <w:t>IV</w:t>
      </w:r>
      <w:r>
        <w:rPr>
          <w:rFonts w:hint="eastAsia"/>
          <w:spacing w:val="-3"/>
        </w:rPr>
        <w:t>类标准，主要由于上游来水及降雨将一些污染物带入河流造成的。</w:t>
      </w:r>
      <w:r>
        <w:rPr>
          <w:spacing w:val="-3"/>
        </w:rPr>
        <w:t>COD</w:t>
      </w:r>
      <w:r>
        <w:rPr>
          <w:rFonts w:hint="eastAsia"/>
          <w:spacing w:val="-3"/>
        </w:rPr>
        <w:t xml:space="preserve">浓度 </w:t>
      </w:r>
      <w:r>
        <w:rPr>
          <w:spacing w:val="-3"/>
        </w:rPr>
        <w:t>2017</w:t>
      </w:r>
      <w:r>
        <w:rPr>
          <w:rFonts w:hint="eastAsia"/>
          <w:spacing w:val="-3"/>
        </w:rPr>
        <w:t xml:space="preserve">年 </w:t>
      </w:r>
      <w:r>
        <w:rPr>
          <w:spacing w:val="-3"/>
        </w:rPr>
        <w:t>9</w:t>
      </w:r>
      <w:r>
        <w:rPr>
          <w:rFonts w:hint="eastAsia"/>
          <w:spacing w:val="-3"/>
        </w:rPr>
        <w:t xml:space="preserve">月份最大，达到了 </w:t>
      </w:r>
      <w:r>
        <w:rPr>
          <w:spacing w:val="-3"/>
        </w:rPr>
        <w:t>130mg/L</w:t>
      </w:r>
      <w:r>
        <w:rPr>
          <w:rFonts w:hint="eastAsia"/>
          <w:spacing w:val="-3"/>
        </w:rPr>
        <w:t xml:space="preserve">，超标 </w:t>
      </w:r>
      <w:r>
        <w:rPr>
          <w:spacing w:val="-3"/>
        </w:rPr>
        <w:t>4.3</w:t>
      </w:r>
      <w:r>
        <w:rPr>
          <w:rFonts w:hint="eastAsia"/>
          <w:spacing w:val="-3"/>
        </w:rPr>
        <w:t xml:space="preserve">倍。氨氮浓度 </w:t>
      </w:r>
      <w:r>
        <w:rPr>
          <w:spacing w:val="-3"/>
        </w:rPr>
        <w:t>2018</w:t>
      </w:r>
      <w:r>
        <w:rPr>
          <w:rFonts w:hint="eastAsia"/>
          <w:spacing w:val="-3"/>
        </w:rPr>
        <w:t xml:space="preserve">年 </w:t>
      </w:r>
      <w:r>
        <w:rPr>
          <w:spacing w:val="-3"/>
        </w:rPr>
        <w:t>1</w:t>
      </w:r>
      <w:r>
        <w:rPr>
          <w:rFonts w:hint="eastAsia"/>
          <w:spacing w:val="-3"/>
        </w:rPr>
        <w:t xml:space="preserve">月份最大，达到了 </w:t>
      </w:r>
      <w:r>
        <w:rPr>
          <w:spacing w:val="-3"/>
        </w:rPr>
        <w:t>7.92mg/L</w:t>
      </w:r>
      <w:r>
        <w:rPr>
          <w:rFonts w:hint="eastAsia"/>
          <w:spacing w:val="-3"/>
        </w:rPr>
        <w:t xml:space="preserve">，超标 </w:t>
      </w:r>
      <w:r>
        <w:rPr>
          <w:spacing w:val="-3"/>
        </w:rPr>
        <w:t xml:space="preserve">5.28 </w:t>
      </w:r>
      <w:r>
        <w:rPr>
          <w:rFonts w:hint="eastAsia"/>
          <w:spacing w:val="-3"/>
        </w:rPr>
        <w:t>倍。</w:t>
      </w:r>
    </w:p>
    <w:p>
      <w:pPr>
        <w:ind w:firstLine="468"/>
        <w:rPr>
          <w:spacing w:val="-3"/>
        </w:rPr>
      </w:pPr>
      <w:r>
        <w:rPr>
          <w:rFonts w:hint="eastAsia"/>
          <w:spacing w:val="-3"/>
        </w:rPr>
        <w:t xml:space="preserve">按年度分析，对 </w:t>
      </w:r>
      <w:r>
        <w:rPr>
          <w:spacing w:val="-3"/>
        </w:rPr>
        <w:t>2016</w:t>
      </w:r>
      <w:r>
        <w:rPr>
          <w:rFonts w:hint="eastAsia"/>
          <w:spacing w:val="-3"/>
        </w:rPr>
        <w:t>～</w:t>
      </w:r>
      <w:r>
        <w:rPr>
          <w:spacing w:val="-3"/>
        </w:rPr>
        <w:t>2018</w:t>
      </w:r>
      <w:r>
        <w:rPr>
          <w:rFonts w:hint="eastAsia"/>
          <w:spacing w:val="-3"/>
        </w:rPr>
        <w:t xml:space="preserve">年每个月 </w:t>
      </w:r>
      <w:r>
        <w:rPr>
          <w:spacing w:val="-3"/>
        </w:rPr>
        <w:t>COD</w:t>
      </w:r>
      <w:r>
        <w:rPr>
          <w:rFonts w:hint="eastAsia"/>
          <w:spacing w:val="-3"/>
        </w:rPr>
        <w:t>监测浓度求平均值，</w:t>
      </w:r>
      <w:r>
        <w:rPr>
          <w:spacing w:val="-3"/>
        </w:rPr>
        <w:t>2016</w:t>
      </w:r>
      <w:r>
        <w:rPr>
          <w:rFonts w:hint="eastAsia"/>
          <w:spacing w:val="-3"/>
        </w:rPr>
        <w:t xml:space="preserve">年 </w:t>
      </w:r>
      <w:r>
        <w:rPr>
          <w:spacing w:val="-3"/>
        </w:rPr>
        <w:t>COD</w:t>
      </w:r>
      <w:r>
        <w:rPr>
          <w:rFonts w:hint="eastAsia"/>
          <w:spacing w:val="-3"/>
        </w:rPr>
        <w:t xml:space="preserve">平均浓度 </w:t>
      </w:r>
      <w:r>
        <w:rPr>
          <w:spacing w:val="-3"/>
        </w:rPr>
        <w:t>99.2mg/L</w:t>
      </w:r>
      <w:r>
        <w:rPr>
          <w:rFonts w:hint="eastAsia"/>
          <w:spacing w:val="-3"/>
        </w:rPr>
        <w:t>，</w:t>
      </w:r>
      <w:r>
        <w:rPr>
          <w:spacing w:val="-3"/>
        </w:rPr>
        <w:t>2017</w:t>
      </w:r>
      <w:r>
        <w:rPr>
          <w:rFonts w:hint="eastAsia"/>
          <w:spacing w:val="-3"/>
        </w:rPr>
        <w:t xml:space="preserve">年 </w:t>
      </w:r>
      <w:r>
        <w:rPr>
          <w:spacing w:val="-3"/>
        </w:rPr>
        <w:t>87mg/L</w:t>
      </w:r>
      <w:r>
        <w:rPr>
          <w:rFonts w:hint="eastAsia"/>
          <w:spacing w:val="-3"/>
        </w:rPr>
        <w:t>，</w:t>
      </w:r>
      <w:r>
        <w:rPr>
          <w:spacing w:val="-3"/>
        </w:rPr>
        <w:t>2018</w:t>
      </w:r>
      <w:r>
        <w:rPr>
          <w:rFonts w:hint="eastAsia"/>
          <w:spacing w:val="-3"/>
        </w:rPr>
        <w:t xml:space="preserve">年 </w:t>
      </w:r>
      <w:r>
        <w:rPr>
          <w:spacing w:val="-3"/>
        </w:rPr>
        <w:t>40mg/L</w:t>
      </w:r>
      <w:r>
        <w:rPr>
          <w:rFonts w:hint="eastAsia"/>
          <w:spacing w:val="-3"/>
        </w:rPr>
        <w:t xml:space="preserve">。曲子断面 </w:t>
      </w:r>
      <w:r>
        <w:rPr>
          <w:spacing w:val="-3"/>
        </w:rPr>
        <w:t>2018</w:t>
      </w:r>
      <w:r>
        <w:rPr>
          <w:rFonts w:hint="eastAsia"/>
          <w:spacing w:val="-3"/>
        </w:rPr>
        <w:t xml:space="preserve">年 </w:t>
      </w:r>
      <w:r>
        <w:rPr>
          <w:spacing w:val="-3"/>
        </w:rPr>
        <w:t>COD</w:t>
      </w:r>
      <w:r>
        <w:rPr>
          <w:rFonts w:hint="eastAsia"/>
          <w:spacing w:val="-3"/>
        </w:rPr>
        <w:t xml:space="preserve">浓度整体较 </w:t>
      </w:r>
      <w:r>
        <w:rPr>
          <w:spacing w:val="-3"/>
        </w:rPr>
        <w:t>2016</w:t>
      </w:r>
      <w:r>
        <w:rPr>
          <w:rFonts w:hint="eastAsia"/>
          <w:spacing w:val="-3"/>
        </w:rPr>
        <w:t>、</w:t>
      </w:r>
      <w:r>
        <w:rPr>
          <w:spacing w:val="-3"/>
        </w:rPr>
        <w:t>2017</w:t>
      </w:r>
      <w:r>
        <w:rPr>
          <w:rFonts w:hint="eastAsia"/>
          <w:spacing w:val="-3"/>
        </w:rPr>
        <w:t xml:space="preserve">年小，水质呈转好趋势。且在 </w:t>
      </w:r>
      <w:r>
        <w:rPr>
          <w:spacing w:val="-3"/>
        </w:rPr>
        <w:t>2018</w:t>
      </w:r>
      <w:r>
        <w:rPr>
          <w:rFonts w:hint="eastAsia"/>
          <w:spacing w:val="-3"/>
        </w:rPr>
        <w:t xml:space="preserve">年 </w:t>
      </w:r>
      <w:r>
        <w:rPr>
          <w:spacing w:val="-3"/>
        </w:rPr>
        <w:t>2</w:t>
      </w:r>
      <w:r>
        <w:rPr>
          <w:rFonts w:hint="eastAsia"/>
          <w:spacing w:val="-3"/>
        </w:rPr>
        <w:t xml:space="preserve">月份和 </w:t>
      </w:r>
      <w:r>
        <w:rPr>
          <w:spacing w:val="-3"/>
        </w:rPr>
        <w:t>8</w:t>
      </w:r>
      <w:r>
        <w:rPr>
          <w:rFonts w:hint="eastAsia"/>
          <w:spacing w:val="-3"/>
        </w:rPr>
        <w:t xml:space="preserve">月份小于地表水Ⅳ类标准限值。对 </w:t>
      </w:r>
      <w:r>
        <w:rPr>
          <w:spacing w:val="-3"/>
        </w:rPr>
        <w:t>2016</w:t>
      </w:r>
      <w:r>
        <w:rPr>
          <w:rFonts w:hint="eastAsia"/>
          <w:spacing w:val="-3"/>
        </w:rPr>
        <w:t>～</w:t>
      </w:r>
      <w:r>
        <w:rPr>
          <w:spacing w:val="-3"/>
        </w:rPr>
        <w:t>2018</w:t>
      </w:r>
      <w:r>
        <w:rPr>
          <w:rFonts w:hint="eastAsia"/>
          <w:spacing w:val="-3"/>
        </w:rPr>
        <w:t>年每个月氨氮监测浓度求平均值，</w:t>
      </w:r>
      <w:r>
        <w:rPr>
          <w:spacing w:val="-3"/>
        </w:rPr>
        <w:t>2016</w:t>
      </w:r>
      <w:r>
        <w:rPr>
          <w:rFonts w:hint="eastAsia"/>
          <w:spacing w:val="-3"/>
        </w:rPr>
        <w:t xml:space="preserve">年氨氮平均浓度 </w:t>
      </w:r>
      <w:r>
        <w:rPr>
          <w:spacing w:val="-3"/>
        </w:rPr>
        <w:t>1.46mg/L</w:t>
      </w:r>
      <w:r>
        <w:rPr>
          <w:rFonts w:hint="eastAsia"/>
          <w:spacing w:val="-3"/>
        </w:rPr>
        <w:t>，</w:t>
      </w:r>
      <w:r>
        <w:rPr>
          <w:spacing w:val="-3"/>
        </w:rPr>
        <w:t>2017</w:t>
      </w:r>
      <w:r>
        <w:rPr>
          <w:rFonts w:hint="eastAsia"/>
          <w:spacing w:val="-3"/>
        </w:rPr>
        <w:t xml:space="preserve">年 </w:t>
      </w:r>
      <w:r>
        <w:rPr>
          <w:spacing w:val="-3"/>
        </w:rPr>
        <w:t>1.34mg/L</w:t>
      </w:r>
      <w:r>
        <w:rPr>
          <w:rFonts w:hint="eastAsia"/>
          <w:spacing w:val="-3"/>
        </w:rPr>
        <w:t>，</w:t>
      </w:r>
      <w:r>
        <w:rPr>
          <w:spacing w:val="-3"/>
        </w:rPr>
        <w:t>2018</w:t>
      </w:r>
      <w:r>
        <w:rPr>
          <w:rFonts w:hint="eastAsia"/>
          <w:spacing w:val="-3"/>
        </w:rPr>
        <w:t xml:space="preserve">年 </w:t>
      </w:r>
      <w:r>
        <w:rPr>
          <w:spacing w:val="-3"/>
        </w:rPr>
        <w:t>3.9mg/L</w:t>
      </w:r>
      <w:r>
        <w:rPr>
          <w:rFonts w:hint="eastAsia"/>
          <w:spacing w:val="-3"/>
        </w:rPr>
        <w:t>。</w:t>
      </w:r>
    </w:p>
    <w:p>
      <w:pPr>
        <w:pStyle w:val="7"/>
        <w:autoSpaceDE/>
        <w:autoSpaceDN/>
        <w:ind w:firstLine="480"/>
        <w:jc w:val="both"/>
      </w:pPr>
      <w:r>
        <w:rPr>
          <w:rFonts w:hint="eastAsia"/>
        </w:rPr>
        <w:t>（</w:t>
      </w:r>
      <w:r>
        <w:rPr>
          <w:rFonts w:eastAsia="Times New Roman"/>
        </w:rPr>
        <w:t>2</w:t>
      </w:r>
      <w:r>
        <w:rPr>
          <w:rFonts w:hint="eastAsia"/>
        </w:rPr>
        <w:t>）庆阳断面特征污染物浓度分析</w:t>
      </w:r>
    </w:p>
    <w:p>
      <w:pPr>
        <w:pStyle w:val="7"/>
        <w:autoSpaceDE/>
        <w:autoSpaceDN/>
        <w:ind w:firstLine="468"/>
        <w:jc w:val="both"/>
        <w:rPr>
          <w:spacing w:val="-3"/>
          <w:szCs w:val="22"/>
        </w:rPr>
      </w:pPr>
      <w:r>
        <w:rPr>
          <w:rFonts w:hint="eastAsia"/>
          <w:spacing w:val="-3"/>
          <w:szCs w:val="22"/>
        </w:rPr>
        <w:t xml:space="preserve">针对庆阳断面 </w:t>
      </w:r>
      <w:r>
        <w:rPr>
          <w:spacing w:val="-3"/>
          <w:szCs w:val="22"/>
        </w:rPr>
        <w:t>2016</w:t>
      </w:r>
      <w:r>
        <w:rPr>
          <w:rFonts w:hint="eastAsia"/>
          <w:spacing w:val="-3"/>
          <w:szCs w:val="22"/>
        </w:rPr>
        <w:t>～</w:t>
      </w:r>
      <w:r>
        <w:rPr>
          <w:spacing w:val="-3"/>
          <w:szCs w:val="22"/>
        </w:rPr>
        <w:t>2018</w:t>
      </w:r>
      <w:r>
        <w:rPr>
          <w:rFonts w:hint="eastAsia"/>
          <w:spacing w:val="-3"/>
          <w:szCs w:val="22"/>
        </w:rPr>
        <w:t xml:space="preserve">年不同月份 </w:t>
      </w:r>
      <w:r>
        <w:rPr>
          <w:spacing w:val="-3"/>
          <w:szCs w:val="22"/>
        </w:rPr>
        <w:t>COD</w:t>
      </w:r>
      <w:r>
        <w:rPr>
          <w:rFonts w:hint="eastAsia"/>
          <w:spacing w:val="-3"/>
          <w:szCs w:val="22"/>
        </w:rPr>
        <w:t>和氨氮浓度进行分析，，， 按季节来看，低温枯水季节（</w:t>
      </w:r>
      <w:r>
        <w:rPr>
          <w:spacing w:val="-3"/>
          <w:szCs w:val="22"/>
        </w:rPr>
        <w:t>12</w:t>
      </w:r>
      <w:r>
        <w:rPr>
          <w:rFonts w:hint="eastAsia"/>
          <w:spacing w:val="-3"/>
          <w:szCs w:val="22"/>
        </w:rPr>
        <w:t>月、</w:t>
      </w:r>
      <w:r>
        <w:rPr>
          <w:spacing w:val="-3"/>
          <w:szCs w:val="22"/>
        </w:rPr>
        <w:t>1</w:t>
      </w:r>
      <w:r>
        <w:rPr>
          <w:rFonts w:hint="eastAsia"/>
          <w:spacing w:val="-3"/>
          <w:szCs w:val="22"/>
        </w:rPr>
        <w:t>月、</w:t>
      </w:r>
      <w:r>
        <w:rPr>
          <w:spacing w:val="-3"/>
          <w:szCs w:val="22"/>
        </w:rPr>
        <w:t>2</w:t>
      </w:r>
      <w:r>
        <w:rPr>
          <w:rFonts w:hint="eastAsia"/>
          <w:spacing w:val="-3"/>
          <w:szCs w:val="22"/>
        </w:rPr>
        <w:t>月、</w:t>
      </w:r>
      <w:r>
        <w:rPr>
          <w:spacing w:val="-3"/>
          <w:szCs w:val="22"/>
        </w:rPr>
        <w:t>3</w:t>
      </w:r>
      <w:r>
        <w:rPr>
          <w:rFonts w:hint="eastAsia"/>
          <w:spacing w:val="-3"/>
          <w:szCs w:val="22"/>
        </w:rPr>
        <w:t xml:space="preserve">月）马莲河 </w:t>
      </w:r>
      <w:r>
        <w:rPr>
          <w:spacing w:val="-3"/>
          <w:szCs w:val="22"/>
        </w:rPr>
        <w:t>COD</w:t>
      </w:r>
      <w:r>
        <w:rPr>
          <w:rFonts w:hint="eastAsia"/>
          <w:spacing w:val="-3"/>
          <w:szCs w:val="22"/>
        </w:rPr>
        <w:t xml:space="preserve">和氨氮浓度超过地表水Ⅳ类标准，超标幅度较大，主要由于枯水期河道流量较小，河流稀释自净能力较小造成的。汛期马莲河 </w:t>
      </w:r>
      <w:r>
        <w:rPr>
          <w:spacing w:val="-3"/>
          <w:szCs w:val="22"/>
        </w:rPr>
        <w:t>COD</w:t>
      </w:r>
      <w:r>
        <w:rPr>
          <w:rFonts w:hint="eastAsia"/>
          <w:spacing w:val="-3"/>
          <w:szCs w:val="22"/>
        </w:rPr>
        <w:t xml:space="preserve">和氨氮浓度超过地表水 </w:t>
      </w:r>
      <w:r>
        <w:rPr>
          <w:spacing w:val="-3"/>
          <w:szCs w:val="22"/>
        </w:rPr>
        <w:t xml:space="preserve">IV </w:t>
      </w:r>
      <w:r>
        <w:rPr>
          <w:rFonts w:hint="eastAsia"/>
          <w:spacing w:val="-3"/>
          <w:szCs w:val="22"/>
        </w:rPr>
        <w:t>类标准，主要由于上游来水及降雨将一些污染物带入河流造成的。</w:t>
      </w:r>
      <w:r>
        <w:rPr>
          <w:spacing w:val="-3"/>
          <w:szCs w:val="22"/>
        </w:rPr>
        <w:t xml:space="preserve">COD </w:t>
      </w:r>
      <w:r>
        <w:rPr>
          <w:rFonts w:hint="eastAsia"/>
          <w:spacing w:val="-3"/>
          <w:szCs w:val="22"/>
        </w:rPr>
        <w:t xml:space="preserve">浓度 </w:t>
      </w:r>
      <w:r>
        <w:rPr>
          <w:spacing w:val="-3"/>
          <w:szCs w:val="22"/>
        </w:rPr>
        <w:t>2016</w:t>
      </w:r>
      <w:r>
        <w:rPr>
          <w:rFonts w:hint="eastAsia"/>
          <w:spacing w:val="-3"/>
          <w:szCs w:val="22"/>
        </w:rPr>
        <w:t xml:space="preserve">年 </w:t>
      </w:r>
      <w:r>
        <w:rPr>
          <w:spacing w:val="-3"/>
          <w:szCs w:val="22"/>
        </w:rPr>
        <w:t>9</w:t>
      </w:r>
      <w:r>
        <w:rPr>
          <w:rFonts w:hint="eastAsia"/>
          <w:spacing w:val="-3"/>
          <w:szCs w:val="22"/>
        </w:rPr>
        <w:t>月份最大，达到了</w:t>
      </w:r>
      <w:r>
        <w:rPr>
          <w:spacing w:val="-3"/>
          <w:szCs w:val="22"/>
        </w:rPr>
        <w:t>100mg/L</w:t>
      </w:r>
      <w:r>
        <w:rPr>
          <w:rFonts w:hint="eastAsia"/>
          <w:spacing w:val="-3"/>
          <w:szCs w:val="22"/>
        </w:rPr>
        <w:t xml:space="preserve">，超标 </w:t>
      </w:r>
      <w:r>
        <w:rPr>
          <w:spacing w:val="-3"/>
          <w:szCs w:val="22"/>
        </w:rPr>
        <w:t>3.3</w:t>
      </w:r>
      <w:r>
        <w:rPr>
          <w:rFonts w:hint="eastAsia"/>
          <w:spacing w:val="-3"/>
          <w:szCs w:val="22"/>
        </w:rPr>
        <w:t xml:space="preserve">倍。氨氮浓度 </w:t>
      </w:r>
      <w:r>
        <w:rPr>
          <w:spacing w:val="-3"/>
          <w:szCs w:val="22"/>
        </w:rPr>
        <w:t>2018</w:t>
      </w:r>
      <w:r>
        <w:rPr>
          <w:rFonts w:hint="eastAsia"/>
          <w:spacing w:val="-3"/>
          <w:szCs w:val="22"/>
        </w:rPr>
        <w:t xml:space="preserve">年 </w:t>
      </w:r>
      <w:r>
        <w:rPr>
          <w:spacing w:val="-3"/>
          <w:szCs w:val="22"/>
        </w:rPr>
        <w:t>3</w:t>
      </w:r>
      <w:r>
        <w:rPr>
          <w:rFonts w:hint="eastAsia"/>
          <w:spacing w:val="-3"/>
          <w:szCs w:val="22"/>
        </w:rPr>
        <w:t xml:space="preserve">月份最大，达到了 </w:t>
      </w:r>
      <w:r>
        <w:rPr>
          <w:spacing w:val="-3"/>
          <w:szCs w:val="22"/>
        </w:rPr>
        <w:t>4.92mg/L</w:t>
      </w:r>
      <w:r>
        <w:rPr>
          <w:rFonts w:hint="eastAsia"/>
          <w:spacing w:val="-3"/>
          <w:szCs w:val="22"/>
        </w:rPr>
        <w:t xml:space="preserve">，超标 </w:t>
      </w:r>
      <w:r>
        <w:rPr>
          <w:spacing w:val="-3"/>
          <w:szCs w:val="22"/>
        </w:rPr>
        <w:t>3.28</w:t>
      </w:r>
      <w:r>
        <w:rPr>
          <w:rFonts w:hint="eastAsia"/>
          <w:spacing w:val="-3"/>
          <w:szCs w:val="22"/>
        </w:rPr>
        <w:t>倍。</w:t>
      </w:r>
    </w:p>
    <w:p>
      <w:pPr>
        <w:ind w:firstLine="468"/>
        <w:rPr>
          <w:spacing w:val="-3"/>
        </w:rPr>
      </w:pPr>
      <w:r>
        <w:rPr>
          <w:rFonts w:hint="eastAsia"/>
          <w:spacing w:val="-3"/>
        </w:rPr>
        <w:t xml:space="preserve">按年度分析，对 </w:t>
      </w:r>
      <w:r>
        <w:rPr>
          <w:spacing w:val="-3"/>
        </w:rPr>
        <w:t>2016</w:t>
      </w:r>
      <w:r>
        <w:rPr>
          <w:rFonts w:hint="eastAsia"/>
          <w:spacing w:val="-3"/>
        </w:rPr>
        <w:t>～</w:t>
      </w:r>
      <w:r>
        <w:rPr>
          <w:spacing w:val="-3"/>
        </w:rPr>
        <w:t>2018</w:t>
      </w:r>
      <w:r>
        <w:rPr>
          <w:rFonts w:hint="eastAsia"/>
          <w:spacing w:val="-3"/>
        </w:rPr>
        <w:t xml:space="preserve">年每个月 </w:t>
      </w:r>
      <w:r>
        <w:rPr>
          <w:spacing w:val="-3"/>
        </w:rPr>
        <w:t>COD</w:t>
      </w:r>
      <w:r>
        <w:rPr>
          <w:rFonts w:hint="eastAsia"/>
          <w:spacing w:val="-3"/>
        </w:rPr>
        <w:t>监测浓度求平均值，</w:t>
      </w:r>
      <w:r>
        <w:rPr>
          <w:spacing w:val="-3"/>
        </w:rPr>
        <w:t>2016</w:t>
      </w:r>
      <w:r>
        <w:rPr>
          <w:rFonts w:hint="eastAsia"/>
          <w:spacing w:val="-3"/>
        </w:rPr>
        <w:t xml:space="preserve">年 </w:t>
      </w:r>
      <w:r>
        <w:rPr>
          <w:spacing w:val="-3"/>
        </w:rPr>
        <w:t>COD</w:t>
      </w:r>
      <w:r>
        <w:rPr>
          <w:rFonts w:hint="eastAsia"/>
          <w:spacing w:val="-3"/>
        </w:rPr>
        <w:t xml:space="preserve">平均浓度 </w:t>
      </w:r>
      <w:r>
        <w:rPr>
          <w:spacing w:val="-3"/>
        </w:rPr>
        <w:t>75.38mg/L</w:t>
      </w:r>
      <w:r>
        <w:rPr>
          <w:rFonts w:hint="eastAsia"/>
          <w:spacing w:val="-3"/>
        </w:rPr>
        <w:t>，</w:t>
      </w:r>
      <w:r>
        <w:rPr>
          <w:spacing w:val="-3"/>
        </w:rPr>
        <w:t>2017</w:t>
      </w:r>
      <w:r>
        <w:rPr>
          <w:rFonts w:hint="eastAsia"/>
          <w:spacing w:val="-3"/>
        </w:rPr>
        <w:t xml:space="preserve">年 </w:t>
      </w:r>
      <w:r>
        <w:rPr>
          <w:spacing w:val="-3"/>
        </w:rPr>
        <w:t>66.45mg/L</w:t>
      </w:r>
      <w:r>
        <w:rPr>
          <w:rFonts w:hint="eastAsia"/>
          <w:spacing w:val="-3"/>
        </w:rPr>
        <w:t>，</w:t>
      </w:r>
      <w:r>
        <w:rPr>
          <w:spacing w:val="-3"/>
        </w:rPr>
        <w:t>2018</w:t>
      </w:r>
      <w:r>
        <w:rPr>
          <w:rFonts w:hint="eastAsia"/>
          <w:spacing w:val="-3"/>
        </w:rPr>
        <w:t xml:space="preserve">年 </w:t>
      </w:r>
      <w:r>
        <w:rPr>
          <w:spacing w:val="-3"/>
        </w:rPr>
        <w:t>32.94mg/L</w:t>
      </w:r>
      <w:r>
        <w:rPr>
          <w:rFonts w:hint="eastAsia"/>
          <w:spacing w:val="-3"/>
        </w:rPr>
        <w:t xml:space="preserve">。水质呈现转好趋势，在 </w:t>
      </w:r>
      <w:r>
        <w:rPr>
          <w:spacing w:val="-3"/>
        </w:rPr>
        <w:t>2018</w:t>
      </w:r>
      <w:r>
        <w:rPr>
          <w:rFonts w:hint="eastAsia"/>
          <w:spacing w:val="-3"/>
        </w:rPr>
        <w:t xml:space="preserve">年 </w:t>
      </w:r>
      <w:r>
        <w:rPr>
          <w:spacing w:val="-3"/>
        </w:rPr>
        <w:t>2</w:t>
      </w:r>
      <w:r>
        <w:rPr>
          <w:rFonts w:hint="eastAsia"/>
          <w:spacing w:val="-3"/>
        </w:rPr>
        <w:t>、</w:t>
      </w:r>
      <w:r>
        <w:rPr>
          <w:spacing w:val="-3"/>
        </w:rPr>
        <w:t xml:space="preserve">3 </w:t>
      </w:r>
      <w:r>
        <w:rPr>
          <w:rFonts w:hint="eastAsia"/>
          <w:spacing w:val="-3"/>
        </w:rPr>
        <w:t xml:space="preserve">月份和 </w:t>
      </w:r>
      <w:r>
        <w:rPr>
          <w:spacing w:val="-3"/>
        </w:rPr>
        <w:t>6</w:t>
      </w:r>
      <w:r>
        <w:rPr>
          <w:rFonts w:hint="eastAsia"/>
          <w:spacing w:val="-3"/>
        </w:rPr>
        <w:t>、</w:t>
      </w:r>
      <w:r>
        <w:rPr>
          <w:spacing w:val="-3"/>
        </w:rPr>
        <w:t>7</w:t>
      </w:r>
      <w:r>
        <w:rPr>
          <w:rFonts w:hint="eastAsia"/>
          <w:spacing w:val="-3"/>
        </w:rPr>
        <w:t>、</w:t>
      </w:r>
      <w:r>
        <w:rPr>
          <w:spacing w:val="-3"/>
        </w:rPr>
        <w:t xml:space="preserve">8 </w:t>
      </w:r>
      <w:r>
        <w:rPr>
          <w:rFonts w:hint="eastAsia"/>
          <w:spacing w:val="-3"/>
        </w:rPr>
        <w:t xml:space="preserve">月份小于地表水Ⅳ类标准限值。对 </w:t>
      </w:r>
      <w:r>
        <w:rPr>
          <w:spacing w:val="-3"/>
        </w:rPr>
        <w:t>2016</w:t>
      </w:r>
      <w:r>
        <w:rPr>
          <w:rFonts w:hint="eastAsia"/>
          <w:spacing w:val="-3"/>
        </w:rPr>
        <w:t>～</w:t>
      </w:r>
      <w:r>
        <w:rPr>
          <w:spacing w:val="-3"/>
        </w:rPr>
        <w:t xml:space="preserve">2018 </w:t>
      </w:r>
      <w:r>
        <w:rPr>
          <w:rFonts w:hint="eastAsia"/>
          <w:spacing w:val="-3"/>
        </w:rPr>
        <w:t>年每个月氨氮监测浓度求平均值，</w:t>
      </w:r>
      <w:r>
        <w:rPr>
          <w:spacing w:val="-3"/>
        </w:rPr>
        <w:t>2016</w:t>
      </w:r>
      <w:r>
        <w:rPr>
          <w:rFonts w:hint="eastAsia"/>
          <w:spacing w:val="-3"/>
        </w:rPr>
        <w:t xml:space="preserve">年氨氮平均浓度 </w:t>
      </w:r>
      <w:r>
        <w:rPr>
          <w:spacing w:val="-3"/>
        </w:rPr>
        <w:t>1.53mg/L</w:t>
      </w:r>
      <w:r>
        <w:rPr>
          <w:rFonts w:hint="eastAsia"/>
          <w:spacing w:val="-3"/>
        </w:rPr>
        <w:t>，</w:t>
      </w:r>
      <w:r>
        <w:rPr>
          <w:spacing w:val="-3"/>
        </w:rPr>
        <w:t>2017</w:t>
      </w:r>
      <w:r>
        <w:rPr>
          <w:rFonts w:hint="eastAsia"/>
          <w:spacing w:val="-3"/>
        </w:rPr>
        <w:t xml:space="preserve">年 </w:t>
      </w:r>
      <w:r>
        <w:rPr>
          <w:spacing w:val="-3"/>
        </w:rPr>
        <w:t>1.81mg/L</w:t>
      </w:r>
      <w:r>
        <w:rPr>
          <w:rFonts w:hint="eastAsia"/>
          <w:spacing w:val="-3"/>
        </w:rPr>
        <w:t>，</w:t>
      </w:r>
      <w:r>
        <w:rPr>
          <w:spacing w:val="-3"/>
        </w:rPr>
        <w:t>2018</w:t>
      </w:r>
      <w:r>
        <w:rPr>
          <w:rFonts w:hint="eastAsia"/>
          <w:spacing w:val="-3"/>
        </w:rPr>
        <w:t xml:space="preserve">年 </w:t>
      </w:r>
      <w:r>
        <w:rPr>
          <w:spacing w:val="-3"/>
        </w:rPr>
        <w:t>2.57mg/L</w:t>
      </w:r>
      <w:r>
        <w:rPr>
          <w:rFonts w:hint="eastAsia"/>
          <w:spacing w:val="-3"/>
        </w:rPr>
        <w:t>。</w:t>
      </w:r>
    </w:p>
    <w:p>
      <w:pPr>
        <w:pStyle w:val="7"/>
        <w:autoSpaceDE/>
        <w:autoSpaceDN/>
        <w:ind w:firstLine="468"/>
        <w:jc w:val="both"/>
        <w:rPr>
          <w:spacing w:val="-3"/>
          <w:szCs w:val="22"/>
        </w:rPr>
      </w:pPr>
      <w:r>
        <w:rPr>
          <w:spacing w:val="-3"/>
          <w:szCs w:val="22"/>
        </w:rPr>
        <w:t>（3）雨落坪断面特征污染物浓度分析</w:t>
      </w:r>
    </w:p>
    <w:p>
      <w:pPr>
        <w:pStyle w:val="7"/>
        <w:autoSpaceDE/>
        <w:autoSpaceDN/>
        <w:ind w:firstLine="468"/>
        <w:jc w:val="both"/>
        <w:rPr>
          <w:spacing w:val="-3"/>
          <w:szCs w:val="22"/>
        </w:rPr>
      </w:pPr>
      <w:r>
        <w:rPr>
          <w:spacing w:val="-3"/>
          <w:szCs w:val="22"/>
        </w:rPr>
        <w:t>对雨落坪断面 2016～2018 年不同月份 COD 和氨氮浓度进行分析，按季节来看， 低温枯水季节（12月、1月、2月、3月）马莲河雨落坪断面 COD和氨氮浓度超过地表水Ⅳ类标准，超标幅度较大。雨落坪断面处流量变大，河流自净能力和稀释能力变强，但由于小河沟（接纳西峰区火巷沟、兰州东路、庆城县驿马镇排污）、砚瓦川（接纳西峰区小崆峒、董志南庙、红杏山庄、天富亿排污）、烂泥沟（接纳宁县和盛镇排污、焦村镇排污，距出境断面约 17公里范围）、古宜沟（接纳宁县早胜镇污水，距出境断面约 5公里范围）汇入，水质状况改善效果不理想。COD浓度2017年7月份最大，达到了46.1mg/L，超标 1.53倍。氨氮浓度 2017 年 1 月份最大，达到了 9.87mg/L，超标 6.58倍。</w:t>
      </w:r>
    </w:p>
    <w:p>
      <w:pPr>
        <w:pStyle w:val="7"/>
        <w:autoSpaceDE/>
        <w:autoSpaceDN/>
        <w:ind w:firstLine="468"/>
        <w:jc w:val="both"/>
        <w:rPr>
          <w:spacing w:val="-3"/>
          <w:szCs w:val="22"/>
        </w:rPr>
      </w:pPr>
      <w:r>
        <w:rPr>
          <w:spacing w:val="-3"/>
          <w:szCs w:val="22"/>
        </w:rPr>
        <w:t>按年度分析，对 2016～2018年每月 COD监测浓度求平均值，2016年 COD平均浓度 23.79mg/L</w:t>
      </w:r>
      <w:r>
        <w:rPr>
          <w:rFonts w:hint="eastAsia"/>
          <w:spacing w:val="-3"/>
          <w:szCs w:val="22"/>
        </w:rPr>
        <w:t>，2017</w:t>
      </w:r>
      <w:r>
        <w:rPr>
          <w:spacing w:val="-3"/>
          <w:szCs w:val="22"/>
        </w:rPr>
        <w:t>年 25.69mg/L</w:t>
      </w:r>
      <w:r>
        <w:rPr>
          <w:rFonts w:hint="eastAsia"/>
          <w:spacing w:val="-3"/>
          <w:szCs w:val="22"/>
        </w:rPr>
        <w:t>，2018</w:t>
      </w:r>
      <w:r>
        <w:rPr>
          <w:spacing w:val="-3"/>
          <w:szCs w:val="22"/>
        </w:rPr>
        <w:t>年 22.23mg/L</w:t>
      </w:r>
      <w:r>
        <w:rPr>
          <w:rFonts w:hint="eastAsia"/>
          <w:spacing w:val="-3"/>
          <w:szCs w:val="22"/>
        </w:rPr>
        <w:t>，雨落坪2018</w:t>
      </w:r>
      <w:r>
        <w:rPr>
          <w:spacing w:val="-3"/>
          <w:szCs w:val="22"/>
        </w:rPr>
        <w:t>年 COD浓度整体较 2016、2017年小。对 2016～2018年每月氨氮监测浓度求平均值，2016年氨氮平均浓度 2.42mg/L，2017年 1.34mg/L，2018 年 1.46mg/L。总体而言，由于支流的汇入，马莲河雨落坪断面的水质优于曲子和庆阳断面。</w:t>
      </w:r>
    </w:p>
    <w:p>
      <w:pPr>
        <w:pStyle w:val="4"/>
      </w:pPr>
      <w:r>
        <w:rPr>
          <w:rFonts w:hint="eastAsia"/>
        </w:rPr>
        <w:t>3.3.2补充调查监测</w:t>
      </w:r>
    </w:p>
    <w:p>
      <w:pPr>
        <w:ind w:firstLine="468"/>
      </w:pPr>
      <w:r>
        <w:rPr>
          <w:spacing w:val="-3"/>
        </w:rPr>
        <w:t>根据</w:t>
      </w:r>
      <w:r>
        <w:rPr>
          <w:rFonts w:hint="eastAsia"/>
        </w:rPr>
        <w:t>合水县何家畔镇何家畔村截污控源工程</w:t>
      </w:r>
      <w:r>
        <w:rPr>
          <w:spacing w:val="-3"/>
        </w:rPr>
        <w:t>入河排污口论证需要，</w:t>
      </w:r>
      <w:r>
        <w:rPr>
          <w:rFonts w:hint="eastAsia"/>
          <w:spacing w:val="-3"/>
        </w:rPr>
        <w:t>采用前期所测数据，该数据为</w:t>
      </w:r>
      <w:r>
        <w:rPr>
          <w:rFonts w:eastAsia="Times New Roman"/>
        </w:rPr>
        <w:t>20</w:t>
      </w:r>
      <w:r>
        <w:rPr>
          <w:rFonts w:hint="eastAsia" w:eastAsiaTheme="minorEastAsia"/>
        </w:rPr>
        <w:t>18</w:t>
      </w:r>
      <w:r>
        <w:rPr>
          <w:spacing w:val="-30"/>
        </w:rPr>
        <w:t xml:space="preserve">年 </w:t>
      </w:r>
      <w:r>
        <w:rPr>
          <w:rFonts w:hint="eastAsia" w:eastAsiaTheme="minorEastAsia"/>
        </w:rPr>
        <w:t>5</w:t>
      </w:r>
      <w:r>
        <w:rPr>
          <w:spacing w:val="-30"/>
        </w:rPr>
        <w:t xml:space="preserve">月 </w:t>
      </w:r>
      <w:r>
        <w:rPr>
          <w:rFonts w:hint="eastAsia" w:eastAsiaTheme="minorEastAsia"/>
        </w:rPr>
        <w:t>30</w:t>
      </w:r>
      <w:r>
        <w:t>日</w:t>
      </w:r>
      <w:r>
        <w:rPr>
          <w:rFonts w:hint="eastAsia"/>
        </w:rPr>
        <w:t>-2018年6月1日</w:t>
      </w:r>
      <w:r>
        <w:t>对纳污河段水质进行了取样补测，送检验检测单位进行检测。依据《地表水资源质</w:t>
      </w:r>
      <w:r>
        <w:rPr>
          <w:spacing w:val="-11"/>
        </w:rPr>
        <w:t>量评价技术规程》</w:t>
      </w:r>
      <w:r>
        <w:rPr>
          <w:spacing w:val="-4"/>
        </w:rPr>
        <w:t>（</w:t>
      </w:r>
      <w:r>
        <w:rPr>
          <w:rFonts w:eastAsia="Times New Roman"/>
          <w:spacing w:val="-4"/>
        </w:rPr>
        <w:t>SL395-2007</w:t>
      </w:r>
      <w:r>
        <w:rPr>
          <w:spacing w:val="-4"/>
        </w:rPr>
        <w:t>）</w:t>
      </w:r>
      <w:r>
        <w:rPr>
          <w:spacing w:val="-1"/>
        </w:rPr>
        <w:t>河流现状水质和水功能区达标情况进行分析评价。</w:t>
      </w:r>
    </w:p>
    <w:p>
      <w:pPr>
        <w:pStyle w:val="5"/>
      </w:pPr>
      <w:r>
        <w:t>3.3.</w:t>
      </w:r>
      <w:r>
        <w:rPr>
          <w:rFonts w:hint="eastAsia"/>
        </w:rPr>
        <w:t>2</w:t>
      </w:r>
      <w:r>
        <w:t>.</w:t>
      </w:r>
      <w:r>
        <w:rPr>
          <w:rFonts w:hint="eastAsia"/>
        </w:rPr>
        <w:t>1</w:t>
      </w:r>
      <w:r>
        <w:t>监测断面</w:t>
      </w:r>
    </w:p>
    <w:p>
      <w:pPr>
        <w:ind w:firstLine="480"/>
      </w:pPr>
      <w:r>
        <w:rPr>
          <w:rFonts w:hint="eastAsia"/>
        </w:rPr>
        <w:t>由于合水县何家畔镇何家畔村</w:t>
      </w:r>
      <w:r>
        <w:t>污水处理厂入河排污口</w:t>
      </w:r>
      <w:r>
        <w:rPr>
          <w:rFonts w:hint="eastAsia"/>
        </w:rPr>
        <w:t>为新建入河排污口</w:t>
      </w:r>
      <w:r>
        <w:t>，</w:t>
      </w:r>
      <w:r>
        <w:rPr>
          <w:rFonts w:hint="eastAsia"/>
        </w:rPr>
        <w:t>处理后污水进入盖家川，最终汇入马莲河。此次数据在入河排污口的上游500米，设置对照断面，断面位置见图3.3-2。</w:t>
      </w:r>
    </w:p>
    <w:p>
      <w:pPr>
        <w:tabs>
          <w:tab w:val="left" w:pos="3213"/>
        </w:tabs>
        <w:autoSpaceDE/>
        <w:autoSpaceDN/>
        <w:ind w:left="299" w:firstLine="422"/>
        <w:jc w:val="center"/>
        <w:rPr>
          <w:rFonts w:eastAsiaTheme="minorEastAsia" w:cstheme="minorBidi"/>
          <w:b/>
          <w:kern w:val="2"/>
          <w:sz w:val="21"/>
          <w:lang w:val="en-US" w:bidi="ar-SA"/>
        </w:rPr>
      </w:pPr>
      <w:r>
        <w:rPr>
          <w:rFonts w:hint="eastAsia" w:eastAsiaTheme="minorEastAsia" w:cstheme="minorBidi"/>
          <w:b/>
          <w:kern w:val="2"/>
          <w:sz w:val="21"/>
          <w:lang w:val="en-US" w:bidi="ar-SA"/>
        </w:rPr>
        <w:t>表</w:t>
      </w:r>
      <w:r>
        <w:rPr>
          <w:rFonts w:eastAsia="Times New Roman" w:cstheme="minorBidi"/>
          <w:b/>
          <w:kern w:val="2"/>
          <w:sz w:val="21"/>
          <w:lang w:val="en-US" w:bidi="ar-SA"/>
        </w:rPr>
        <w:t>3.</w:t>
      </w:r>
      <w:r>
        <w:rPr>
          <w:rFonts w:hint="eastAsia" w:eastAsiaTheme="minorEastAsia" w:cstheme="minorBidi"/>
          <w:b/>
          <w:kern w:val="2"/>
          <w:sz w:val="21"/>
          <w:lang w:val="en-US" w:bidi="ar-SA"/>
        </w:rPr>
        <w:t>3</w:t>
      </w:r>
      <w:r>
        <w:rPr>
          <w:rFonts w:eastAsia="Times New Roman" w:cstheme="minorBidi"/>
          <w:b/>
          <w:kern w:val="2"/>
          <w:sz w:val="21"/>
          <w:lang w:val="en-US" w:bidi="ar-SA"/>
        </w:rPr>
        <w:t>-</w:t>
      </w:r>
      <w:r>
        <w:rPr>
          <w:rFonts w:hint="eastAsia" w:eastAsiaTheme="minorEastAsia" w:cstheme="minorBidi"/>
          <w:b/>
          <w:kern w:val="2"/>
          <w:sz w:val="21"/>
          <w:lang w:val="en-US" w:bidi="ar-SA"/>
        </w:rPr>
        <w:t>4监测断面布设</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3"/>
        <w:gridCol w:w="1060"/>
        <w:gridCol w:w="1060"/>
        <w:gridCol w:w="3219"/>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restart"/>
            <w:vAlign w:val="center"/>
          </w:tcPr>
          <w:p>
            <w:pPr>
              <w:tabs>
                <w:tab w:val="left" w:pos="3213"/>
              </w:tabs>
              <w:autoSpaceDE/>
              <w:autoSpaceDN/>
              <w:ind w:firstLine="0" w:firstLineChars="0"/>
              <w:jc w:val="center"/>
              <w:rPr>
                <w:rFonts w:eastAsiaTheme="minorEastAsia" w:cstheme="minorBidi"/>
                <w:b/>
                <w:kern w:val="2"/>
                <w:sz w:val="21"/>
                <w:lang w:val="en-US" w:bidi="ar-SA"/>
              </w:rPr>
            </w:pPr>
            <w:r>
              <w:rPr>
                <w:rFonts w:hint="eastAsia" w:eastAsiaTheme="minorEastAsia" w:cstheme="minorBidi"/>
                <w:b/>
                <w:kern w:val="2"/>
                <w:sz w:val="21"/>
                <w:lang w:val="en-US" w:bidi="ar-SA"/>
              </w:rPr>
              <w:t>所在一级水</w:t>
            </w:r>
            <w:r>
              <w:rPr>
                <w:rFonts w:eastAsiaTheme="minorEastAsia" w:cstheme="minorBidi"/>
                <w:b/>
                <w:kern w:val="2"/>
                <w:sz w:val="21"/>
                <w:lang w:val="en-US" w:bidi="ar-SA"/>
              </w:rPr>
              <w:t>功能区</w:t>
            </w:r>
          </w:p>
        </w:tc>
        <w:tc>
          <w:tcPr>
            <w:tcW w:w="0" w:type="auto"/>
            <w:gridSpan w:val="2"/>
            <w:vAlign w:val="center"/>
          </w:tcPr>
          <w:p>
            <w:pPr>
              <w:tabs>
                <w:tab w:val="left" w:pos="3213"/>
              </w:tabs>
              <w:autoSpaceDE/>
              <w:autoSpaceDN/>
              <w:ind w:firstLine="0" w:firstLineChars="0"/>
              <w:jc w:val="center"/>
              <w:rPr>
                <w:rFonts w:eastAsiaTheme="minorEastAsia" w:cstheme="minorBidi"/>
                <w:b/>
                <w:kern w:val="2"/>
                <w:sz w:val="21"/>
                <w:lang w:val="en-US" w:bidi="ar-SA"/>
              </w:rPr>
            </w:pPr>
            <w:r>
              <w:rPr>
                <w:rFonts w:hint="eastAsia" w:eastAsiaTheme="minorEastAsia" w:cstheme="minorBidi"/>
                <w:b/>
                <w:kern w:val="2"/>
                <w:sz w:val="21"/>
                <w:lang w:val="en-US" w:bidi="ar-SA"/>
              </w:rPr>
              <w:t>范围</w:t>
            </w:r>
          </w:p>
        </w:tc>
        <w:tc>
          <w:tcPr>
            <w:tcW w:w="3219" w:type="dxa"/>
            <w:vMerge w:val="restart"/>
            <w:vAlign w:val="center"/>
          </w:tcPr>
          <w:p>
            <w:pPr>
              <w:tabs>
                <w:tab w:val="left" w:pos="3213"/>
              </w:tabs>
              <w:autoSpaceDE/>
              <w:autoSpaceDN/>
              <w:ind w:firstLine="0" w:firstLineChars="0"/>
              <w:jc w:val="center"/>
              <w:rPr>
                <w:rFonts w:eastAsiaTheme="minorEastAsia" w:cstheme="minorBidi"/>
                <w:b/>
                <w:kern w:val="2"/>
                <w:sz w:val="21"/>
                <w:lang w:val="en-US" w:bidi="ar-SA"/>
              </w:rPr>
            </w:pPr>
            <w:r>
              <w:rPr>
                <w:rFonts w:hint="eastAsia" w:eastAsiaTheme="minorEastAsia" w:cstheme="minorBidi"/>
                <w:b/>
                <w:kern w:val="2"/>
                <w:sz w:val="21"/>
                <w:lang w:val="en-US" w:bidi="ar-SA"/>
              </w:rPr>
              <w:t>补充调查监测断面</w:t>
            </w:r>
          </w:p>
        </w:tc>
        <w:tc>
          <w:tcPr>
            <w:tcW w:w="1243" w:type="dxa"/>
            <w:vMerge w:val="restart"/>
            <w:vAlign w:val="center"/>
          </w:tcPr>
          <w:p>
            <w:pPr>
              <w:tabs>
                <w:tab w:val="left" w:pos="3213"/>
              </w:tabs>
              <w:autoSpaceDE/>
              <w:autoSpaceDN/>
              <w:ind w:firstLine="0" w:firstLineChars="0"/>
              <w:jc w:val="center"/>
              <w:rPr>
                <w:rFonts w:eastAsiaTheme="minorEastAsia" w:cstheme="minorBidi"/>
                <w:b/>
                <w:kern w:val="2"/>
                <w:sz w:val="21"/>
                <w:lang w:val="en-US" w:bidi="ar-SA"/>
              </w:rPr>
            </w:pPr>
            <w:r>
              <w:rPr>
                <w:rFonts w:hint="eastAsia" w:eastAsiaTheme="minorEastAsia" w:cstheme="minorBidi"/>
                <w:b/>
                <w:kern w:val="2"/>
                <w:sz w:val="21"/>
                <w:lang w:val="en-US" w:bidi="ar-SA"/>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Merge w:val="continue"/>
          </w:tcPr>
          <w:p>
            <w:pPr>
              <w:tabs>
                <w:tab w:val="left" w:pos="3213"/>
              </w:tabs>
              <w:autoSpaceDE/>
              <w:autoSpaceDN/>
              <w:ind w:firstLine="422"/>
              <w:jc w:val="center"/>
              <w:rPr>
                <w:rFonts w:eastAsiaTheme="minorEastAsia" w:cstheme="minorBidi"/>
                <w:b/>
                <w:kern w:val="2"/>
                <w:sz w:val="21"/>
                <w:lang w:val="en-US" w:bidi="ar-SA"/>
              </w:rPr>
            </w:pPr>
          </w:p>
        </w:tc>
        <w:tc>
          <w:tcPr>
            <w:tcW w:w="0" w:type="auto"/>
            <w:vAlign w:val="center"/>
          </w:tcPr>
          <w:p>
            <w:pPr>
              <w:tabs>
                <w:tab w:val="left" w:pos="3213"/>
              </w:tabs>
              <w:autoSpaceDE/>
              <w:autoSpaceDN/>
              <w:ind w:firstLine="0" w:firstLineChars="0"/>
              <w:jc w:val="center"/>
              <w:rPr>
                <w:rFonts w:eastAsiaTheme="minorEastAsia" w:cstheme="minorBidi"/>
                <w:b/>
                <w:kern w:val="2"/>
                <w:sz w:val="21"/>
                <w:lang w:val="en-US" w:bidi="ar-SA"/>
              </w:rPr>
            </w:pPr>
            <w:r>
              <w:rPr>
                <w:rFonts w:hint="eastAsia" w:eastAsiaTheme="minorEastAsia" w:cstheme="minorBidi"/>
                <w:b/>
                <w:kern w:val="2"/>
                <w:sz w:val="21"/>
                <w:lang w:val="en-US" w:bidi="ar-SA"/>
              </w:rPr>
              <w:t>起始断面</w:t>
            </w:r>
          </w:p>
        </w:tc>
        <w:tc>
          <w:tcPr>
            <w:tcW w:w="0" w:type="auto"/>
            <w:vAlign w:val="center"/>
          </w:tcPr>
          <w:p>
            <w:pPr>
              <w:tabs>
                <w:tab w:val="left" w:pos="3213"/>
              </w:tabs>
              <w:autoSpaceDE/>
              <w:autoSpaceDN/>
              <w:ind w:firstLine="0" w:firstLineChars="0"/>
              <w:jc w:val="center"/>
              <w:rPr>
                <w:rFonts w:eastAsiaTheme="minorEastAsia" w:cstheme="minorBidi"/>
                <w:b/>
                <w:kern w:val="2"/>
                <w:sz w:val="21"/>
                <w:lang w:val="en-US" w:bidi="ar-SA"/>
              </w:rPr>
            </w:pPr>
            <w:r>
              <w:rPr>
                <w:rFonts w:hint="eastAsia" w:eastAsiaTheme="minorEastAsia" w:cstheme="minorBidi"/>
                <w:b/>
                <w:kern w:val="2"/>
                <w:sz w:val="21"/>
                <w:lang w:val="en-US" w:bidi="ar-SA"/>
              </w:rPr>
              <w:t>终止断面</w:t>
            </w:r>
          </w:p>
        </w:tc>
        <w:tc>
          <w:tcPr>
            <w:tcW w:w="3219" w:type="dxa"/>
            <w:vMerge w:val="continue"/>
          </w:tcPr>
          <w:p>
            <w:pPr>
              <w:tabs>
                <w:tab w:val="left" w:pos="3213"/>
              </w:tabs>
              <w:autoSpaceDE/>
              <w:autoSpaceDN/>
              <w:ind w:firstLine="422"/>
              <w:jc w:val="center"/>
              <w:rPr>
                <w:rFonts w:eastAsiaTheme="minorEastAsia" w:cstheme="minorBidi"/>
                <w:b/>
                <w:kern w:val="2"/>
                <w:sz w:val="21"/>
                <w:lang w:val="en-US" w:bidi="ar-SA"/>
              </w:rPr>
            </w:pPr>
          </w:p>
        </w:tc>
        <w:tc>
          <w:tcPr>
            <w:tcW w:w="1243" w:type="dxa"/>
            <w:vMerge w:val="continue"/>
          </w:tcPr>
          <w:p>
            <w:pPr>
              <w:tabs>
                <w:tab w:val="left" w:pos="3213"/>
              </w:tabs>
              <w:autoSpaceDE/>
              <w:autoSpaceDN/>
              <w:ind w:firstLine="422"/>
              <w:jc w:val="center"/>
              <w:rPr>
                <w:rFonts w:eastAsiaTheme="minorEastAsia" w:cstheme="minorBidi"/>
                <w:b/>
                <w:kern w:val="2"/>
                <w:sz w:val="21"/>
                <w:lang w:val="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3" w:type="dxa"/>
            <w:vAlign w:val="center"/>
          </w:tcPr>
          <w:p>
            <w:pPr>
              <w:tabs>
                <w:tab w:val="left" w:pos="3213"/>
              </w:tabs>
              <w:autoSpaceDE/>
              <w:autoSpaceDN/>
              <w:ind w:firstLine="0" w:firstLineChars="0"/>
              <w:rPr>
                <w:rFonts w:eastAsiaTheme="minorEastAsia" w:cstheme="minorBidi"/>
                <w:b/>
                <w:color w:val="000000" w:themeColor="text1"/>
                <w:kern w:val="2"/>
                <w:sz w:val="21"/>
                <w:lang w:val="en-US" w:bidi="ar-SA"/>
              </w:rPr>
            </w:pPr>
            <w:r>
              <w:rPr>
                <w:rFonts w:hint="eastAsia"/>
                <w:sz w:val="21"/>
              </w:rPr>
              <w:t>马莲河环县、庆城、合水、宁县开发利用区</w:t>
            </w:r>
          </w:p>
        </w:tc>
        <w:tc>
          <w:tcPr>
            <w:tcW w:w="0" w:type="auto"/>
            <w:vAlign w:val="center"/>
          </w:tcPr>
          <w:p>
            <w:pPr>
              <w:tabs>
                <w:tab w:val="left" w:pos="3213"/>
              </w:tabs>
              <w:autoSpaceDE/>
              <w:autoSpaceDN/>
              <w:ind w:firstLine="0" w:firstLineChars="0"/>
              <w:rPr>
                <w:rFonts w:eastAsiaTheme="minorEastAsia" w:cstheme="minorBidi"/>
                <w:color w:val="000000" w:themeColor="text1"/>
                <w:kern w:val="2"/>
                <w:sz w:val="21"/>
                <w:lang w:val="en-US" w:bidi="ar-SA"/>
              </w:rPr>
            </w:pPr>
            <w:r>
              <w:rPr>
                <w:rFonts w:hint="eastAsia"/>
                <w:color w:val="000000" w:themeColor="text1"/>
                <w:sz w:val="21"/>
              </w:rPr>
              <w:t>洪德站</w:t>
            </w:r>
          </w:p>
        </w:tc>
        <w:tc>
          <w:tcPr>
            <w:tcW w:w="0" w:type="auto"/>
            <w:vAlign w:val="center"/>
          </w:tcPr>
          <w:p>
            <w:pPr>
              <w:tabs>
                <w:tab w:val="left" w:pos="3213"/>
              </w:tabs>
              <w:autoSpaceDE/>
              <w:autoSpaceDN/>
              <w:ind w:firstLine="0" w:firstLineChars="0"/>
              <w:rPr>
                <w:rFonts w:eastAsiaTheme="minorEastAsia" w:cstheme="minorBidi"/>
                <w:color w:val="000000" w:themeColor="text1"/>
                <w:kern w:val="2"/>
                <w:sz w:val="21"/>
                <w:lang w:val="en-US" w:bidi="ar-SA"/>
              </w:rPr>
            </w:pPr>
            <w:r>
              <w:rPr>
                <w:rFonts w:hint="eastAsia"/>
                <w:color w:val="000000" w:themeColor="text1"/>
                <w:sz w:val="21"/>
              </w:rPr>
              <w:t>入泾河口</w:t>
            </w:r>
          </w:p>
        </w:tc>
        <w:tc>
          <w:tcPr>
            <w:tcW w:w="3219" w:type="dxa"/>
            <w:vAlign w:val="center"/>
          </w:tcPr>
          <w:p>
            <w:pPr>
              <w:tabs>
                <w:tab w:val="left" w:pos="3213"/>
              </w:tabs>
              <w:autoSpaceDE/>
              <w:autoSpaceDN/>
              <w:ind w:firstLine="0" w:firstLineChars="0"/>
              <w:rPr>
                <w:rFonts w:eastAsiaTheme="minorEastAsia" w:cstheme="minorBidi"/>
                <w:kern w:val="2"/>
                <w:sz w:val="21"/>
                <w:lang w:val="en-US" w:bidi="ar-SA"/>
              </w:rPr>
            </w:pPr>
            <w:r>
              <w:rPr>
                <w:rFonts w:hint="eastAsia" w:eastAsiaTheme="minorEastAsia" w:cstheme="minorBidi"/>
                <w:kern w:val="2"/>
                <w:sz w:val="21"/>
                <w:lang w:val="en-US" w:bidi="ar-SA"/>
              </w:rPr>
              <w:t>排污口入盖家川上游500m</w:t>
            </w:r>
          </w:p>
        </w:tc>
        <w:tc>
          <w:tcPr>
            <w:tcW w:w="1243" w:type="dxa"/>
            <w:vAlign w:val="center"/>
          </w:tcPr>
          <w:p>
            <w:pPr>
              <w:tabs>
                <w:tab w:val="left" w:pos="3213"/>
              </w:tabs>
              <w:autoSpaceDE/>
              <w:autoSpaceDN/>
              <w:ind w:firstLine="0" w:firstLineChars="0"/>
              <w:rPr>
                <w:rFonts w:eastAsiaTheme="minorEastAsia" w:cstheme="minorBidi"/>
                <w:kern w:val="2"/>
                <w:sz w:val="21"/>
                <w:lang w:val="en-US" w:bidi="ar-SA"/>
              </w:rPr>
            </w:pPr>
            <w:r>
              <w:rPr>
                <w:rFonts w:hint="eastAsia" w:eastAsiaTheme="minorEastAsia" w:cstheme="minorBidi"/>
                <w:kern w:val="2"/>
                <w:sz w:val="21"/>
                <w:lang w:val="en-US" w:bidi="ar-SA"/>
              </w:rPr>
              <w:t>对照断面</w:t>
            </w:r>
          </w:p>
        </w:tc>
      </w:tr>
    </w:tbl>
    <w:p>
      <w:pPr>
        <w:tabs>
          <w:tab w:val="left" w:pos="3213"/>
        </w:tabs>
        <w:autoSpaceDE/>
        <w:autoSpaceDN/>
        <w:ind w:left="299" w:firstLine="422"/>
        <w:jc w:val="center"/>
        <w:rPr>
          <w:rFonts w:eastAsiaTheme="minorEastAsia" w:cstheme="minorBidi"/>
          <w:b/>
          <w:kern w:val="2"/>
          <w:sz w:val="21"/>
          <w:lang w:val="en-US" w:bidi="ar-SA"/>
        </w:rPr>
      </w:pPr>
    </w:p>
    <w:p>
      <w:pPr>
        <w:tabs>
          <w:tab w:val="left" w:pos="3213"/>
        </w:tabs>
        <w:autoSpaceDE/>
        <w:autoSpaceDN/>
        <w:ind w:left="299" w:firstLine="422"/>
        <w:jc w:val="center"/>
        <w:rPr>
          <w:rFonts w:eastAsiaTheme="minorEastAsia" w:cstheme="minorBidi"/>
          <w:b/>
          <w:kern w:val="2"/>
          <w:sz w:val="21"/>
          <w:lang w:val="en-US" w:bidi="ar-SA"/>
        </w:rPr>
      </w:pPr>
    </w:p>
    <w:p>
      <w:pPr>
        <w:tabs>
          <w:tab w:val="left" w:pos="3213"/>
        </w:tabs>
        <w:autoSpaceDE/>
        <w:autoSpaceDN/>
        <w:ind w:firstLine="0" w:firstLineChars="0"/>
        <w:rPr>
          <w:rFonts w:eastAsiaTheme="minorEastAsia" w:cstheme="minorBidi"/>
          <w:b/>
          <w:kern w:val="2"/>
          <w:sz w:val="21"/>
          <w:lang w:val="en-US" w:bidi="ar-SA"/>
        </w:rPr>
      </w:pPr>
    </w:p>
    <w:p>
      <w:pPr>
        <w:tabs>
          <w:tab w:val="left" w:pos="3213"/>
        </w:tabs>
        <w:autoSpaceDE/>
        <w:autoSpaceDN/>
        <w:ind w:firstLine="0" w:firstLineChars="0"/>
        <w:rPr>
          <w:rFonts w:eastAsiaTheme="minorEastAsia" w:cstheme="minorBidi"/>
          <w:b/>
          <w:kern w:val="2"/>
          <w:sz w:val="21"/>
          <w:lang w:val="en-US" w:bidi="ar-SA"/>
        </w:rPr>
      </w:pPr>
    </w:p>
    <w:p>
      <w:pPr>
        <w:tabs>
          <w:tab w:val="left" w:pos="3213"/>
        </w:tabs>
        <w:autoSpaceDE/>
        <w:autoSpaceDN/>
        <w:ind w:firstLine="0" w:firstLineChars="0"/>
        <w:rPr>
          <w:rFonts w:eastAsiaTheme="minorEastAsia" w:cstheme="minorBidi"/>
          <w:b/>
          <w:kern w:val="2"/>
          <w:sz w:val="21"/>
          <w:lang w:val="en-US" w:bidi="ar-SA"/>
        </w:rPr>
      </w:pPr>
    </w:p>
    <w:p>
      <w:pPr>
        <w:tabs>
          <w:tab w:val="left" w:pos="3213"/>
        </w:tabs>
        <w:autoSpaceDE/>
        <w:autoSpaceDN/>
        <w:ind w:firstLine="0" w:firstLineChars="0"/>
        <w:rPr>
          <w:rFonts w:eastAsiaTheme="minorEastAsia" w:cstheme="minorBidi"/>
          <w:b/>
          <w:kern w:val="2"/>
          <w:sz w:val="21"/>
          <w:lang w:val="en-US" w:bidi="ar-SA"/>
        </w:rPr>
      </w:pPr>
    </w:p>
    <w:p>
      <w:pPr>
        <w:tabs>
          <w:tab w:val="left" w:pos="3213"/>
        </w:tabs>
        <w:autoSpaceDE/>
        <w:autoSpaceDN/>
        <w:ind w:firstLine="0" w:firstLineChars="0"/>
        <w:rPr>
          <w:rFonts w:eastAsiaTheme="minorEastAsia" w:cstheme="minorBidi"/>
          <w:b/>
          <w:kern w:val="2"/>
          <w:sz w:val="21"/>
          <w:lang w:val="en-US" w:bidi="ar-SA"/>
        </w:rPr>
      </w:pPr>
    </w:p>
    <w:p>
      <w:pPr>
        <w:tabs>
          <w:tab w:val="left" w:pos="3213"/>
        </w:tabs>
        <w:autoSpaceDE/>
        <w:autoSpaceDN/>
        <w:ind w:firstLine="0" w:firstLineChars="0"/>
        <w:jc w:val="center"/>
        <w:rPr>
          <w:rFonts w:eastAsiaTheme="minorEastAsia" w:cstheme="minorBidi"/>
          <w:b/>
          <w:kern w:val="2"/>
          <w:sz w:val="21"/>
          <w:lang w:val="en-US" w:bidi="ar-SA"/>
        </w:rPr>
      </w:pPr>
      <w:r>
        <w:rPr>
          <w:lang w:val="en-US" w:bidi="ar-SA"/>
        </w:rPr>
        <w:pict>
          <v:shape id="_x0000_s1228" o:spid="_x0000_s1228" o:spt="62" type="#_x0000_t62" style="position:absolute;left:0pt;margin-left:59.85pt;margin-top:105pt;height:23.25pt;width:77.25pt;z-index:251675648;mso-width-relative:page;mso-height-relative:page;" coordsize="21600,21600" adj="24186,44454">
            <v:path/>
            <v:fill focussize="0,0"/>
            <v:stroke joinstyle="miter"/>
            <v:imagedata o:title=""/>
            <o:lock v:ext="edit"/>
            <v:textbox>
              <w:txbxContent>
                <w:p>
                  <w:pPr>
                    <w:ind w:firstLine="0" w:firstLineChars="0"/>
                    <w:rPr>
                      <w:sz w:val="18"/>
                      <w:szCs w:val="18"/>
                    </w:rPr>
                  </w:pPr>
                  <w:r>
                    <w:rPr>
                      <w:rFonts w:hint="eastAsia"/>
                      <w:sz w:val="18"/>
                      <w:szCs w:val="18"/>
                    </w:rPr>
                    <w:t>上游监测断面</w:t>
                  </w:r>
                </w:p>
              </w:txbxContent>
            </v:textbox>
          </v:shape>
        </w:pict>
      </w:r>
      <w:r>
        <w:rPr>
          <w:lang w:val="en-US" w:bidi="ar-SA"/>
        </w:rPr>
        <w:pict>
          <v:shape id="_x0000_s1081" o:spid="_x0000_s1081" o:spt="32" type="#_x0000_t32" style="position:absolute;left:0pt;flip:y;margin-left:140.85pt;margin-top:147.75pt;height:11.25pt;width:9pt;z-index:251670528;mso-width-relative:page;mso-height-relative:page;" o:connectortype="straight" filled="f" stroked="t" coordsize="21600,21600">
            <v:path arrowok="t"/>
            <v:fill on="f" focussize="0,0"/>
            <v:stroke weight="2.25pt" color="#FF0000"/>
            <v:imagedata o:title=""/>
            <o:lock v:ext="edit"/>
          </v:shape>
        </w:pict>
      </w:r>
      <w:r>
        <w:rPr>
          <w:lang w:val="en-US" w:bidi="ar-SA"/>
        </w:rPr>
        <w:drawing>
          <wp:inline distT="0" distB="0" distL="0" distR="0">
            <wp:extent cx="4885690" cy="34759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a:stretch>
                      <a:fillRect/>
                    </a:stretch>
                  </pic:blipFill>
                  <pic:spPr>
                    <a:xfrm>
                      <a:off x="0" y="0"/>
                      <a:ext cx="4885715" cy="3476191"/>
                    </a:xfrm>
                    <a:prstGeom prst="rect">
                      <a:avLst/>
                    </a:prstGeom>
                  </pic:spPr>
                </pic:pic>
              </a:graphicData>
            </a:graphic>
          </wp:inline>
        </w:drawing>
      </w:r>
    </w:p>
    <w:p>
      <w:pPr>
        <w:tabs>
          <w:tab w:val="left" w:pos="3213"/>
        </w:tabs>
        <w:autoSpaceDE/>
        <w:autoSpaceDN/>
        <w:ind w:firstLine="0" w:firstLineChars="0"/>
        <w:jc w:val="center"/>
        <w:rPr>
          <w:rFonts w:eastAsiaTheme="minorEastAsia" w:cstheme="minorBidi"/>
          <w:b/>
          <w:kern w:val="2"/>
          <w:sz w:val="21"/>
          <w:lang w:val="en-US" w:bidi="ar-SA"/>
        </w:rPr>
      </w:pPr>
      <w:r>
        <w:rPr>
          <w:rFonts w:hint="eastAsia" w:eastAsiaTheme="minorEastAsia" w:cstheme="minorBidi"/>
          <w:b/>
          <w:kern w:val="2"/>
          <w:sz w:val="21"/>
          <w:lang w:val="en-US" w:bidi="ar-SA"/>
        </w:rPr>
        <w:t>图3.3-2补充监测断面位置示意图</w:t>
      </w:r>
    </w:p>
    <w:p>
      <w:pPr>
        <w:pStyle w:val="5"/>
      </w:pPr>
      <w:r>
        <w:t>3.3.</w:t>
      </w:r>
      <w:r>
        <w:rPr>
          <w:rFonts w:hint="eastAsia"/>
        </w:rPr>
        <w:t>2</w:t>
      </w:r>
      <w:r>
        <w:t>.</w:t>
      </w:r>
      <w:r>
        <w:rPr>
          <w:rFonts w:hint="eastAsia"/>
        </w:rPr>
        <w:t>2</w:t>
      </w:r>
      <w:r>
        <w:t>监测</w:t>
      </w:r>
      <w:r>
        <w:rPr>
          <w:rFonts w:hint="eastAsia"/>
        </w:rPr>
        <w:t>因子</w:t>
      </w:r>
    </w:p>
    <w:p>
      <w:pPr>
        <w:ind w:firstLine="480"/>
      </w:pPr>
      <w:r>
        <w:rPr>
          <w:rFonts w:hint="eastAsia"/>
        </w:rPr>
        <w:t>（1）</w:t>
      </w:r>
      <w:r>
        <w:t>按照《入河排污口管理技术导则》（</w:t>
      </w:r>
      <w:r>
        <w:rPr>
          <w:rFonts w:eastAsia="Times New Roman"/>
        </w:rPr>
        <w:t>SL532-2011</w:t>
      </w:r>
      <w:r>
        <w:t>）要求必测的项目；</w:t>
      </w:r>
    </w:p>
    <w:p>
      <w:pPr>
        <w:ind w:firstLine="460"/>
      </w:pPr>
      <w:r>
        <w:rPr>
          <w:rFonts w:hint="eastAsia"/>
          <w:spacing w:val="-5"/>
        </w:rPr>
        <w:t>（2）</w:t>
      </w:r>
      <w:r>
        <w:rPr>
          <w:spacing w:val="-5"/>
        </w:rPr>
        <w:t>根据污水处理厂排污调查监测结果，排放浓度明显高于《地表水环境质量标准》</w:t>
      </w:r>
      <w:r>
        <w:t>（</w:t>
      </w:r>
      <w:r>
        <w:rPr>
          <w:rFonts w:eastAsia="Times New Roman"/>
        </w:rPr>
        <w:t>GB3838-2002</w:t>
      </w:r>
      <w:r>
        <w:t>）</w:t>
      </w:r>
      <w:r>
        <w:rPr>
          <w:rFonts w:hint="eastAsia"/>
          <w:color w:val="000000" w:themeColor="text1"/>
          <w:szCs w:val="24"/>
        </w:rPr>
        <w:t>Ⅳ</w:t>
      </w:r>
      <w:r>
        <w:t>类限值的项目；</w:t>
      </w:r>
    </w:p>
    <w:p>
      <w:pPr>
        <w:ind w:firstLine="456"/>
      </w:pPr>
      <w:r>
        <w:rPr>
          <w:rFonts w:hint="eastAsia"/>
          <w:spacing w:val="-6"/>
        </w:rPr>
        <w:t>（3）</w:t>
      </w:r>
      <w:r>
        <w:rPr>
          <w:spacing w:val="-6"/>
        </w:rPr>
        <w:t>如果有工业园区特征污染物，必须增加，现场调查确定。污水处理厂排</w:t>
      </w:r>
      <w:r>
        <w:rPr>
          <w:spacing w:val="-4"/>
        </w:rPr>
        <w:t>放废污水按照城镇废污水排放标准进行监测。</w:t>
      </w:r>
    </w:p>
    <w:p>
      <w:pPr>
        <w:ind w:firstLine="480"/>
      </w:pPr>
      <w:r>
        <w:rPr>
          <w:rFonts w:hint="eastAsia"/>
        </w:rPr>
        <w:t>（4）</w:t>
      </w:r>
      <w:r>
        <w:t>根据论证工作需要选择的其他项目</w:t>
      </w:r>
      <w:r>
        <w:rPr>
          <w:rFonts w:hint="eastAsia"/>
        </w:rPr>
        <w:t>。</w:t>
      </w:r>
    </w:p>
    <w:p>
      <w:pPr>
        <w:ind w:firstLine="468"/>
        <w:rPr>
          <w:spacing w:val="-3"/>
        </w:rPr>
      </w:pPr>
      <w:r>
        <w:rPr>
          <w:rFonts w:hint="eastAsia"/>
          <w:spacing w:val="-3"/>
        </w:rPr>
        <w:t>综合分析污水处理厂现状，确定监测因子按照地表水基本</w:t>
      </w:r>
      <w:r>
        <w:rPr>
          <w:spacing w:val="-3"/>
        </w:rPr>
        <w:t xml:space="preserve"> 24 项（pH 值、溶解氧、高锰酸盐指数、化学需氧量、五日生化需氧量、氨氮、总磷、总氮、氟化物、阴离子表面活性剂、硫化物、粪大肠菌群等）。</w:t>
      </w:r>
      <w:r>
        <w:rPr>
          <w:rFonts w:hint="eastAsia"/>
          <w:spacing w:val="-3"/>
        </w:rPr>
        <w:t>使用已有的监测数据，</w:t>
      </w:r>
      <w:r>
        <w:rPr>
          <w:spacing w:val="-3"/>
        </w:rPr>
        <w:t>委托具有计量认证资质的检验检测单位进行水质检测分析（监测时间为 20</w:t>
      </w:r>
      <w:r>
        <w:rPr>
          <w:rFonts w:hint="eastAsia"/>
          <w:spacing w:val="-3"/>
        </w:rPr>
        <w:t>18</w:t>
      </w:r>
      <w:r>
        <w:rPr>
          <w:spacing w:val="-3"/>
        </w:rPr>
        <w:t xml:space="preserve"> 年</w:t>
      </w:r>
      <w:r>
        <w:rPr>
          <w:rFonts w:hint="eastAsia"/>
          <w:spacing w:val="-3"/>
        </w:rPr>
        <w:t>5</w:t>
      </w:r>
      <w:r>
        <w:rPr>
          <w:spacing w:val="-3"/>
        </w:rPr>
        <w:t xml:space="preserve"> 月</w:t>
      </w:r>
      <w:r>
        <w:rPr>
          <w:rFonts w:hint="eastAsia"/>
          <w:spacing w:val="-3"/>
        </w:rPr>
        <w:t>30</w:t>
      </w:r>
      <w:r>
        <w:rPr>
          <w:spacing w:val="-3"/>
        </w:rPr>
        <w:t xml:space="preserve"> 日</w:t>
      </w:r>
      <w:r>
        <w:rPr>
          <w:rFonts w:hint="eastAsia"/>
          <w:spacing w:val="-3"/>
        </w:rPr>
        <w:t>-6</w:t>
      </w:r>
      <w:r>
        <w:rPr>
          <w:spacing w:val="-3"/>
        </w:rPr>
        <w:t>月</w:t>
      </w:r>
      <w:r>
        <w:rPr>
          <w:rFonts w:hint="eastAsia"/>
          <w:spacing w:val="-3"/>
        </w:rPr>
        <w:t>1</w:t>
      </w:r>
      <w:r>
        <w:rPr>
          <w:spacing w:val="-3"/>
        </w:rPr>
        <w:t>日，现场取样）。各监测因子监测分析方法见表 3.3-</w:t>
      </w:r>
      <w:r>
        <w:rPr>
          <w:rFonts w:hint="eastAsia"/>
          <w:spacing w:val="-3"/>
        </w:rPr>
        <w:t>5</w:t>
      </w:r>
      <w:r>
        <w:rPr>
          <w:spacing w:val="-3"/>
        </w:rPr>
        <w:t>。</w:t>
      </w:r>
    </w:p>
    <w:p>
      <w:pPr>
        <w:tabs>
          <w:tab w:val="left" w:pos="3451"/>
        </w:tabs>
        <w:ind w:left="220" w:firstLine="422"/>
        <w:jc w:val="center"/>
        <w:rPr>
          <w:b/>
          <w:sz w:val="21"/>
        </w:rPr>
      </w:pPr>
      <w:r>
        <w:rPr>
          <w:rFonts w:hint="eastAsia"/>
          <w:b/>
          <w:sz w:val="21"/>
        </w:rPr>
        <w:t xml:space="preserve">表3.3-5  </w:t>
      </w:r>
      <w:r>
        <w:rPr>
          <w:b/>
          <w:sz w:val="21"/>
        </w:rPr>
        <w:t>地表水检测方</w:t>
      </w:r>
      <w:r>
        <w:rPr>
          <w:b/>
          <w:spacing w:val="-3"/>
          <w:sz w:val="21"/>
        </w:rPr>
        <w:t>法</w:t>
      </w:r>
      <w:r>
        <w:rPr>
          <w:b/>
          <w:sz w:val="21"/>
        </w:rPr>
        <w:t>一览表</w:t>
      </w:r>
    </w:p>
    <w:p>
      <w:pPr>
        <w:pStyle w:val="7"/>
        <w:spacing w:before="7"/>
        <w:ind w:firstLine="161"/>
        <w:rPr>
          <w:b/>
          <w:sz w:val="8"/>
        </w:rPr>
      </w:pPr>
    </w:p>
    <w:tbl>
      <w:tblPr>
        <w:tblStyle w:val="31"/>
        <w:tblW w:w="0" w:type="auto"/>
        <w:tblInd w:w="2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1"/>
        <w:gridCol w:w="1291"/>
        <w:gridCol w:w="4887"/>
        <w:gridCol w:w="19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631" w:type="dxa"/>
            <w:vAlign w:val="center"/>
          </w:tcPr>
          <w:p>
            <w:pPr>
              <w:pStyle w:val="32"/>
              <w:spacing w:line="240" w:lineRule="auto"/>
              <w:ind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1</w:t>
            </w:r>
          </w:p>
        </w:tc>
        <w:tc>
          <w:tcPr>
            <w:tcW w:w="1291" w:type="dxa"/>
            <w:vAlign w:val="center"/>
          </w:tcPr>
          <w:p>
            <w:pPr>
              <w:pStyle w:val="32"/>
              <w:spacing w:before="137"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水温</w:t>
            </w:r>
          </w:p>
        </w:tc>
        <w:tc>
          <w:tcPr>
            <w:tcW w:w="4887" w:type="dxa"/>
            <w:vAlign w:val="center"/>
          </w:tcPr>
          <w:p>
            <w:pPr>
              <w:pStyle w:val="32"/>
              <w:spacing w:before="15" w:line="240" w:lineRule="auto"/>
              <w:ind w:left="25" w:right="17"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《水质 水温的测定 温度计或颠倒温度计测定法》</w:t>
            </w:r>
          </w:p>
          <w:p>
            <w:pPr>
              <w:pStyle w:val="32"/>
              <w:spacing w:line="240" w:lineRule="auto"/>
              <w:ind w:left="25" w:right="17" w:firstLine="420"/>
              <w:rPr>
                <w:rFonts w:asciiTheme="minorHAnsi" w:hAnsiTheme="minorHAnsi" w:eastAsiaTheme="minorEastAsia"/>
                <w:sz w:val="21"/>
              </w:rPr>
            </w:pPr>
            <w:r>
              <w:rPr>
                <w:rFonts w:asciiTheme="minorHAnsi" w:hAnsiTheme="minorHAnsi" w:eastAsiaTheme="minorEastAsia"/>
                <w:sz w:val="21"/>
              </w:rPr>
              <w:t>GB/T 13195-1991</w:t>
            </w:r>
          </w:p>
        </w:tc>
        <w:tc>
          <w:tcPr>
            <w:tcW w:w="1971" w:type="dxa"/>
            <w:vAlign w:val="center"/>
          </w:tcPr>
          <w:p>
            <w:pPr>
              <w:pStyle w:val="32"/>
              <w:spacing w:before="137" w:line="240" w:lineRule="auto"/>
              <w:ind w:left="20" w:right="8" w:firstLine="0" w:firstLineChars="0"/>
              <w:rPr>
                <w:rFonts w:asciiTheme="minorHAnsi" w:hAnsiTheme="minorHAnsi" w:eastAsiaTheme="minorEastAsia"/>
                <w:sz w:val="21"/>
              </w:rPr>
            </w:pPr>
            <w:r>
              <w:rPr>
                <w:rFonts w:asciiTheme="minorHAnsi" w:hAnsiTheme="minorHAnsi" w:eastAsiaTheme="minorEastAsia"/>
                <w:position w:val="1"/>
                <w:sz w:val="21"/>
              </w:rPr>
              <w:t xml:space="preserve">JM222 </w:t>
            </w:r>
            <w:r>
              <w:rPr>
                <w:rFonts w:hint="eastAsia" w:asciiTheme="minorHAnsi" w:hAnsiTheme="minorHAnsi" w:eastAsiaTheme="minorEastAsia"/>
                <w:sz w:val="21"/>
              </w:rPr>
              <w:t>数字温度表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31" w:type="dxa"/>
            <w:vAlign w:val="center"/>
          </w:tcPr>
          <w:p>
            <w:pPr>
              <w:pStyle w:val="32"/>
              <w:spacing w:line="240" w:lineRule="auto"/>
              <w:ind w:firstLine="0" w:firstLineChars="0"/>
              <w:rPr>
                <w:rFonts w:asciiTheme="minorHAnsi" w:hAnsiTheme="minorHAnsi" w:eastAsiaTheme="minorEastAsia"/>
                <w:sz w:val="21"/>
              </w:rPr>
            </w:pPr>
            <w:r>
              <w:rPr>
                <w:rFonts w:asciiTheme="minorHAnsi" w:hAnsiTheme="minorHAnsi" w:eastAsiaTheme="minorEastAsia"/>
                <w:sz w:val="21"/>
              </w:rPr>
              <w:t>2</w:t>
            </w:r>
          </w:p>
        </w:tc>
        <w:tc>
          <w:tcPr>
            <w:tcW w:w="1291" w:type="dxa"/>
            <w:vAlign w:val="center"/>
          </w:tcPr>
          <w:p>
            <w:pPr>
              <w:pStyle w:val="32"/>
              <w:spacing w:before="106" w:line="240" w:lineRule="auto"/>
              <w:ind w:firstLine="0" w:firstLineChars="0"/>
              <w:rPr>
                <w:rFonts w:asciiTheme="minorHAnsi" w:hAnsiTheme="minorHAnsi" w:eastAsiaTheme="minorEastAsia"/>
                <w:sz w:val="21"/>
              </w:rPr>
            </w:pPr>
            <w:r>
              <w:rPr>
                <w:rFonts w:asciiTheme="minorHAnsi" w:hAnsiTheme="minorHAnsi" w:eastAsiaTheme="minorEastAsia"/>
                <w:position w:val="1"/>
                <w:sz w:val="21"/>
              </w:rPr>
              <w:t xml:space="preserve">pH </w:t>
            </w:r>
            <w:r>
              <w:rPr>
                <w:rFonts w:hint="eastAsia" w:asciiTheme="minorHAnsi" w:hAnsiTheme="minorHAnsi" w:eastAsiaTheme="minorEastAsia"/>
                <w:sz w:val="21"/>
              </w:rPr>
              <w:t>值</w:t>
            </w:r>
          </w:p>
        </w:tc>
        <w:tc>
          <w:tcPr>
            <w:tcW w:w="4887" w:type="dxa"/>
            <w:vAlign w:val="center"/>
          </w:tcPr>
          <w:p>
            <w:pPr>
              <w:pStyle w:val="32"/>
              <w:spacing w:before="106" w:line="240" w:lineRule="auto"/>
              <w:ind w:right="17"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 xml:space="preserve">《水质 </w:t>
            </w:r>
            <w:r>
              <w:rPr>
                <w:rFonts w:asciiTheme="minorHAnsi" w:hAnsiTheme="minorHAnsi" w:eastAsiaTheme="minorEastAsia"/>
                <w:position w:val="1"/>
                <w:sz w:val="21"/>
                <w:lang w:eastAsia="zh-CN"/>
              </w:rPr>
              <w:t xml:space="preserve">pH </w:t>
            </w:r>
            <w:r>
              <w:rPr>
                <w:rFonts w:hint="eastAsia" w:asciiTheme="minorHAnsi" w:hAnsiTheme="minorHAnsi" w:eastAsiaTheme="minorEastAsia"/>
                <w:sz w:val="21"/>
                <w:lang w:eastAsia="zh-CN"/>
              </w:rPr>
              <w:t xml:space="preserve">值的测定 玻璃电极法》 </w:t>
            </w:r>
            <w:r>
              <w:rPr>
                <w:rFonts w:asciiTheme="minorHAnsi" w:hAnsiTheme="minorHAnsi" w:eastAsiaTheme="minorEastAsia"/>
                <w:position w:val="1"/>
                <w:sz w:val="21"/>
                <w:lang w:eastAsia="zh-CN"/>
              </w:rPr>
              <w:t>GB/T 6920-1986</w:t>
            </w:r>
          </w:p>
        </w:tc>
        <w:tc>
          <w:tcPr>
            <w:tcW w:w="1971" w:type="dxa"/>
            <w:vAlign w:val="center"/>
          </w:tcPr>
          <w:p>
            <w:pPr>
              <w:pStyle w:val="32"/>
              <w:spacing w:before="106" w:line="240" w:lineRule="auto"/>
              <w:ind w:right="7" w:firstLine="0" w:firstLineChars="0"/>
              <w:rPr>
                <w:rFonts w:asciiTheme="minorHAnsi" w:hAnsiTheme="minorHAnsi" w:eastAsiaTheme="minorEastAsia"/>
                <w:sz w:val="21"/>
              </w:rPr>
            </w:pPr>
            <w:r>
              <w:rPr>
                <w:rFonts w:asciiTheme="minorHAnsi" w:hAnsiTheme="minorHAnsi" w:eastAsiaTheme="minorEastAsia"/>
                <w:position w:val="1"/>
                <w:sz w:val="21"/>
              </w:rPr>
              <w:t xml:space="preserve">pH </w:t>
            </w:r>
            <w:r>
              <w:rPr>
                <w:rFonts w:hint="eastAsia" w:asciiTheme="minorHAnsi" w:hAnsiTheme="minorHAnsi" w:eastAsiaTheme="minorEastAsia"/>
                <w:sz w:val="21"/>
              </w:rPr>
              <w:t xml:space="preserve">计 </w:t>
            </w:r>
            <w:r>
              <w:rPr>
                <w:rFonts w:asciiTheme="minorHAnsi" w:hAnsiTheme="minorHAnsi" w:eastAsiaTheme="minorEastAsia"/>
                <w:position w:val="1"/>
                <w:sz w:val="21"/>
              </w:rPr>
              <w:t>pHSJ-3F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31" w:type="dxa"/>
            <w:vAlign w:val="center"/>
          </w:tcPr>
          <w:p>
            <w:pPr>
              <w:pStyle w:val="32"/>
              <w:spacing w:line="240" w:lineRule="auto"/>
              <w:ind w:firstLine="0" w:firstLineChars="0"/>
              <w:rPr>
                <w:rFonts w:asciiTheme="minorHAnsi" w:hAnsiTheme="minorHAnsi" w:eastAsiaTheme="minorEastAsia"/>
                <w:sz w:val="21"/>
              </w:rPr>
            </w:pPr>
            <w:r>
              <w:rPr>
                <w:rFonts w:asciiTheme="minorHAnsi" w:hAnsiTheme="minorHAnsi" w:eastAsiaTheme="minorEastAsia"/>
                <w:sz w:val="21"/>
              </w:rPr>
              <w:t>3</w:t>
            </w:r>
          </w:p>
        </w:tc>
        <w:tc>
          <w:tcPr>
            <w:tcW w:w="1291" w:type="dxa"/>
            <w:vAlign w:val="center"/>
          </w:tcPr>
          <w:p>
            <w:pPr>
              <w:pStyle w:val="32"/>
              <w:spacing w:before="106"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溶解氧</w:t>
            </w:r>
          </w:p>
        </w:tc>
        <w:tc>
          <w:tcPr>
            <w:tcW w:w="4887" w:type="dxa"/>
            <w:vAlign w:val="center"/>
          </w:tcPr>
          <w:p>
            <w:pPr>
              <w:pStyle w:val="32"/>
              <w:spacing w:before="106" w:line="240" w:lineRule="auto"/>
              <w:ind w:right="17"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《水质溶解氧的测定 碘量法》</w:t>
            </w:r>
            <w:r>
              <w:rPr>
                <w:rFonts w:asciiTheme="minorHAnsi" w:hAnsiTheme="minorHAnsi" w:eastAsiaTheme="minorEastAsia"/>
                <w:position w:val="1"/>
                <w:sz w:val="21"/>
                <w:lang w:eastAsia="zh-CN"/>
              </w:rPr>
              <w:t>GB 7489-1987</w:t>
            </w:r>
          </w:p>
        </w:tc>
        <w:tc>
          <w:tcPr>
            <w:tcW w:w="1971" w:type="dxa"/>
            <w:vAlign w:val="center"/>
          </w:tcPr>
          <w:p>
            <w:pPr>
              <w:pStyle w:val="32"/>
              <w:spacing w:before="113" w:line="240" w:lineRule="auto"/>
              <w:ind w:left="10" w:firstLine="420"/>
              <w:rPr>
                <w:rFonts w:asciiTheme="minorHAnsi" w:hAnsiTheme="minorHAnsi" w:eastAsiaTheme="minorEastAsia"/>
                <w:sz w:val="21"/>
              </w:rPr>
            </w:pPr>
            <w:r>
              <w:rPr>
                <w:rFonts w:asciiTheme="minorHAnsi" w:hAnsiTheme="minorHAnsi" w:eastAsiaTheme="minor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631" w:type="dxa"/>
            <w:vAlign w:val="center"/>
          </w:tcPr>
          <w:p>
            <w:pPr>
              <w:pStyle w:val="32"/>
              <w:spacing w:before="113" w:line="240" w:lineRule="auto"/>
              <w:ind w:firstLine="0" w:firstLineChars="0"/>
              <w:rPr>
                <w:rFonts w:asciiTheme="minorHAnsi" w:hAnsiTheme="minorHAnsi" w:eastAsiaTheme="minorEastAsia"/>
                <w:sz w:val="21"/>
              </w:rPr>
            </w:pPr>
            <w:r>
              <w:rPr>
                <w:rFonts w:asciiTheme="minorHAnsi" w:hAnsiTheme="minorHAnsi" w:eastAsiaTheme="minorEastAsia"/>
                <w:sz w:val="21"/>
              </w:rPr>
              <w:t>4</w:t>
            </w:r>
          </w:p>
        </w:tc>
        <w:tc>
          <w:tcPr>
            <w:tcW w:w="1291" w:type="dxa"/>
            <w:vAlign w:val="center"/>
          </w:tcPr>
          <w:p>
            <w:pPr>
              <w:pStyle w:val="32"/>
              <w:spacing w:before="107"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高锰酸盐指数</w:t>
            </w:r>
          </w:p>
        </w:tc>
        <w:tc>
          <w:tcPr>
            <w:tcW w:w="4887" w:type="dxa"/>
            <w:vAlign w:val="center"/>
          </w:tcPr>
          <w:p>
            <w:pPr>
              <w:pStyle w:val="32"/>
              <w:spacing w:before="107" w:line="240" w:lineRule="auto"/>
              <w:ind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《水质 高锰酸盐指数的测定》</w:t>
            </w:r>
            <w:r>
              <w:rPr>
                <w:rFonts w:asciiTheme="minorHAnsi" w:hAnsiTheme="minorHAnsi" w:eastAsiaTheme="minorEastAsia"/>
                <w:position w:val="1"/>
                <w:sz w:val="21"/>
                <w:lang w:eastAsia="zh-CN"/>
              </w:rPr>
              <w:t>GB/T 11892-1989</w:t>
            </w:r>
          </w:p>
        </w:tc>
        <w:tc>
          <w:tcPr>
            <w:tcW w:w="1971" w:type="dxa"/>
            <w:vAlign w:val="center"/>
          </w:tcPr>
          <w:p>
            <w:pPr>
              <w:pStyle w:val="32"/>
              <w:spacing w:before="118" w:line="240" w:lineRule="auto"/>
              <w:ind w:left="10" w:firstLine="422"/>
              <w:rPr>
                <w:rFonts w:asciiTheme="minorHAnsi" w:hAnsiTheme="minorHAnsi" w:eastAsiaTheme="minorEastAsia"/>
                <w:b/>
                <w:sz w:val="21"/>
              </w:rPr>
            </w:pPr>
            <w:r>
              <w:rPr>
                <w:rFonts w:asciiTheme="minorHAnsi" w:hAnsiTheme="minorHAnsi" w:eastAsiaTheme="minorEastAsia"/>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631" w:type="dxa"/>
            <w:vAlign w:val="center"/>
          </w:tcPr>
          <w:p>
            <w:pPr>
              <w:pStyle w:val="32"/>
              <w:spacing w:before="159" w:line="240" w:lineRule="auto"/>
              <w:ind w:firstLine="0" w:firstLineChars="0"/>
              <w:rPr>
                <w:rFonts w:asciiTheme="minorHAnsi" w:hAnsiTheme="minorHAnsi" w:eastAsiaTheme="minorEastAsia"/>
                <w:sz w:val="21"/>
              </w:rPr>
            </w:pPr>
            <w:r>
              <w:rPr>
                <w:rFonts w:asciiTheme="minorHAnsi" w:hAnsiTheme="minorHAnsi" w:eastAsiaTheme="minorEastAsia"/>
                <w:sz w:val="21"/>
              </w:rPr>
              <w:t>5</w:t>
            </w:r>
          </w:p>
        </w:tc>
        <w:tc>
          <w:tcPr>
            <w:tcW w:w="1291" w:type="dxa"/>
            <w:vAlign w:val="center"/>
          </w:tcPr>
          <w:p>
            <w:pPr>
              <w:pStyle w:val="32"/>
              <w:spacing w:before="15" w:line="240" w:lineRule="auto"/>
              <w:ind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化学需氧量</w:t>
            </w:r>
          </w:p>
          <w:p>
            <w:pPr>
              <w:pStyle w:val="32"/>
              <w:spacing w:before="2" w:line="240" w:lineRule="auto"/>
              <w:ind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w:t>
            </w:r>
            <w:r>
              <w:rPr>
                <w:rFonts w:asciiTheme="minorHAnsi" w:hAnsiTheme="minorHAnsi" w:eastAsiaTheme="minorEastAsia"/>
                <w:position w:val="1"/>
                <w:sz w:val="21"/>
                <w:lang w:eastAsia="zh-CN"/>
              </w:rPr>
              <w:t>COD</w:t>
            </w:r>
            <w:r>
              <w:rPr>
                <w:rFonts w:hint="eastAsia" w:asciiTheme="minorHAnsi" w:hAnsiTheme="minorHAnsi" w:eastAsiaTheme="minorEastAsia"/>
                <w:sz w:val="21"/>
                <w:lang w:eastAsia="zh-CN"/>
              </w:rPr>
              <w:t>）</w:t>
            </w:r>
          </w:p>
        </w:tc>
        <w:tc>
          <w:tcPr>
            <w:tcW w:w="4887" w:type="dxa"/>
            <w:vAlign w:val="center"/>
          </w:tcPr>
          <w:p>
            <w:pPr>
              <w:pStyle w:val="32"/>
              <w:spacing w:before="32" w:line="240" w:lineRule="auto"/>
              <w:ind w:right="5" w:firstLine="0" w:firstLineChars="0"/>
              <w:rPr>
                <w:rFonts w:asciiTheme="minorHAnsi" w:hAnsiTheme="minorHAnsi" w:eastAsiaTheme="minorEastAsia"/>
                <w:sz w:val="21"/>
                <w:lang w:eastAsia="zh-CN"/>
              </w:rPr>
            </w:pPr>
            <w:r>
              <w:rPr>
                <w:rFonts w:hint="eastAsia" w:asciiTheme="minorHAnsi" w:hAnsiTheme="minorHAnsi" w:eastAsiaTheme="minorEastAsia"/>
                <w:spacing w:val="-9"/>
                <w:sz w:val="21"/>
                <w:lang w:eastAsia="zh-CN"/>
              </w:rPr>
              <w:t>《水质 化学需氧量的测定 重铬酸盐法</w:t>
            </w:r>
            <w:r>
              <w:rPr>
                <w:rFonts w:hint="eastAsia" w:asciiTheme="minorHAnsi" w:hAnsiTheme="minorHAnsi" w:eastAsiaTheme="minorEastAsia"/>
                <w:sz w:val="21"/>
                <w:lang w:eastAsia="zh-CN"/>
              </w:rPr>
              <w:t>（</w:t>
            </w:r>
            <w:r>
              <w:rPr>
                <w:rFonts w:hint="eastAsia" w:asciiTheme="minorHAnsi" w:hAnsiTheme="minorHAnsi" w:eastAsiaTheme="minorEastAsia"/>
                <w:spacing w:val="-3"/>
                <w:sz w:val="21"/>
                <w:lang w:eastAsia="zh-CN"/>
              </w:rPr>
              <w:t>发布稿</w:t>
            </w:r>
            <w:r>
              <w:rPr>
                <w:rFonts w:hint="eastAsia" w:asciiTheme="minorHAnsi" w:hAnsiTheme="minorHAnsi" w:eastAsiaTheme="minorEastAsia"/>
                <w:spacing w:val="-106"/>
                <w:sz w:val="21"/>
                <w:lang w:eastAsia="zh-CN"/>
              </w:rPr>
              <w:t>）</w:t>
            </w:r>
            <w:r>
              <w:rPr>
                <w:rFonts w:hint="eastAsia" w:asciiTheme="minorHAnsi" w:hAnsiTheme="minorHAnsi" w:eastAsiaTheme="minorEastAsia"/>
                <w:sz w:val="21"/>
                <w:lang w:eastAsia="zh-CN"/>
              </w:rPr>
              <w:t>》</w:t>
            </w:r>
            <w:r>
              <w:rPr>
                <w:rFonts w:asciiTheme="minorHAnsi" w:hAnsiTheme="minorHAnsi" w:eastAsiaTheme="minorEastAsia"/>
                <w:position w:val="1"/>
                <w:sz w:val="21"/>
                <w:lang w:eastAsia="zh-CN"/>
              </w:rPr>
              <w:t xml:space="preserve">HJ </w:t>
            </w:r>
            <w:r>
              <w:rPr>
                <w:rFonts w:asciiTheme="minorHAnsi" w:hAnsiTheme="minorHAnsi" w:eastAsiaTheme="minorEastAsia"/>
                <w:sz w:val="21"/>
                <w:lang w:eastAsia="zh-CN"/>
              </w:rPr>
              <w:t>828-2017</w:t>
            </w:r>
          </w:p>
        </w:tc>
        <w:tc>
          <w:tcPr>
            <w:tcW w:w="1971" w:type="dxa"/>
            <w:vAlign w:val="center"/>
          </w:tcPr>
          <w:p>
            <w:pPr>
              <w:pStyle w:val="32"/>
              <w:spacing w:before="15" w:line="240" w:lineRule="auto"/>
              <w:ind w:right="10" w:firstLine="0" w:firstLineChars="0"/>
              <w:rPr>
                <w:rFonts w:asciiTheme="minorHAnsi" w:hAnsiTheme="minorHAnsi" w:eastAsiaTheme="minorEastAsia"/>
                <w:sz w:val="21"/>
                <w:lang w:eastAsia="zh-CN"/>
              </w:rPr>
            </w:pPr>
            <w:r>
              <w:rPr>
                <w:rFonts w:asciiTheme="minorHAnsi" w:hAnsiTheme="minorHAnsi" w:eastAsiaTheme="minorEastAsia"/>
                <w:position w:val="1"/>
                <w:sz w:val="21"/>
                <w:lang w:eastAsia="zh-CN"/>
              </w:rPr>
              <w:t xml:space="preserve">COD </w:t>
            </w:r>
            <w:r>
              <w:rPr>
                <w:rFonts w:hint="eastAsia" w:asciiTheme="minorHAnsi" w:hAnsiTheme="minorHAnsi" w:eastAsiaTheme="minorEastAsia"/>
                <w:sz w:val="21"/>
                <w:lang w:eastAsia="zh-CN"/>
              </w:rPr>
              <w:t>恒温加热器</w:t>
            </w:r>
          </w:p>
          <w:p>
            <w:pPr>
              <w:pStyle w:val="32"/>
              <w:spacing w:before="2" w:line="240" w:lineRule="auto"/>
              <w:ind w:right="9" w:firstLine="0" w:firstLineChars="0"/>
              <w:rPr>
                <w:rFonts w:asciiTheme="minorHAnsi" w:hAnsiTheme="minorHAnsi" w:eastAsiaTheme="minorEastAsia"/>
                <w:sz w:val="21"/>
                <w:lang w:eastAsia="zh-CN"/>
              </w:rPr>
            </w:pPr>
            <w:r>
              <w:rPr>
                <w:rFonts w:asciiTheme="minorHAnsi" w:hAnsiTheme="minorHAnsi" w:eastAsiaTheme="minorEastAsia"/>
                <w:position w:val="1"/>
                <w:sz w:val="21"/>
                <w:lang w:eastAsia="zh-CN"/>
              </w:rPr>
              <w:t xml:space="preserve">JC-101 </w:t>
            </w:r>
            <w:r>
              <w:rPr>
                <w:rFonts w:hint="eastAsia" w:asciiTheme="minorHAnsi" w:hAnsiTheme="minorHAnsi" w:eastAsiaTheme="minorEastAsia"/>
                <w:sz w:val="21"/>
                <w:lang w:eastAsia="zh-CN"/>
              </w:rPr>
              <w:t>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631" w:type="dxa"/>
            <w:vAlign w:val="center"/>
          </w:tcPr>
          <w:p>
            <w:pPr>
              <w:pStyle w:val="32"/>
              <w:spacing w:line="240" w:lineRule="auto"/>
              <w:ind w:firstLine="0" w:firstLineChars="0"/>
              <w:rPr>
                <w:rFonts w:asciiTheme="minorHAnsi" w:hAnsiTheme="minorHAnsi" w:eastAsiaTheme="minorEastAsia"/>
                <w:sz w:val="21"/>
              </w:rPr>
            </w:pPr>
            <w:r>
              <w:rPr>
                <w:rFonts w:asciiTheme="minorHAnsi" w:hAnsiTheme="minorHAnsi" w:eastAsiaTheme="minorEastAsia"/>
                <w:sz w:val="21"/>
              </w:rPr>
              <w:t>6</w:t>
            </w:r>
          </w:p>
        </w:tc>
        <w:tc>
          <w:tcPr>
            <w:tcW w:w="1291" w:type="dxa"/>
            <w:vAlign w:val="center"/>
          </w:tcPr>
          <w:p>
            <w:pPr>
              <w:pStyle w:val="32"/>
              <w:spacing w:before="18" w:line="240" w:lineRule="auto"/>
              <w:ind w:left="14" w:right="2" w:firstLine="0" w:firstLineChars="0"/>
              <w:rPr>
                <w:rFonts w:asciiTheme="minorHAnsi" w:hAnsiTheme="minorHAnsi" w:eastAsiaTheme="minorEastAsia"/>
                <w:sz w:val="21"/>
              </w:rPr>
            </w:pPr>
            <w:r>
              <w:rPr>
                <w:rFonts w:hint="eastAsia" w:asciiTheme="minorHAnsi" w:hAnsiTheme="minorHAnsi" w:eastAsiaTheme="minorEastAsia"/>
                <w:sz w:val="21"/>
              </w:rPr>
              <w:t>五日生化需氧量（</w:t>
            </w:r>
            <w:r>
              <w:rPr>
                <w:rFonts w:asciiTheme="minorHAnsi" w:hAnsiTheme="minorHAnsi" w:eastAsiaTheme="minorEastAsia"/>
                <w:position w:val="1"/>
                <w:sz w:val="21"/>
              </w:rPr>
              <w:t>BOD</w:t>
            </w:r>
            <w:r>
              <w:rPr>
                <w:rFonts w:asciiTheme="minorHAnsi" w:hAnsiTheme="minorHAnsi" w:eastAsiaTheme="minorEastAsia"/>
                <w:position w:val="1"/>
                <w:sz w:val="21"/>
                <w:vertAlign w:val="subscript"/>
              </w:rPr>
              <w:t>5</w:t>
            </w:r>
            <w:r>
              <w:rPr>
                <w:rFonts w:hint="eastAsia" w:asciiTheme="minorHAnsi" w:hAnsiTheme="minorHAnsi" w:eastAsiaTheme="minorEastAsia"/>
                <w:sz w:val="21"/>
              </w:rPr>
              <w:t>）</w:t>
            </w:r>
          </w:p>
        </w:tc>
        <w:tc>
          <w:tcPr>
            <w:tcW w:w="4887" w:type="dxa"/>
            <w:vAlign w:val="center"/>
          </w:tcPr>
          <w:p>
            <w:pPr>
              <w:pStyle w:val="32"/>
              <w:spacing w:before="173" w:line="240" w:lineRule="auto"/>
              <w:ind w:right="113"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 xml:space="preserve">《水质五日生化需氧量的测定 稀释与接种法》 </w:t>
            </w:r>
            <w:r>
              <w:rPr>
                <w:rFonts w:asciiTheme="minorHAnsi" w:hAnsiTheme="minorHAnsi" w:eastAsiaTheme="minorEastAsia"/>
                <w:position w:val="1"/>
                <w:sz w:val="21"/>
                <w:lang w:eastAsia="zh-CN"/>
              </w:rPr>
              <w:t xml:space="preserve">HJ </w:t>
            </w:r>
            <w:r>
              <w:rPr>
                <w:rFonts w:asciiTheme="minorHAnsi" w:hAnsiTheme="minorHAnsi" w:eastAsiaTheme="minorEastAsia"/>
                <w:sz w:val="21"/>
                <w:lang w:eastAsia="zh-CN"/>
              </w:rPr>
              <w:t>505-2009</w:t>
            </w:r>
          </w:p>
        </w:tc>
        <w:tc>
          <w:tcPr>
            <w:tcW w:w="1971" w:type="dxa"/>
            <w:vAlign w:val="center"/>
          </w:tcPr>
          <w:p>
            <w:pPr>
              <w:pStyle w:val="32"/>
              <w:spacing w:before="173" w:line="240" w:lineRule="auto"/>
              <w:ind w:right="91" w:firstLine="0" w:firstLineChars="0"/>
              <w:rPr>
                <w:rFonts w:asciiTheme="minorHAnsi" w:hAnsiTheme="minorHAnsi" w:eastAsiaTheme="minorEastAsia"/>
                <w:sz w:val="21"/>
              </w:rPr>
            </w:pPr>
            <w:r>
              <w:rPr>
                <w:rFonts w:hint="eastAsia" w:asciiTheme="minorHAnsi" w:hAnsiTheme="minorHAnsi" w:eastAsiaTheme="minorEastAsia"/>
                <w:sz w:val="21"/>
              </w:rPr>
              <w:t xml:space="preserve">制冷培养箱 </w:t>
            </w:r>
            <w:r>
              <w:rPr>
                <w:rFonts w:asciiTheme="minorHAnsi" w:hAnsiTheme="minorHAnsi" w:eastAsiaTheme="minorEastAsia"/>
                <w:position w:val="1"/>
                <w:sz w:val="21"/>
              </w:rPr>
              <w:t xml:space="preserve">model </w:t>
            </w:r>
            <w:r>
              <w:rPr>
                <w:rFonts w:asciiTheme="minorHAnsi" w:hAnsiTheme="minorHAnsi" w:eastAsiaTheme="minorEastAsia"/>
                <w:sz w:val="21"/>
              </w:rPr>
              <w:t>815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31" w:type="dxa"/>
            <w:vAlign w:val="center"/>
          </w:tcPr>
          <w:p>
            <w:pPr>
              <w:pStyle w:val="32"/>
              <w:spacing w:before="161" w:line="240" w:lineRule="auto"/>
              <w:ind w:firstLine="0" w:firstLineChars="0"/>
              <w:rPr>
                <w:rFonts w:asciiTheme="minorHAnsi" w:hAnsiTheme="minorHAnsi" w:eastAsiaTheme="minorEastAsia"/>
                <w:sz w:val="21"/>
              </w:rPr>
            </w:pPr>
            <w:r>
              <w:rPr>
                <w:rFonts w:asciiTheme="minorHAnsi" w:hAnsiTheme="minorHAnsi" w:eastAsiaTheme="minorEastAsia"/>
                <w:sz w:val="21"/>
              </w:rPr>
              <w:t>7</w:t>
            </w:r>
          </w:p>
        </w:tc>
        <w:tc>
          <w:tcPr>
            <w:tcW w:w="1291" w:type="dxa"/>
            <w:vAlign w:val="center"/>
          </w:tcPr>
          <w:p>
            <w:pPr>
              <w:pStyle w:val="32"/>
              <w:spacing w:before="18"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氨氮</w:t>
            </w:r>
          </w:p>
          <w:p>
            <w:pPr>
              <w:pStyle w:val="32"/>
              <w:spacing w:before="2"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w:t>
            </w:r>
            <w:r>
              <w:rPr>
                <w:rFonts w:asciiTheme="minorHAnsi" w:hAnsiTheme="minorHAnsi" w:eastAsiaTheme="minorEastAsia"/>
                <w:position w:val="1"/>
                <w:sz w:val="21"/>
              </w:rPr>
              <w:t>NH</w:t>
            </w:r>
            <w:r>
              <w:rPr>
                <w:rFonts w:asciiTheme="minorHAnsi" w:hAnsiTheme="minorHAnsi" w:eastAsiaTheme="minorEastAsia"/>
                <w:position w:val="1"/>
                <w:sz w:val="21"/>
                <w:vertAlign w:val="subscript"/>
              </w:rPr>
              <w:t>3</w:t>
            </w:r>
            <w:r>
              <w:rPr>
                <w:rFonts w:asciiTheme="minorHAnsi" w:hAnsiTheme="minorHAnsi" w:eastAsiaTheme="minorEastAsia"/>
                <w:position w:val="1"/>
                <w:sz w:val="21"/>
              </w:rPr>
              <w:t>-N</w:t>
            </w:r>
            <w:r>
              <w:rPr>
                <w:rFonts w:hint="eastAsia" w:asciiTheme="minorHAnsi" w:hAnsiTheme="minorHAnsi" w:eastAsiaTheme="minorEastAsia"/>
                <w:sz w:val="21"/>
              </w:rPr>
              <w:t>）</w:t>
            </w:r>
          </w:p>
        </w:tc>
        <w:tc>
          <w:tcPr>
            <w:tcW w:w="4887" w:type="dxa"/>
            <w:vAlign w:val="center"/>
          </w:tcPr>
          <w:p>
            <w:pPr>
              <w:pStyle w:val="32"/>
              <w:spacing w:before="34" w:line="240" w:lineRule="auto"/>
              <w:ind w:right="320"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《水质 氨氮的测定 纳氏试剂分光光度法》</w:t>
            </w:r>
            <w:r>
              <w:rPr>
                <w:rFonts w:asciiTheme="minorHAnsi" w:hAnsiTheme="minorHAnsi" w:eastAsiaTheme="minorEastAsia"/>
                <w:position w:val="1"/>
                <w:sz w:val="21"/>
                <w:lang w:eastAsia="zh-CN"/>
              </w:rPr>
              <w:t xml:space="preserve">HJ </w:t>
            </w:r>
            <w:r>
              <w:rPr>
                <w:rFonts w:asciiTheme="minorHAnsi" w:hAnsiTheme="minorHAnsi" w:eastAsiaTheme="minorEastAsia"/>
                <w:sz w:val="21"/>
                <w:lang w:eastAsia="zh-CN"/>
              </w:rPr>
              <w:t>535-2009</w:t>
            </w:r>
          </w:p>
        </w:tc>
        <w:tc>
          <w:tcPr>
            <w:tcW w:w="1971" w:type="dxa"/>
            <w:vAlign w:val="center"/>
          </w:tcPr>
          <w:p>
            <w:pPr>
              <w:pStyle w:val="32"/>
              <w:spacing w:before="32" w:line="240" w:lineRule="auto"/>
              <w:ind w:left="20" w:right="10"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紫外可见分光光度计</w:t>
            </w:r>
          </w:p>
          <w:p>
            <w:pPr>
              <w:pStyle w:val="32"/>
              <w:spacing w:line="240" w:lineRule="auto"/>
              <w:ind w:right="8" w:firstLine="0" w:firstLineChars="0"/>
              <w:rPr>
                <w:rFonts w:asciiTheme="minorHAnsi" w:hAnsiTheme="minorHAnsi" w:eastAsiaTheme="minorEastAsia"/>
                <w:sz w:val="21"/>
                <w:lang w:eastAsia="zh-CN"/>
              </w:rPr>
            </w:pPr>
            <w:r>
              <w:rPr>
                <w:rFonts w:asciiTheme="minorHAnsi" w:hAnsiTheme="minorHAnsi" w:eastAsiaTheme="minorEastAsia"/>
                <w:sz w:val="21"/>
                <w:lang w:eastAsia="zh-CN"/>
              </w:rPr>
              <w:t>UV1801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31" w:type="dxa"/>
            <w:vAlign w:val="center"/>
          </w:tcPr>
          <w:p>
            <w:pPr>
              <w:pStyle w:val="32"/>
              <w:spacing w:before="161" w:line="240" w:lineRule="auto"/>
              <w:ind w:firstLine="0" w:firstLineChars="0"/>
              <w:rPr>
                <w:rFonts w:asciiTheme="minorHAnsi" w:hAnsiTheme="minorHAnsi" w:eastAsiaTheme="minorEastAsia"/>
                <w:sz w:val="21"/>
              </w:rPr>
            </w:pPr>
            <w:r>
              <w:rPr>
                <w:rFonts w:asciiTheme="minorHAnsi" w:hAnsiTheme="minorHAnsi" w:eastAsiaTheme="minorEastAsia"/>
                <w:sz w:val="21"/>
              </w:rPr>
              <w:t>8</w:t>
            </w:r>
          </w:p>
        </w:tc>
        <w:tc>
          <w:tcPr>
            <w:tcW w:w="1291" w:type="dxa"/>
            <w:vAlign w:val="center"/>
          </w:tcPr>
          <w:p>
            <w:pPr>
              <w:pStyle w:val="32"/>
              <w:spacing w:before="15"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总磷</w:t>
            </w:r>
          </w:p>
          <w:p>
            <w:pPr>
              <w:pStyle w:val="32"/>
              <w:spacing w:before="5"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（以</w:t>
            </w:r>
            <w:r>
              <w:rPr>
                <w:rFonts w:asciiTheme="minorHAnsi" w:hAnsiTheme="minorHAnsi" w:eastAsiaTheme="minorEastAsia"/>
                <w:position w:val="1"/>
                <w:sz w:val="21"/>
              </w:rPr>
              <w:t xml:space="preserve">P </w:t>
            </w:r>
            <w:r>
              <w:rPr>
                <w:rFonts w:hint="eastAsia" w:asciiTheme="minorHAnsi" w:hAnsiTheme="minorHAnsi" w:eastAsiaTheme="minorEastAsia"/>
                <w:sz w:val="21"/>
              </w:rPr>
              <w:t>计）</w:t>
            </w:r>
          </w:p>
        </w:tc>
        <w:tc>
          <w:tcPr>
            <w:tcW w:w="4887" w:type="dxa"/>
            <w:vAlign w:val="center"/>
          </w:tcPr>
          <w:p>
            <w:pPr>
              <w:pStyle w:val="32"/>
              <w:spacing w:before="36" w:line="240" w:lineRule="auto"/>
              <w:ind w:right="396"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《水质 总磷的测定 钼酸铵分光光度法》</w:t>
            </w:r>
            <w:r>
              <w:rPr>
                <w:rFonts w:asciiTheme="minorHAnsi" w:hAnsiTheme="minorHAnsi" w:eastAsiaTheme="minorEastAsia"/>
                <w:position w:val="1"/>
                <w:sz w:val="21"/>
                <w:lang w:eastAsia="zh-CN"/>
              </w:rPr>
              <w:t xml:space="preserve">GB </w:t>
            </w:r>
            <w:r>
              <w:rPr>
                <w:rFonts w:asciiTheme="minorHAnsi" w:hAnsiTheme="minorHAnsi" w:eastAsiaTheme="minorEastAsia"/>
                <w:sz w:val="21"/>
                <w:lang w:eastAsia="zh-CN"/>
              </w:rPr>
              <w:t>11893-1989</w:t>
            </w:r>
          </w:p>
        </w:tc>
        <w:tc>
          <w:tcPr>
            <w:tcW w:w="1971" w:type="dxa"/>
            <w:vAlign w:val="center"/>
          </w:tcPr>
          <w:p>
            <w:pPr>
              <w:pStyle w:val="32"/>
              <w:spacing w:before="32" w:line="240" w:lineRule="auto"/>
              <w:ind w:left="20" w:right="10"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紫外可见分光光度计</w:t>
            </w:r>
          </w:p>
          <w:p>
            <w:pPr>
              <w:pStyle w:val="32"/>
              <w:spacing w:line="240" w:lineRule="auto"/>
              <w:ind w:right="8" w:firstLine="0" w:firstLineChars="0"/>
              <w:rPr>
                <w:rFonts w:asciiTheme="minorHAnsi" w:hAnsiTheme="minorHAnsi" w:eastAsiaTheme="minorEastAsia"/>
                <w:sz w:val="21"/>
                <w:lang w:eastAsia="zh-CN"/>
              </w:rPr>
            </w:pPr>
            <w:r>
              <w:rPr>
                <w:rFonts w:asciiTheme="minorHAnsi" w:hAnsiTheme="minorHAnsi" w:eastAsiaTheme="minorEastAsia"/>
                <w:sz w:val="21"/>
                <w:lang w:eastAsia="zh-CN"/>
              </w:rPr>
              <w:t>UV1801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631" w:type="dxa"/>
            <w:vAlign w:val="center"/>
          </w:tcPr>
          <w:p>
            <w:pPr>
              <w:pStyle w:val="32"/>
              <w:spacing w:before="159" w:line="240" w:lineRule="auto"/>
              <w:ind w:firstLine="0" w:firstLineChars="0"/>
              <w:rPr>
                <w:rFonts w:asciiTheme="minorHAnsi" w:hAnsiTheme="minorHAnsi" w:eastAsiaTheme="minorEastAsia"/>
                <w:sz w:val="21"/>
              </w:rPr>
            </w:pPr>
            <w:r>
              <w:rPr>
                <w:rFonts w:asciiTheme="minorHAnsi" w:hAnsiTheme="minorHAnsi" w:eastAsiaTheme="minorEastAsia"/>
                <w:sz w:val="21"/>
              </w:rPr>
              <w:t>9</w:t>
            </w:r>
          </w:p>
        </w:tc>
        <w:tc>
          <w:tcPr>
            <w:tcW w:w="1291" w:type="dxa"/>
            <w:vAlign w:val="center"/>
          </w:tcPr>
          <w:p>
            <w:pPr>
              <w:pStyle w:val="32"/>
              <w:spacing w:before="15"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总氮</w:t>
            </w:r>
          </w:p>
          <w:p>
            <w:pPr>
              <w:pStyle w:val="32"/>
              <w:spacing w:before="2"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（以</w:t>
            </w:r>
            <w:r>
              <w:rPr>
                <w:rFonts w:asciiTheme="minorHAnsi" w:hAnsiTheme="minorHAnsi" w:eastAsiaTheme="minorEastAsia"/>
                <w:position w:val="1"/>
                <w:sz w:val="21"/>
              </w:rPr>
              <w:t xml:space="preserve">N </w:t>
            </w:r>
            <w:r>
              <w:rPr>
                <w:rFonts w:hint="eastAsia" w:asciiTheme="minorHAnsi" w:hAnsiTheme="minorHAnsi" w:eastAsiaTheme="minorEastAsia"/>
                <w:sz w:val="21"/>
              </w:rPr>
              <w:t>计）</w:t>
            </w:r>
          </w:p>
        </w:tc>
        <w:tc>
          <w:tcPr>
            <w:tcW w:w="4887" w:type="dxa"/>
            <w:vAlign w:val="center"/>
          </w:tcPr>
          <w:p>
            <w:pPr>
              <w:pStyle w:val="32"/>
              <w:spacing w:before="14" w:line="240" w:lineRule="auto"/>
              <w:ind w:right="16"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《水质 总氮的测定 碱性过硫酸钾消解紫外分光光度法》</w:t>
            </w:r>
            <w:r>
              <w:rPr>
                <w:rFonts w:asciiTheme="minorHAnsi" w:hAnsiTheme="minorHAnsi" w:eastAsiaTheme="minorEastAsia"/>
                <w:position w:val="1"/>
                <w:sz w:val="21"/>
                <w:lang w:eastAsia="zh-CN"/>
              </w:rPr>
              <w:t>HJ 636-2012</w:t>
            </w:r>
          </w:p>
        </w:tc>
        <w:tc>
          <w:tcPr>
            <w:tcW w:w="1971" w:type="dxa"/>
            <w:vAlign w:val="center"/>
          </w:tcPr>
          <w:p>
            <w:pPr>
              <w:pStyle w:val="32"/>
              <w:spacing w:before="30" w:line="240" w:lineRule="auto"/>
              <w:ind w:left="20" w:right="10"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紫外可见分光光度计</w:t>
            </w:r>
          </w:p>
          <w:p>
            <w:pPr>
              <w:pStyle w:val="32"/>
              <w:spacing w:line="240" w:lineRule="auto"/>
              <w:ind w:right="8" w:firstLine="0" w:firstLineChars="0"/>
              <w:rPr>
                <w:rFonts w:asciiTheme="minorHAnsi" w:hAnsiTheme="minorHAnsi" w:eastAsiaTheme="minorEastAsia"/>
                <w:sz w:val="21"/>
                <w:lang w:eastAsia="zh-CN"/>
              </w:rPr>
            </w:pPr>
            <w:r>
              <w:rPr>
                <w:rFonts w:asciiTheme="minorHAnsi" w:hAnsiTheme="minorHAnsi" w:eastAsiaTheme="minorEastAsia"/>
                <w:sz w:val="21"/>
                <w:lang w:eastAsia="zh-CN"/>
              </w:rPr>
              <w:t>UV1801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631" w:type="dxa"/>
            <w:vAlign w:val="center"/>
          </w:tcPr>
          <w:p>
            <w:pPr>
              <w:pStyle w:val="32"/>
              <w:spacing w:before="162" w:line="240" w:lineRule="auto"/>
              <w:ind w:right="74" w:firstLine="0" w:firstLineChars="0"/>
              <w:rPr>
                <w:rFonts w:asciiTheme="minorHAnsi" w:hAnsiTheme="minorHAnsi" w:eastAsiaTheme="minorEastAsia"/>
                <w:sz w:val="21"/>
              </w:rPr>
            </w:pPr>
            <w:r>
              <w:rPr>
                <w:rFonts w:asciiTheme="minorHAnsi" w:hAnsiTheme="minorHAnsi" w:eastAsiaTheme="minorEastAsia"/>
                <w:sz w:val="21"/>
              </w:rPr>
              <w:t>10</w:t>
            </w:r>
          </w:p>
        </w:tc>
        <w:tc>
          <w:tcPr>
            <w:tcW w:w="1291" w:type="dxa"/>
            <w:vAlign w:val="center"/>
          </w:tcPr>
          <w:p>
            <w:pPr>
              <w:pStyle w:val="32"/>
              <w:spacing w:before="18" w:line="240" w:lineRule="auto"/>
              <w:ind w:left="8" w:firstLine="0" w:firstLineChars="0"/>
              <w:rPr>
                <w:rFonts w:asciiTheme="minorHAnsi" w:hAnsiTheme="minorHAnsi" w:eastAsiaTheme="minorEastAsia"/>
                <w:spacing w:val="-11"/>
                <w:sz w:val="21"/>
                <w:lang w:eastAsia="zh-CN"/>
              </w:rPr>
            </w:pPr>
            <w:r>
              <w:rPr>
                <w:rFonts w:hint="eastAsia" w:asciiTheme="minorHAnsi" w:hAnsiTheme="minorHAnsi" w:eastAsiaTheme="minorEastAsia"/>
                <w:spacing w:val="-11"/>
                <w:sz w:val="21"/>
              </w:rPr>
              <w:t>氟化物</w:t>
            </w:r>
          </w:p>
          <w:p>
            <w:pPr>
              <w:pStyle w:val="32"/>
              <w:spacing w:before="18" w:line="240" w:lineRule="auto"/>
              <w:ind w:left="8" w:firstLine="0" w:firstLineChars="0"/>
              <w:rPr>
                <w:rFonts w:asciiTheme="minorHAnsi" w:hAnsiTheme="minorHAnsi" w:eastAsiaTheme="minorEastAsia"/>
                <w:sz w:val="21"/>
              </w:rPr>
            </w:pPr>
            <w:r>
              <w:rPr>
                <w:rFonts w:hint="eastAsia" w:asciiTheme="minorHAnsi" w:hAnsiTheme="minorHAnsi" w:eastAsiaTheme="minorEastAsia"/>
                <w:sz w:val="21"/>
              </w:rPr>
              <w:t>（</w:t>
            </w:r>
            <w:r>
              <w:rPr>
                <w:rFonts w:hint="eastAsia" w:asciiTheme="minorHAnsi" w:hAnsiTheme="minorHAnsi" w:eastAsiaTheme="minorEastAsia"/>
                <w:spacing w:val="-23"/>
                <w:sz w:val="21"/>
              </w:rPr>
              <w:t xml:space="preserve">以 </w:t>
            </w:r>
            <w:r>
              <w:rPr>
                <w:rFonts w:asciiTheme="minorHAnsi" w:hAnsiTheme="minorHAnsi" w:eastAsiaTheme="minorEastAsia"/>
                <w:spacing w:val="-3"/>
                <w:position w:val="1"/>
                <w:sz w:val="21"/>
              </w:rPr>
              <w:t>F-</w:t>
            </w:r>
            <w:r>
              <w:rPr>
                <w:rFonts w:hint="eastAsia" w:asciiTheme="minorHAnsi" w:hAnsiTheme="minorHAnsi" w:eastAsiaTheme="minorEastAsia"/>
                <w:sz w:val="21"/>
              </w:rPr>
              <w:t>计）</w:t>
            </w:r>
          </w:p>
        </w:tc>
        <w:tc>
          <w:tcPr>
            <w:tcW w:w="4887" w:type="dxa"/>
            <w:vAlign w:val="center"/>
          </w:tcPr>
          <w:p>
            <w:pPr>
              <w:pStyle w:val="32"/>
              <w:tabs>
                <w:tab w:val="left" w:pos="850"/>
              </w:tabs>
              <w:spacing w:line="240" w:lineRule="auto"/>
              <w:ind w:left="285" w:firstLine="280"/>
              <w:rPr>
                <w:rFonts w:asciiTheme="minorHAnsi" w:hAnsiTheme="minorHAnsi" w:eastAsiaTheme="minorEastAsia"/>
                <w:sz w:val="14"/>
              </w:rPr>
            </w:pPr>
          </w:p>
        </w:tc>
        <w:tc>
          <w:tcPr>
            <w:tcW w:w="1971" w:type="dxa"/>
            <w:vAlign w:val="center"/>
          </w:tcPr>
          <w:p>
            <w:pPr>
              <w:pStyle w:val="32"/>
              <w:spacing w:line="240" w:lineRule="auto"/>
              <w:ind w:left="24" w:firstLine="0" w:firstLineChars="0"/>
              <w:rPr>
                <w:rFonts w:asciiTheme="minorHAnsi" w:hAnsiTheme="minorHAnsi" w:eastAsiaTheme="minorEastAsia"/>
                <w:sz w:val="21"/>
              </w:rPr>
            </w:pPr>
            <w:r>
              <w:rPr>
                <w:rFonts w:hint="eastAsia" w:asciiTheme="minorHAnsi" w:hAnsiTheme="minorHAnsi" w:eastAsiaTheme="minorEastAsia"/>
                <w:spacing w:val="-11"/>
                <w:sz w:val="21"/>
              </w:rPr>
              <w:t xml:space="preserve">离子色谱仪 </w:t>
            </w:r>
            <w:r>
              <w:rPr>
                <w:rFonts w:asciiTheme="minorHAnsi" w:hAnsiTheme="minorHAnsi" w:eastAsiaTheme="minorEastAsia"/>
                <w:position w:val="1"/>
                <w:sz w:val="21"/>
              </w:rPr>
              <w:t>ICS-2100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631" w:type="dxa"/>
            <w:vAlign w:val="center"/>
          </w:tcPr>
          <w:p>
            <w:pPr>
              <w:pStyle w:val="32"/>
              <w:spacing w:before="144" w:line="240" w:lineRule="auto"/>
              <w:ind w:right="74" w:firstLine="0" w:firstLineChars="0"/>
              <w:rPr>
                <w:rFonts w:asciiTheme="minorHAnsi" w:hAnsiTheme="minorHAnsi" w:eastAsiaTheme="minorEastAsia"/>
                <w:sz w:val="21"/>
              </w:rPr>
            </w:pPr>
            <w:r>
              <w:rPr>
                <w:rFonts w:asciiTheme="minorHAnsi" w:hAnsiTheme="minorHAnsi" w:eastAsiaTheme="minorEastAsia"/>
                <w:sz w:val="21"/>
              </w:rPr>
              <w:t>11</w:t>
            </w:r>
          </w:p>
        </w:tc>
        <w:tc>
          <w:tcPr>
            <w:tcW w:w="1291" w:type="dxa"/>
            <w:vAlign w:val="center"/>
          </w:tcPr>
          <w:p>
            <w:pPr>
              <w:pStyle w:val="32"/>
              <w:spacing w:before="138"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铬（六价）</w:t>
            </w:r>
          </w:p>
        </w:tc>
        <w:tc>
          <w:tcPr>
            <w:tcW w:w="4887" w:type="dxa"/>
            <w:vAlign w:val="center"/>
          </w:tcPr>
          <w:p>
            <w:pPr>
              <w:pStyle w:val="32"/>
              <w:spacing w:before="17" w:line="240" w:lineRule="auto"/>
              <w:ind w:right="2" w:firstLine="0" w:firstLineChars="0"/>
              <w:rPr>
                <w:rFonts w:asciiTheme="minorHAnsi" w:hAnsiTheme="minorHAnsi" w:eastAsiaTheme="minorEastAsia"/>
                <w:sz w:val="21"/>
                <w:lang w:eastAsia="zh-CN"/>
              </w:rPr>
            </w:pPr>
            <w:r>
              <w:rPr>
                <w:rFonts w:hint="eastAsia" w:asciiTheme="minorHAnsi" w:hAnsiTheme="minorHAnsi" w:eastAsiaTheme="minorEastAsia"/>
                <w:spacing w:val="-6"/>
                <w:sz w:val="21"/>
                <w:lang w:eastAsia="zh-CN"/>
              </w:rPr>
              <w:t>《水质 六价铬的测定 二苯碳酰二肼分光光度法》</w:t>
            </w:r>
            <w:r>
              <w:rPr>
                <w:rFonts w:asciiTheme="minorHAnsi" w:hAnsiTheme="minorHAnsi" w:eastAsiaTheme="minorEastAsia"/>
                <w:position w:val="1"/>
                <w:sz w:val="21"/>
                <w:lang w:eastAsia="zh-CN"/>
              </w:rPr>
              <w:t xml:space="preserve">GB </w:t>
            </w:r>
            <w:r>
              <w:rPr>
                <w:rFonts w:asciiTheme="minorHAnsi" w:hAnsiTheme="minorHAnsi" w:eastAsiaTheme="minorEastAsia"/>
                <w:sz w:val="21"/>
                <w:lang w:eastAsia="zh-CN"/>
              </w:rPr>
              <w:t>7467-1987</w:t>
            </w:r>
          </w:p>
        </w:tc>
        <w:tc>
          <w:tcPr>
            <w:tcW w:w="1971" w:type="dxa"/>
            <w:vAlign w:val="center"/>
          </w:tcPr>
          <w:p>
            <w:pPr>
              <w:pStyle w:val="32"/>
              <w:spacing w:before="15" w:line="240" w:lineRule="auto"/>
              <w:ind w:left="20" w:right="10"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紫外可见分光光度计</w:t>
            </w:r>
          </w:p>
          <w:p>
            <w:pPr>
              <w:pStyle w:val="32"/>
              <w:spacing w:line="240" w:lineRule="auto"/>
              <w:ind w:right="8" w:firstLine="0" w:firstLineChars="0"/>
              <w:rPr>
                <w:rFonts w:asciiTheme="minorHAnsi" w:hAnsiTheme="minorHAnsi" w:eastAsiaTheme="minorEastAsia"/>
                <w:sz w:val="21"/>
                <w:lang w:eastAsia="zh-CN"/>
              </w:rPr>
            </w:pPr>
            <w:r>
              <w:rPr>
                <w:rFonts w:asciiTheme="minorHAnsi" w:hAnsiTheme="minorHAnsi" w:eastAsiaTheme="minorEastAsia"/>
                <w:sz w:val="21"/>
                <w:lang w:eastAsia="zh-CN"/>
              </w:rPr>
              <w:t>UV1801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631" w:type="dxa"/>
            <w:vAlign w:val="center"/>
          </w:tcPr>
          <w:p>
            <w:pPr>
              <w:pStyle w:val="32"/>
              <w:spacing w:before="144" w:line="240" w:lineRule="auto"/>
              <w:ind w:right="74" w:firstLine="0" w:firstLineChars="0"/>
              <w:rPr>
                <w:rFonts w:asciiTheme="minorHAnsi" w:hAnsiTheme="minorHAnsi" w:eastAsiaTheme="minorEastAsia"/>
                <w:sz w:val="21"/>
              </w:rPr>
            </w:pPr>
            <w:r>
              <w:rPr>
                <w:rFonts w:asciiTheme="minorHAnsi" w:hAnsiTheme="minorHAnsi" w:eastAsiaTheme="minorEastAsia"/>
                <w:sz w:val="21"/>
              </w:rPr>
              <w:t>12</w:t>
            </w:r>
          </w:p>
        </w:tc>
        <w:tc>
          <w:tcPr>
            <w:tcW w:w="1291" w:type="dxa"/>
            <w:vAlign w:val="center"/>
          </w:tcPr>
          <w:p>
            <w:pPr>
              <w:pStyle w:val="32"/>
              <w:spacing w:before="135"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氰化物</w:t>
            </w:r>
          </w:p>
        </w:tc>
        <w:tc>
          <w:tcPr>
            <w:tcW w:w="4887" w:type="dxa"/>
            <w:vAlign w:val="center"/>
          </w:tcPr>
          <w:p>
            <w:pPr>
              <w:pStyle w:val="32"/>
              <w:spacing w:before="19" w:line="240" w:lineRule="auto"/>
              <w:ind w:right="216"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《水质 氰化物的测定 容量法和分光光度法》</w:t>
            </w:r>
            <w:r>
              <w:rPr>
                <w:rFonts w:asciiTheme="minorHAnsi" w:hAnsiTheme="minorHAnsi" w:eastAsiaTheme="minorEastAsia"/>
                <w:position w:val="1"/>
                <w:sz w:val="21"/>
                <w:lang w:eastAsia="zh-CN"/>
              </w:rPr>
              <w:t xml:space="preserve">HJ </w:t>
            </w:r>
            <w:r>
              <w:rPr>
                <w:rFonts w:asciiTheme="minorHAnsi" w:hAnsiTheme="minorHAnsi" w:eastAsiaTheme="minorEastAsia"/>
                <w:sz w:val="21"/>
                <w:lang w:eastAsia="zh-CN"/>
              </w:rPr>
              <w:t>484-2009</w:t>
            </w:r>
          </w:p>
        </w:tc>
        <w:tc>
          <w:tcPr>
            <w:tcW w:w="1971" w:type="dxa"/>
            <w:vAlign w:val="center"/>
          </w:tcPr>
          <w:p>
            <w:pPr>
              <w:pStyle w:val="32"/>
              <w:spacing w:before="15" w:line="240" w:lineRule="auto"/>
              <w:ind w:left="20" w:right="10"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紫外可见分光光度计</w:t>
            </w:r>
          </w:p>
          <w:p>
            <w:pPr>
              <w:pStyle w:val="32"/>
              <w:spacing w:line="240" w:lineRule="auto"/>
              <w:ind w:right="8" w:firstLine="0" w:firstLineChars="0"/>
              <w:rPr>
                <w:rFonts w:asciiTheme="minorHAnsi" w:hAnsiTheme="minorHAnsi" w:eastAsiaTheme="minorEastAsia"/>
                <w:sz w:val="21"/>
                <w:lang w:eastAsia="zh-CN"/>
              </w:rPr>
            </w:pPr>
            <w:r>
              <w:rPr>
                <w:rFonts w:asciiTheme="minorHAnsi" w:hAnsiTheme="minorHAnsi" w:eastAsiaTheme="minorEastAsia"/>
                <w:sz w:val="21"/>
                <w:lang w:eastAsia="zh-CN"/>
              </w:rPr>
              <w:t>UV1801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631" w:type="dxa"/>
            <w:vAlign w:val="center"/>
          </w:tcPr>
          <w:p>
            <w:pPr>
              <w:pStyle w:val="32"/>
              <w:spacing w:before="144" w:line="240" w:lineRule="auto"/>
              <w:ind w:right="74" w:firstLine="0" w:firstLineChars="0"/>
              <w:rPr>
                <w:rFonts w:asciiTheme="minorHAnsi" w:hAnsiTheme="minorHAnsi" w:eastAsiaTheme="minorEastAsia"/>
                <w:sz w:val="21"/>
              </w:rPr>
            </w:pPr>
            <w:r>
              <w:rPr>
                <w:rFonts w:asciiTheme="minorHAnsi" w:hAnsiTheme="minorHAnsi" w:eastAsiaTheme="minorEastAsia"/>
                <w:sz w:val="21"/>
              </w:rPr>
              <w:t>13</w:t>
            </w:r>
          </w:p>
        </w:tc>
        <w:tc>
          <w:tcPr>
            <w:tcW w:w="1291" w:type="dxa"/>
            <w:vAlign w:val="center"/>
          </w:tcPr>
          <w:p>
            <w:pPr>
              <w:pStyle w:val="32"/>
              <w:spacing w:before="138"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挥发酚</w:t>
            </w:r>
          </w:p>
        </w:tc>
        <w:tc>
          <w:tcPr>
            <w:tcW w:w="4887" w:type="dxa"/>
            <w:vAlign w:val="center"/>
          </w:tcPr>
          <w:p>
            <w:pPr>
              <w:pStyle w:val="32"/>
              <w:spacing w:before="22" w:line="240" w:lineRule="auto"/>
              <w:ind w:right="33"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 xml:space="preserve">《水质 挥发酚的测定 </w:t>
            </w:r>
            <w:r>
              <w:rPr>
                <w:rFonts w:asciiTheme="minorHAnsi" w:hAnsiTheme="minorHAnsi" w:eastAsiaTheme="minorEastAsia"/>
                <w:position w:val="1"/>
                <w:sz w:val="21"/>
                <w:lang w:eastAsia="zh-CN"/>
              </w:rPr>
              <w:t>4-</w:t>
            </w:r>
            <w:r>
              <w:rPr>
                <w:rFonts w:hint="eastAsia" w:asciiTheme="minorHAnsi" w:hAnsiTheme="minorHAnsi" w:eastAsiaTheme="minorEastAsia"/>
                <w:sz w:val="21"/>
                <w:lang w:eastAsia="zh-CN"/>
              </w:rPr>
              <w:t>氨基安替比林分光光度法》</w:t>
            </w:r>
            <w:r>
              <w:rPr>
                <w:rFonts w:asciiTheme="minorHAnsi" w:hAnsiTheme="minorHAnsi" w:eastAsiaTheme="minorEastAsia"/>
                <w:sz w:val="21"/>
                <w:lang w:eastAsia="zh-CN"/>
              </w:rPr>
              <w:t>HJ 503-2009</w:t>
            </w:r>
          </w:p>
        </w:tc>
        <w:tc>
          <w:tcPr>
            <w:tcW w:w="1971" w:type="dxa"/>
            <w:vAlign w:val="center"/>
          </w:tcPr>
          <w:p>
            <w:pPr>
              <w:pStyle w:val="32"/>
              <w:spacing w:before="18" w:line="240" w:lineRule="auto"/>
              <w:ind w:left="20" w:right="10"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紫外可见分光光度计</w:t>
            </w:r>
          </w:p>
          <w:p>
            <w:pPr>
              <w:pStyle w:val="32"/>
              <w:spacing w:line="240" w:lineRule="auto"/>
              <w:ind w:right="8" w:firstLine="0" w:firstLineChars="0"/>
              <w:rPr>
                <w:rFonts w:asciiTheme="minorHAnsi" w:hAnsiTheme="minorHAnsi" w:eastAsiaTheme="minorEastAsia"/>
                <w:sz w:val="21"/>
                <w:lang w:eastAsia="zh-CN"/>
              </w:rPr>
            </w:pPr>
            <w:r>
              <w:rPr>
                <w:rFonts w:asciiTheme="minorHAnsi" w:hAnsiTheme="minorHAnsi" w:eastAsiaTheme="minorEastAsia"/>
                <w:sz w:val="21"/>
                <w:lang w:eastAsia="zh-CN"/>
              </w:rPr>
              <w:t>UV1801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31" w:type="dxa"/>
            <w:vAlign w:val="center"/>
          </w:tcPr>
          <w:p>
            <w:pPr>
              <w:pStyle w:val="32"/>
              <w:spacing w:before="161" w:line="240" w:lineRule="auto"/>
              <w:ind w:right="74" w:firstLine="0" w:firstLineChars="0"/>
              <w:rPr>
                <w:rFonts w:asciiTheme="minorHAnsi" w:hAnsiTheme="minorHAnsi" w:eastAsiaTheme="minorEastAsia"/>
                <w:sz w:val="21"/>
              </w:rPr>
            </w:pPr>
            <w:r>
              <w:rPr>
                <w:rFonts w:asciiTheme="minorHAnsi" w:hAnsiTheme="minorHAnsi" w:eastAsiaTheme="minorEastAsia"/>
                <w:sz w:val="21"/>
              </w:rPr>
              <w:t>14</w:t>
            </w:r>
          </w:p>
        </w:tc>
        <w:tc>
          <w:tcPr>
            <w:tcW w:w="1291" w:type="dxa"/>
            <w:vAlign w:val="center"/>
          </w:tcPr>
          <w:p>
            <w:pPr>
              <w:pStyle w:val="32"/>
              <w:spacing w:before="14" w:line="240" w:lineRule="auto"/>
              <w:ind w:right="2" w:firstLine="0" w:firstLineChars="0"/>
              <w:rPr>
                <w:rFonts w:asciiTheme="minorHAnsi" w:hAnsiTheme="minorHAnsi" w:eastAsiaTheme="minorEastAsia"/>
                <w:sz w:val="21"/>
              </w:rPr>
            </w:pPr>
            <w:r>
              <w:rPr>
                <w:rFonts w:hint="eastAsia" w:asciiTheme="minorHAnsi" w:hAnsiTheme="minorHAnsi" w:eastAsiaTheme="minorEastAsia"/>
                <w:sz w:val="21"/>
              </w:rPr>
              <w:t>阴离子表面活性剂</w:t>
            </w:r>
          </w:p>
        </w:tc>
        <w:tc>
          <w:tcPr>
            <w:tcW w:w="4887" w:type="dxa"/>
            <w:vAlign w:val="center"/>
          </w:tcPr>
          <w:p>
            <w:pPr>
              <w:pStyle w:val="32"/>
              <w:spacing w:before="14" w:line="240" w:lineRule="auto"/>
              <w:ind w:right="119"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《水质 阴离子表面活性剂的测定 亚甲蓝分光光度法》</w:t>
            </w:r>
            <w:r>
              <w:rPr>
                <w:rFonts w:asciiTheme="minorHAnsi" w:hAnsiTheme="minorHAnsi" w:eastAsiaTheme="minorEastAsia"/>
                <w:position w:val="1"/>
                <w:sz w:val="21"/>
                <w:lang w:eastAsia="zh-CN"/>
              </w:rPr>
              <w:t>GB 7494-1987</w:t>
            </w:r>
          </w:p>
        </w:tc>
        <w:tc>
          <w:tcPr>
            <w:tcW w:w="1971" w:type="dxa"/>
            <w:vAlign w:val="center"/>
          </w:tcPr>
          <w:p>
            <w:pPr>
              <w:pStyle w:val="32"/>
              <w:spacing w:before="32" w:line="240" w:lineRule="auto"/>
              <w:ind w:left="20" w:right="10"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紫外可见分光光度计</w:t>
            </w:r>
          </w:p>
          <w:p>
            <w:pPr>
              <w:pStyle w:val="32"/>
              <w:spacing w:line="240" w:lineRule="auto"/>
              <w:ind w:right="8" w:firstLine="0" w:firstLineChars="0"/>
              <w:rPr>
                <w:rFonts w:asciiTheme="minorHAnsi" w:hAnsiTheme="minorHAnsi" w:eastAsiaTheme="minorEastAsia"/>
                <w:sz w:val="21"/>
                <w:lang w:eastAsia="zh-CN"/>
              </w:rPr>
            </w:pPr>
            <w:r>
              <w:rPr>
                <w:rFonts w:asciiTheme="minorHAnsi" w:hAnsiTheme="minorHAnsi" w:eastAsiaTheme="minorEastAsia"/>
                <w:sz w:val="21"/>
                <w:lang w:eastAsia="zh-CN"/>
              </w:rPr>
              <w:t>UV1801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631" w:type="dxa"/>
            <w:vAlign w:val="center"/>
          </w:tcPr>
          <w:p>
            <w:pPr>
              <w:pStyle w:val="32"/>
              <w:spacing w:before="144" w:line="240" w:lineRule="auto"/>
              <w:ind w:right="74" w:firstLine="0" w:firstLineChars="0"/>
              <w:rPr>
                <w:rFonts w:asciiTheme="minorHAnsi" w:hAnsiTheme="minorHAnsi" w:eastAsiaTheme="minorEastAsia"/>
                <w:sz w:val="21"/>
              </w:rPr>
            </w:pPr>
            <w:r>
              <w:rPr>
                <w:rFonts w:asciiTheme="minorHAnsi" w:hAnsiTheme="minorHAnsi" w:eastAsiaTheme="minorEastAsia"/>
                <w:sz w:val="21"/>
              </w:rPr>
              <w:t>15</w:t>
            </w:r>
          </w:p>
        </w:tc>
        <w:tc>
          <w:tcPr>
            <w:tcW w:w="1291" w:type="dxa"/>
            <w:vAlign w:val="center"/>
          </w:tcPr>
          <w:p>
            <w:pPr>
              <w:pStyle w:val="32"/>
              <w:spacing w:before="135"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硫化物</w:t>
            </w:r>
          </w:p>
        </w:tc>
        <w:tc>
          <w:tcPr>
            <w:tcW w:w="4887" w:type="dxa"/>
            <w:vAlign w:val="center"/>
          </w:tcPr>
          <w:p>
            <w:pPr>
              <w:pStyle w:val="32"/>
              <w:spacing w:before="24" w:line="240" w:lineRule="auto"/>
              <w:ind w:right="89"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《水质 硫化物的测定 亚甲基蓝分光光度法》</w:t>
            </w:r>
            <w:r>
              <w:rPr>
                <w:rFonts w:asciiTheme="minorHAnsi" w:hAnsiTheme="minorHAnsi" w:eastAsiaTheme="minorEastAsia"/>
                <w:position w:val="1"/>
                <w:sz w:val="21"/>
                <w:lang w:eastAsia="zh-CN"/>
              </w:rPr>
              <w:t xml:space="preserve">GB/T </w:t>
            </w:r>
            <w:r>
              <w:rPr>
                <w:rFonts w:asciiTheme="minorHAnsi" w:hAnsiTheme="minorHAnsi" w:eastAsiaTheme="minorEastAsia"/>
                <w:sz w:val="21"/>
                <w:lang w:eastAsia="zh-CN"/>
              </w:rPr>
              <w:t>16489-1996</w:t>
            </w:r>
          </w:p>
        </w:tc>
        <w:tc>
          <w:tcPr>
            <w:tcW w:w="1971" w:type="dxa"/>
            <w:vAlign w:val="center"/>
          </w:tcPr>
          <w:p>
            <w:pPr>
              <w:pStyle w:val="32"/>
              <w:spacing w:before="15" w:line="240" w:lineRule="auto"/>
              <w:ind w:left="20" w:right="10"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紫外可见分光光度计</w:t>
            </w:r>
          </w:p>
          <w:p>
            <w:pPr>
              <w:pStyle w:val="32"/>
              <w:spacing w:line="240" w:lineRule="auto"/>
              <w:ind w:right="8" w:firstLine="0" w:firstLineChars="0"/>
              <w:rPr>
                <w:rFonts w:asciiTheme="minorHAnsi" w:hAnsiTheme="minorHAnsi" w:eastAsiaTheme="minorEastAsia"/>
                <w:sz w:val="21"/>
                <w:lang w:eastAsia="zh-CN"/>
              </w:rPr>
            </w:pPr>
            <w:r>
              <w:rPr>
                <w:rFonts w:asciiTheme="minorHAnsi" w:hAnsiTheme="minorHAnsi" w:eastAsiaTheme="minorEastAsia"/>
                <w:sz w:val="21"/>
                <w:lang w:eastAsia="zh-CN"/>
              </w:rPr>
              <w:t>UV1801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31" w:type="dxa"/>
            <w:vAlign w:val="center"/>
          </w:tcPr>
          <w:p>
            <w:pPr>
              <w:pStyle w:val="32"/>
              <w:spacing w:before="161" w:line="240" w:lineRule="auto"/>
              <w:ind w:right="74" w:firstLine="0" w:firstLineChars="0"/>
              <w:rPr>
                <w:rFonts w:asciiTheme="minorHAnsi" w:hAnsiTheme="minorHAnsi" w:eastAsiaTheme="minorEastAsia"/>
                <w:sz w:val="21"/>
              </w:rPr>
            </w:pPr>
            <w:r>
              <w:rPr>
                <w:rFonts w:asciiTheme="minorHAnsi" w:hAnsiTheme="minorHAnsi" w:eastAsiaTheme="minorEastAsia"/>
                <w:sz w:val="21"/>
              </w:rPr>
              <w:t>16</w:t>
            </w:r>
          </w:p>
        </w:tc>
        <w:tc>
          <w:tcPr>
            <w:tcW w:w="1291" w:type="dxa"/>
            <w:vAlign w:val="center"/>
          </w:tcPr>
          <w:p>
            <w:pPr>
              <w:pStyle w:val="32"/>
              <w:spacing w:before="18"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硫酸盐（以</w:t>
            </w:r>
          </w:p>
          <w:p>
            <w:pPr>
              <w:pStyle w:val="32"/>
              <w:spacing w:before="2" w:line="240" w:lineRule="auto"/>
              <w:ind w:left="158" w:firstLine="0" w:firstLineChars="0"/>
              <w:rPr>
                <w:rFonts w:asciiTheme="minorHAnsi" w:hAnsiTheme="minorHAnsi" w:eastAsiaTheme="minorEastAsia"/>
                <w:sz w:val="21"/>
              </w:rPr>
            </w:pPr>
            <w:r>
              <w:rPr>
                <w:rFonts w:asciiTheme="minorHAnsi" w:hAnsiTheme="minorHAnsi" w:eastAsiaTheme="minorEastAsia"/>
                <w:position w:val="1"/>
                <w:sz w:val="21"/>
              </w:rPr>
              <w:t>SO42-</w:t>
            </w:r>
            <w:r>
              <w:rPr>
                <w:rFonts w:hint="eastAsia" w:asciiTheme="minorHAnsi" w:hAnsiTheme="minorHAnsi" w:eastAsiaTheme="minorEastAsia"/>
                <w:sz w:val="21"/>
              </w:rPr>
              <w:t>计）</w:t>
            </w:r>
          </w:p>
        </w:tc>
        <w:tc>
          <w:tcPr>
            <w:tcW w:w="4887" w:type="dxa"/>
            <w:vAlign w:val="center"/>
          </w:tcPr>
          <w:p>
            <w:pPr>
              <w:pStyle w:val="32"/>
              <w:spacing w:before="18" w:line="240" w:lineRule="auto"/>
              <w:ind w:firstLine="0" w:firstLineChars="0"/>
              <w:rPr>
                <w:rFonts w:asciiTheme="minorHAnsi" w:hAnsiTheme="minorHAnsi" w:eastAsiaTheme="minorEastAsia"/>
                <w:sz w:val="21"/>
                <w:lang w:eastAsia="zh-CN"/>
              </w:rPr>
            </w:pPr>
            <w:r>
              <w:rPr>
                <w:rFonts w:hint="eastAsia" w:asciiTheme="minorHAnsi" w:hAnsiTheme="minorHAnsi" w:eastAsiaTheme="minorEastAsia"/>
                <w:spacing w:val="-7"/>
                <w:sz w:val="21"/>
              </w:rPr>
              <w:t>《水质 无机阴离子</w:t>
            </w:r>
            <w:r>
              <w:rPr>
                <w:rFonts w:hint="eastAsia" w:asciiTheme="minorHAnsi" w:hAnsiTheme="minorHAnsi" w:eastAsiaTheme="minorEastAsia"/>
                <w:spacing w:val="-3"/>
                <w:sz w:val="21"/>
              </w:rPr>
              <w:t>（</w:t>
            </w:r>
            <w:r>
              <w:rPr>
                <w:rFonts w:asciiTheme="minorHAnsi" w:hAnsiTheme="minorHAnsi" w:eastAsiaTheme="minorEastAsia"/>
                <w:spacing w:val="-3"/>
                <w:position w:val="1"/>
                <w:sz w:val="21"/>
              </w:rPr>
              <w:t>F</w:t>
            </w:r>
            <w:r>
              <w:rPr>
                <w:rFonts w:asciiTheme="minorHAnsi" w:hAnsiTheme="minorHAnsi" w:eastAsiaTheme="minorEastAsia"/>
                <w:spacing w:val="-3"/>
                <w:position w:val="1"/>
                <w:sz w:val="21"/>
                <w:vertAlign w:val="superscript"/>
              </w:rPr>
              <w:t>-</w:t>
            </w:r>
            <w:r>
              <w:rPr>
                <w:rFonts w:hint="eastAsia" w:asciiTheme="minorHAnsi" w:hAnsiTheme="minorHAnsi" w:eastAsiaTheme="minorEastAsia"/>
                <w:spacing w:val="-44"/>
                <w:sz w:val="21"/>
              </w:rPr>
              <w:t>、</w:t>
            </w:r>
            <w:r>
              <w:rPr>
                <w:rFonts w:asciiTheme="minorHAnsi" w:hAnsiTheme="minorHAnsi" w:eastAsiaTheme="minorEastAsia"/>
                <w:position w:val="1"/>
                <w:sz w:val="21"/>
              </w:rPr>
              <w:t>Cl</w:t>
            </w:r>
            <w:r>
              <w:rPr>
                <w:rFonts w:asciiTheme="minorHAnsi" w:hAnsiTheme="minorHAnsi" w:eastAsiaTheme="minorEastAsia"/>
                <w:position w:val="1"/>
                <w:sz w:val="21"/>
                <w:vertAlign w:val="superscript"/>
              </w:rPr>
              <w:t>-</w:t>
            </w:r>
            <w:r>
              <w:rPr>
                <w:rFonts w:hint="eastAsia" w:asciiTheme="minorHAnsi" w:hAnsiTheme="minorHAnsi" w:eastAsiaTheme="minorEastAsia"/>
                <w:spacing w:val="-44"/>
                <w:sz w:val="21"/>
              </w:rPr>
              <w:t>、</w:t>
            </w:r>
            <w:r>
              <w:rPr>
                <w:rFonts w:asciiTheme="minorHAnsi" w:hAnsiTheme="minorHAnsi" w:eastAsiaTheme="minorEastAsia"/>
                <w:position w:val="1"/>
                <w:sz w:val="21"/>
              </w:rPr>
              <w:t>NO</w:t>
            </w:r>
            <w:r>
              <w:rPr>
                <w:rFonts w:asciiTheme="minorHAnsi" w:hAnsiTheme="minorHAnsi" w:eastAsiaTheme="minorEastAsia"/>
                <w:sz w:val="14"/>
              </w:rPr>
              <w:t>2</w:t>
            </w:r>
            <w:r>
              <w:rPr>
                <w:rFonts w:asciiTheme="minorHAnsi" w:hAnsiTheme="minorHAnsi" w:eastAsiaTheme="minorEastAsia"/>
                <w:spacing w:val="10"/>
                <w:position w:val="1"/>
                <w:sz w:val="21"/>
              </w:rPr>
              <w:t xml:space="preserve"> -</w:t>
            </w:r>
            <w:r>
              <w:rPr>
                <w:rFonts w:hint="eastAsia" w:asciiTheme="minorHAnsi" w:hAnsiTheme="minorHAnsi" w:eastAsiaTheme="minorEastAsia"/>
                <w:spacing w:val="-43"/>
                <w:sz w:val="21"/>
              </w:rPr>
              <w:t>、</w:t>
            </w:r>
            <w:r>
              <w:rPr>
                <w:rFonts w:asciiTheme="minorHAnsi" w:hAnsiTheme="minorHAnsi" w:eastAsiaTheme="minorEastAsia"/>
                <w:position w:val="1"/>
                <w:sz w:val="21"/>
              </w:rPr>
              <w:t>Br</w:t>
            </w:r>
            <w:r>
              <w:rPr>
                <w:rFonts w:hint="eastAsia" w:asciiTheme="minorHAnsi" w:hAnsiTheme="minorHAnsi" w:eastAsiaTheme="minorEastAsia"/>
                <w:position w:val="1"/>
                <w:sz w:val="21"/>
                <w:lang w:eastAsia="zh-CN"/>
              </w:rPr>
              <w:t xml:space="preserve"> </w:t>
            </w:r>
            <w:r>
              <w:rPr>
                <w:rFonts w:asciiTheme="minorHAnsi" w:hAnsiTheme="minorHAnsi" w:eastAsiaTheme="minorEastAsia"/>
                <w:position w:val="1"/>
                <w:sz w:val="21"/>
                <w:vertAlign w:val="superscript"/>
              </w:rPr>
              <w:t>-</w:t>
            </w:r>
            <w:r>
              <w:rPr>
                <w:rFonts w:hint="eastAsia" w:asciiTheme="minorHAnsi" w:hAnsiTheme="minorHAnsi" w:eastAsiaTheme="minorEastAsia"/>
                <w:spacing w:val="-46"/>
                <w:sz w:val="21"/>
              </w:rPr>
              <w:t>、</w:t>
            </w:r>
            <w:r>
              <w:rPr>
                <w:rFonts w:asciiTheme="minorHAnsi" w:hAnsiTheme="minorHAnsi" w:eastAsiaTheme="minorEastAsia"/>
                <w:position w:val="1"/>
                <w:sz w:val="21"/>
              </w:rPr>
              <w:t>NO</w:t>
            </w:r>
            <w:r>
              <w:rPr>
                <w:rFonts w:asciiTheme="minorHAnsi" w:hAnsiTheme="minorHAnsi" w:eastAsiaTheme="minorEastAsia"/>
                <w:sz w:val="14"/>
              </w:rPr>
              <w:t>3</w:t>
            </w:r>
            <w:r>
              <w:rPr>
                <w:rFonts w:asciiTheme="minorHAnsi" w:hAnsiTheme="minorHAnsi" w:eastAsiaTheme="minorEastAsia"/>
                <w:position w:val="1"/>
                <w:sz w:val="21"/>
                <w:vertAlign w:val="superscript"/>
              </w:rPr>
              <w:t>-</w:t>
            </w:r>
            <w:r>
              <w:rPr>
                <w:rFonts w:asciiTheme="minorHAnsi" w:hAnsiTheme="minorHAnsi" w:eastAsiaTheme="minorEastAsia"/>
                <w:spacing w:val="10"/>
                <w:position w:val="1"/>
                <w:sz w:val="21"/>
              </w:rPr>
              <w:t xml:space="preserve"> </w:t>
            </w:r>
            <w:r>
              <w:rPr>
                <w:rFonts w:hint="eastAsia" w:asciiTheme="minorHAnsi" w:hAnsiTheme="minorHAnsi" w:eastAsiaTheme="minorEastAsia"/>
                <w:spacing w:val="-46"/>
                <w:sz w:val="21"/>
              </w:rPr>
              <w:t>、</w:t>
            </w:r>
            <w:r>
              <w:rPr>
                <w:rFonts w:asciiTheme="minorHAnsi" w:hAnsiTheme="minorHAnsi" w:eastAsiaTheme="minorEastAsia"/>
                <w:position w:val="1"/>
                <w:sz w:val="21"/>
              </w:rPr>
              <w:t xml:space="preserve">PO </w:t>
            </w:r>
            <w:r>
              <w:rPr>
                <w:rFonts w:asciiTheme="minorHAnsi" w:hAnsiTheme="minorHAnsi" w:eastAsiaTheme="minorEastAsia"/>
                <w:sz w:val="14"/>
              </w:rPr>
              <w:t>4</w:t>
            </w:r>
            <w:r>
              <w:rPr>
                <w:rFonts w:asciiTheme="minorHAnsi" w:hAnsiTheme="minorHAnsi" w:eastAsiaTheme="minorEastAsia"/>
                <w:position w:val="1"/>
                <w:sz w:val="21"/>
                <w:vertAlign w:val="superscript"/>
              </w:rPr>
              <w:t>3-</w:t>
            </w:r>
            <w:r>
              <w:rPr>
                <w:rFonts w:hint="eastAsia" w:asciiTheme="minorHAnsi" w:hAnsiTheme="minorHAnsi" w:eastAsiaTheme="minorEastAsia"/>
                <w:position w:val="1"/>
                <w:sz w:val="21"/>
                <w:lang w:eastAsia="zh-CN"/>
              </w:rPr>
              <w:t>、</w:t>
            </w:r>
          </w:p>
          <w:p>
            <w:pPr>
              <w:pStyle w:val="32"/>
              <w:tabs>
                <w:tab w:val="left" w:pos="4030"/>
                <w:tab w:val="left" w:pos="4505"/>
              </w:tabs>
              <w:spacing w:line="240" w:lineRule="auto"/>
              <w:ind w:firstLine="0" w:firstLineChars="0"/>
              <w:rPr>
                <w:rFonts w:asciiTheme="minorHAnsi" w:hAnsiTheme="minorHAnsi" w:eastAsiaTheme="minorEastAsia"/>
                <w:sz w:val="21"/>
                <w:lang w:eastAsia="zh-CN"/>
              </w:rPr>
            </w:pPr>
            <w:r>
              <w:rPr>
                <w:rFonts w:asciiTheme="minorHAnsi" w:hAnsiTheme="minorHAnsi" w:eastAsiaTheme="minorEastAsia"/>
                <w:position w:val="1"/>
                <w:sz w:val="21"/>
              </w:rPr>
              <w:t>SO</w:t>
            </w:r>
            <w:r>
              <w:rPr>
                <w:rFonts w:asciiTheme="minorHAnsi" w:hAnsiTheme="minorHAnsi" w:eastAsiaTheme="minorEastAsia"/>
                <w:sz w:val="14"/>
              </w:rPr>
              <w:t>3</w:t>
            </w:r>
            <w:r>
              <w:rPr>
                <w:rFonts w:asciiTheme="minorHAnsi" w:hAnsiTheme="minorHAnsi" w:eastAsiaTheme="minorEastAsia"/>
                <w:w w:val="97"/>
                <w:position w:val="1"/>
                <w:sz w:val="21"/>
                <w:vertAlign w:val="superscript"/>
              </w:rPr>
              <w:t>2</w:t>
            </w:r>
            <w:r>
              <w:rPr>
                <w:rFonts w:asciiTheme="minorHAnsi" w:hAnsiTheme="minorHAnsi" w:eastAsiaTheme="minorEastAsia"/>
                <w:spacing w:val="-1"/>
                <w:w w:val="97"/>
                <w:position w:val="1"/>
                <w:sz w:val="21"/>
                <w:vertAlign w:val="superscript"/>
              </w:rPr>
              <w:t>-</w:t>
            </w:r>
            <w:r>
              <w:rPr>
                <w:rFonts w:hint="eastAsia" w:asciiTheme="minorHAnsi" w:hAnsiTheme="minorHAnsi" w:eastAsiaTheme="minorEastAsia"/>
                <w:spacing w:val="-101"/>
                <w:sz w:val="21"/>
              </w:rPr>
              <w:t>、</w:t>
            </w:r>
            <w:r>
              <w:rPr>
                <w:rFonts w:hint="eastAsia" w:asciiTheme="minorHAnsi" w:hAnsiTheme="minorHAnsi" w:eastAsiaTheme="minorEastAsia"/>
                <w:spacing w:val="-101"/>
                <w:sz w:val="21"/>
                <w:lang w:eastAsia="zh-CN"/>
              </w:rPr>
              <w:t xml:space="preserve">       </w:t>
            </w:r>
            <w:r>
              <w:rPr>
                <w:rFonts w:hint="eastAsia" w:asciiTheme="minorHAnsi" w:hAnsiTheme="minorHAnsi" w:eastAsiaTheme="minorEastAsia"/>
                <w:spacing w:val="-3"/>
                <w:position w:val="1"/>
                <w:sz w:val="21"/>
                <w:lang w:eastAsia="zh-CN"/>
              </w:rPr>
              <w:t xml:space="preserve"> </w:t>
            </w:r>
            <w:r>
              <w:rPr>
                <w:rFonts w:hint="eastAsia" w:ascii="宋体" w:hAnsi="宋体" w:eastAsiaTheme="minorEastAsia"/>
                <w:spacing w:val="-3"/>
                <w:position w:val="1"/>
                <w:sz w:val="21"/>
                <w:szCs w:val="21"/>
                <w:lang w:eastAsia="zh-CN"/>
              </w:rPr>
              <w:t>S</w:t>
            </w:r>
            <w:r>
              <w:rPr>
                <w:rFonts w:asciiTheme="minorHAnsi" w:hAnsiTheme="minorHAnsi" w:eastAsiaTheme="minorEastAsia"/>
                <w:position w:val="1"/>
                <w:sz w:val="21"/>
              </w:rPr>
              <w:t>O</w:t>
            </w:r>
            <w:r>
              <w:rPr>
                <w:rFonts w:asciiTheme="minorHAnsi" w:hAnsiTheme="minorHAnsi" w:eastAsiaTheme="minorEastAsia"/>
                <w:sz w:val="14"/>
              </w:rPr>
              <w:t>4</w:t>
            </w:r>
            <w:r>
              <w:rPr>
                <w:rFonts w:asciiTheme="minorHAnsi" w:hAnsiTheme="minorHAnsi" w:eastAsiaTheme="minorEastAsia"/>
                <w:spacing w:val="18"/>
                <w:position w:val="1"/>
                <w:sz w:val="21"/>
              </w:rPr>
              <w:t xml:space="preserve"> </w:t>
            </w:r>
            <w:r>
              <w:rPr>
                <w:rFonts w:asciiTheme="minorHAnsi" w:hAnsiTheme="minorHAnsi" w:eastAsiaTheme="minorEastAsia"/>
                <w:w w:val="97"/>
                <w:position w:val="1"/>
                <w:sz w:val="21"/>
                <w:vertAlign w:val="superscript"/>
              </w:rPr>
              <w:t>2</w:t>
            </w:r>
            <w:r>
              <w:rPr>
                <w:rFonts w:asciiTheme="minorHAnsi" w:hAnsiTheme="minorHAnsi" w:eastAsiaTheme="minorEastAsia"/>
                <w:spacing w:val="-1"/>
                <w:w w:val="97"/>
                <w:position w:val="1"/>
                <w:sz w:val="21"/>
                <w:vertAlign w:val="superscript"/>
              </w:rPr>
              <w:t>-</w:t>
            </w:r>
            <w:r>
              <w:rPr>
                <w:rFonts w:hint="eastAsia" w:asciiTheme="minorHAnsi" w:hAnsiTheme="minorHAnsi" w:eastAsiaTheme="minorEastAsia"/>
                <w:spacing w:val="-1"/>
                <w:w w:val="97"/>
                <w:position w:val="1"/>
                <w:sz w:val="21"/>
                <w:vertAlign w:val="superscript"/>
                <w:lang w:eastAsia="zh-CN"/>
              </w:rPr>
              <w:t xml:space="preserve"> </w:t>
            </w:r>
            <w:r>
              <w:rPr>
                <w:rFonts w:hint="eastAsia" w:asciiTheme="minorHAnsi" w:hAnsiTheme="minorHAnsi" w:eastAsiaTheme="minorEastAsia"/>
                <w:spacing w:val="-101"/>
                <w:sz w:val="21"/>
              </w:rPr>
              <w:t>）</w:t>
            </w:r>
            <w:r>
              <w:rPr>
                <w:rFonts w:hint="eastAsia" w:asciiTheme="minorHAnsi" w:hAnsiTheme="minorHAnsi" w:eastAsiaTheme="minorEastAsia"/>
                <w:spacing w:val="-2"/>
                <w:sz w:val="21"/>
              </w:rPr>
              <w:t xml:space="preserve">的测定 </w:t>
            </w:r>
            <w:r>
              <w:rPr>
                <w:rFonts w:hint="eastAsia" w:asciiTheme="minorHAnsi" w:hAnsiTheme="minorHAnsi" w:eastAsiaTheme="minorEastAsia"/>
                <w:spacing w:val="-23"/>
                <w:sz w:val="21"/>
              </w:rPr>
              <w:t>离</w:t>
            </w:r>
            <w:r>
              <w:rPr>
                <w:rFonts w:hint="eastAsia" w:asciiTheme="minorHAnsi" w:hAnsiTheme="minorHAnsi" w:eastAsiaTheme="minorEastAsia"/>
                <w:sz w:val="21"/>
              </w:rPr>
              <w:t>子色谱法</w:t>
            </w:r>
            <w:r>
              <w:rPr>
                <w:rFonts w:hint="eastAsia" w:asciiTheme="minorHAnsi" w:hAnsiTheme="minorHAnsi" w:eastAsiaTheme="minorEastAsia"/>
                <w:spacing w:val="-3"/>
                <w:sz w:val="21"/>
              </w:rPr>
              <w:t>（</w:t>
            </w:r>
            <w:r>
              <w:rPr>
                <w:rFonts w:hint="eastAsia" w:asciiTheme="minorHAnsi" w:hAnsiTheme="minorHAnsi" w:eastAsiaTheme="minorEastAsia"/>
                <w:spacing w:val="-2"/>
                <w:sz w:val="21"/>
              </w:rPr>
              <w:t>发布稿</w:t>
            </w:r>
            <w:r>
              <w:rPr>
                <w:rFonts w:hint="eastAsia" w:asciiTheme="minorHAnsi" w:hAnsiTheme="minorHAnsi" w:eastAsiaTheme="minorEastAsia"/>
                <w:spacing w:val="-2"/>
                <w:sz w:val="21"/>
                <w:lang w:eastAsia="zh-CN"/>
              </w:rPr>
              <w:t>）》HJ</w:t>
            </w:r>
            <w:r>
              <w:rPr>
                <w:rFonts w:asciiTheme="minorHAnsi" w:hAnsiTheme="minorHAnsi" w:eastAsiaTheme="minorEastAsia"/>
                <w:position w:val="1"/>
                <w:sz w:val="21"/>
              </w:rPr>
              <w:t>8</w:t>
            </w:r>
            <w:r>
              <w:rPr>
                <w:rFonts w:asciiTheme="minorHAnsi" w:hAnsiTheme="minorHAnsi" w:eastAsiaTheme="minorEastAsia"/>
                <w:spacing w:val="-1"/>
                <w:position w:val="1"/>
                <w:sz w:val="21"/>
              </w:rPr>
              <w:t>4</w:t>
            </w:r>
            <w:r>
              <w:rPr>
                <w:rFonts w:asciiTheme="minorHAnsi" w:hAnsiTheme="minorHAnsi" w:eastAsiaTheme="minorEastAsia"/>
                <w:spacing w:val="-4"/>
                <w:position w:val="1"/>
                <w:sz w:val="21"/>
              </w:rPr>
              <w:t>-</w:t>
            </w:r>
            <w:r>
              <w:rPr>
                <w:rFonts w:asciiTheme="minorHAnsi" w:hAnsiTheme="minorHAnsi" w:eastAsiaTheme="minorEastAsia"/>
                <w:position w:val="1"/>
                <w:sz w:val="21"/>
              </w:rPr>
              <w:t>2016</w:t>
            </w:r>
          </w:p>
        </w:tc>
        <w:tc>
          <w:tcPr>
            <w:tcW w:w="1971" w:type="dxa"/>
            <w:vAlign w:val="center"/>
          </w:tcPr>
          <w:p>
            <w:pPr>
              <w:pStyle w:val="32"/>
              <w:spacing w:line="240" w:lineRule="auto"/>
              <w:ind w:firstLine="0" w:firstLineChars="0"/>
              <w:rPr>
                <w:rFonts w:asciiTheme="minorHAnsi" w:hAnsiTheme="minorHAnsi" w:eastAsiaTheme="minorEastAsia"/>
                <w:spacing w:val="-11"/>
                <w:sz w:val="21"/>
                <w:lang w:eastAsia="zh-CN"/>
              </w:rPr>
            </w:pPr>
            <w:r>
              <w:rPr>
                <w:rFonts w:hint="eastAsia" w:asciiTheme="minorHAnsi" w:hAnsiTheme="minorHAnsi" w:eastAsiaTheme="minorEastAsia"/>
                <w:spacing w:val="-11"/>
                <w:sz w:val="21"/>
              </w:rPr>
              <w:t>离子色谱仪</w:t>
            </w:r>
          </w:p>
          <w:p>
            <w:pPr>
              <w:pStyle w:val="32"/>
              <w:spacing w:line="240" w:lineRule="auto"/>
              <w:ind w:firstLine="0" w:firstLineChars="0"/>
              <w:rPr>
                <w:rFonts w:asciiTheme="minorHAnsi" w:hAnsiTheme="minorHAnsi" w:eastAsiaTheme="minorEastAsia"/>
                <w:sz w:val="21"/>
              </w:rPr>
            </w:pPr>
            <w:r>
              <w:rPr>
                <w:rFonts w:asciiTheme="minorHAnsi" w:hAnsiTheme="minorHAnsi" w:eastAsiaTheme="minorEastAsia"/>
                <w:position w:val="1"/>
                <w:sz w:val="21"/>
              </w:rPr>
              <w:t>ICS-2100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631" w:type="dxa"/>
            <w:vAlign w:val="center"/>
          </w:tcPr>
          <w:p>
            <w:pPr>
              <w:pStyle w:val="32"/>
              <w:spacing w:before="161" w:line="240" w:lineRule="auto"/>
              <w:ind w:right="74" w:firstLine="0" w:firstLineChars="0"/>
              <w:rPr>
                <w:rFonts w:asciiTheme="minorHAnsi" w:hAnsiTheme="minorHAnsi" w:eastAsiaTheme="minorEastAsia"/>
                <w:sz w:val="21"/>
              </w:rPr>
            </w:pPr>
            <w:r>
              <w:rPr>
                <w:rFonts w:asciiTheme="minorHAnsi" w:hAnsiTheme="minorHAnsi" w:eastAsiaTheme="minorEastAsia"/>
                <w:sz w:val="21"/>
              </w:rPr>
              <w:t>17</w:t>
            </w:r>
          </w:p>
        </w:tc>
        <w:tc>
          <w:tcPr>
            <w:tcW w:w="1291" w:type="dxa"/>
            <w:vAlign w:val="center"/>
          </w:tcPr>
          <w:p>
            <w:pPr>
              <w:pStyle w:val="32"/>
              <w:spacing w:before="18" w:line="240" w:lineRule="auto"/>
              <w:ind w:firstLine="0" w:firstLineChars="0"/>
              <w:rPr>
                <w:rFonts w:asciiTheme="minorHAnsi" w:hAnsiTheme="minorHAnsi" w:eastAsiaTheme="minorEastAsia"/>
                <w:spacing w:val="-7"/>
                <w:sz w:val="21"/>
              </w:rPr>
            </w:pPr>
            <w:r>
              <w:rPr>
                <w:rFonts w:hint="eastAsia" w:asciiTheme="minorHAnsi" w:hAnsiTheme="minorHAnsi" w:eastAsiaTheme="minorEastAsia"/>
                <w:spacing w:val="-7"/>
                <w:sz w:val="21"/>
              </w:rPr>
              <w:t>氯化物</w:t>
            </w:r>
          </w:p>
          <w:p>
            <w:pPr>
              <w:pStyle w:val="32"/>
              <w:spacing w:before="18" w:line="240" w:lineRule="auto"/>
              <w:ind w:left="5" w:firstLine="0" w:firstLineChars="0"/>
              <w:rPr>
                <w:rFonts w:asciiTheme="minorHAnsi" w:hAnsiTheme="minorHAnsi" w:eastAsiaTheme="minorEastAsia"/>
                <w:spacing w:val="-7"/>
                <w:sz w:val="21"/>
              </w:rPr>
            </w:pPr>
            <w:r>
              <w:rPr>
                <w:rFonts w:hint="eastAsia" w:asciiTheme="minorHAnsi" w:hAnsiTheme="minorHAnsi" w:eastAsiaTheme="minorEastAsia"/>
                <w:spacing w:val="-7"/>
                <w:sz w:val="21"/>
              </w:rPr>
              <w:t>（以</w:t>
            </w:r>
            <w:r>
              <w:rPr>
                <w:rFonts w:asciiTheme="minorHAnsi" w:hAnsiTheme="minorHAnsi" w:eastAsiaTheme="minorEastAsia"/>
                <w:spacing w:val="-7"/>
                <w:sz w:val="21"/>
              </w:rPr>
              <w:t>Cl-</w:t>
            </w:r>
            <w:r>
              <w:rPr>
                <w:rFonts w:hint="eastAsia" w:asciiTheme="minorHAnsi" w:hAnsiTheme="minorHAnsi" w:eastAsiaTheme="minorEastAsia"/>
                <w:spacing w:val="-7"/>
                <w:sz w:val="21"/>
              </w:rPr>
              <w:t>计）</w:t>
            </w:r>
          </w:p>
        </w:tc>
        <w:tc>
          <w:tcPr>
            <w:tcW w:w="4887" w:type="dxa"/>
            <w:vAlign w:val="center"/>
          </w:tcPr>
          <w:p>
            <w:pPr>
              <w:spacing w:before="18" w:line="240" w:lineRule="auto"/>
              <w:ind w:firstLine="0" w:firstLineChars="0"/>
              <w:jc w:val="center"/>
              <w:rPr>
                <w:rFonts w:asciiTheme="minorHAnsi" w:hAnsiTheme="minorHAnsi" w:eastAsiaTheme="minorEastAsia"/>
                <w:spacing w:val="-7"/>
                <w:sz w:val="21"/>
                <w:lang w:val="en-US" w:eastAsia="en-US" w:bidi="ar-SA"/>
              </w:rPr>
            </w:pPr>
            <w:r>
              <w:rPr>
                <w:rFonts w:hint="eastAsia" w:asciiTheme="minorHAnsi" w:hAnsiTheme="minorHAnsi" w:eastAsiaTheme="minorEastAsia"/>
                <w:spacing w:val="-7"/>
                <w:sz w:val="21"/>
                <w:lang w:val="en-US" w:eastAsia="en-US" w:bidi="ar-SA"/>
              </w:rPr>
              <w:t>《水质 无机阴离子（F</w:t>
            </w:r>
            <w:r>
              <w:rPr>
                <w:rFonts w:hint="eastAsia" w:asciiTheme="minorHAnsi" w:hAnsiTheme="minorHAnsi" w:eastAsiaTheme="minorEastAsia"/>
                <w:spacing w:val="-7"/>
                <w:sz w:val="21"/>
                <w:vertAlign w:val="superscript"/>
                <w:lang w:val="en-US" w:eastAsia="en-US" w:bidi="ar-SA"/>
              </w:rPr>
              <w:t>-</w:t>
            </w:r>
            <w:r>
              <w:rPr>
                <w:rFonts w:hint="eastAsia" w:asciiTheme="minorHAnsi" w:hAnsiTheme="minorHAnsi" w:eastAsiaTheme="minorEastAsia"/>
                <w:spacing w:val="-7"/>
                <w:sz w:val="21"/>
                <w:lang w:val="en-US" w:eastAsia="en-US" w:bidi="ar-SA"/>
              </w:rPr>
              <w:t>、Cl</w:t>
            </w:r>
            <w:r>
              <w:rPr>
                <w:rFonts w:hint="eastAsia" w:asciiTheme="minorHAnsi" w:hAnsiTheme="minorHAnsi" w:eastAsiaTheme="minorEastAsia"/>
                <w:spacing w:val="-7"/>
                <w:sz w:val="21"/>
                <w:vertAlign w:val="superscript"/>
                <w:lang w:val="en-US" w:eastAsia="en-US" w:bidi="ar-SA"/>
              </w:rPr>
              <w:t>-</w:t>
            </w:r>
            <w:r>
              <w:rPr>
                <w:rFonts w:hint="eastAsia" w:asciiTheme="minorHAnsi" w:hAnsiTheme="minorHAnsi" w:eastAsiaTheme="minorEastAsia"/>
                <w:spacing w:val="-7"/>
                <w:sz w:val="21"/>
                <w:lang w:val="en-US" w:eastAsia="en-US" w:bidi="ar-SA"/>
              </w:rPr>
              <w:t>、NO</w:t>
            </w:r>
            <w:r>
              <w:rPr>
                <w:rFonts w:hint="eastAsia" w:asciiTheme="minorHAnsi" w:hAnsiTheme="minorHAnsi" w:eastAsiaTheme="minorEastAsia"/>
                <w:spacing w:val="-7"/>
                <w:sz w:val="21"/>
                <w:vertAlign w:val="subscript"/>
                <w:lang w:val="en-US" w:eastAsia="en-US" w:bidi="ar-SA"/>
              </w:rPr>
              <w:t>2</w:t>
            </w:r>
            <w:r>
              <w:rPr>
                <w:rFonts w:hint="eastAsia" w:asciiTheme="minorHAnsi" w:hAnsiTheme="minorHAnsi" w:eastAsiaTheme="minorEastAsia"/>
                <w:spacing w:val="-7"/>
                <w:sz w:val="21"/>
                <w:vertAlign w:val="superscript"/>
                <w:lang w:val="en-US" w:eastAsia="en-US" w:bidi="ar-SA"/>
              </w:rPr>
              <w:t xml:space="preserve"> -</w:t>
            </w:r>
            <w:r>
              <w:rPr>
                <w:rFonts w:hint="eastAsia" w:asciiTheme="minorHAnsi" w:hAnsiTheme="minorHAnsi" w:eastAsiaTheme="minorEastAsia"/>
                <w:spacing w:val="-7"/>
                <w:sz w:val="21"/>
                <w:lang w:val="en-US" w:eastAsia="en-US" w:bidi="ar-SA"/>
              </w:rPr>
              <w:t>、Br</w:t>
            </w:r>
            <w:r>
              <w:rPr>
                <w:rFonts w:hint="eastAsia" w:asciiTheme="minorHAnsi" w:hAnsiTheme="minorHAnsi" w:eastAsiaTheme="minorEastAsia"/>
                <w:spacing w:val="-7"/>
                <w:sz w:val="21"/>
                <w:vertAlign w:val="superscript"/>
                <w:lang w:val="en-US" w:eastAsia="en-US" w:bidi="ar-SA"/>
              </w:rPr>
              <w:t xml:space="preserve"> -</w:t>
            </w:r>
            <w:r>
              <w:rPr>
                <w:rFonts w:hint="eastAsia" w:asciiTheme="minorHAnsi" w:hAnsiTheme="minorHAnsi" w:eastAsiaTheme="minorEastAsia"/>
                <w:spacing w:val="-7"/>
                <w:sz w:val="21"/>
                <w:lang w:val="en-US" w:eastAsia="en-US" w:bidi="ar-SA"/>
              </w:rPr>
              <w:t>、NO</w:t>
            </w:r>
            <w:r>
              <w:rPr>
                <w:rFonts w:hint="eastAsia" w:asciiTheme="minorHAnsi" w:hAnsiTheme="minorHAnsi" w:eastAsiaTheme="minorEastAsia"/>
                <w:spacing w:val="-7"/>
                <w:sz w:val="21"/>
                <w:vertAlign w:val="superscript"/>
                <w:lang w:val="en-US" w:eastAsia="en-US" w:bidi="ar-SA"/>
              </w:rPr>
              <w:t xml:space="preserve">3- </w:t>
            </w:r>
            <w:r>
              <w:rPr>
                <w:rFonts w:hint="eastAsia" w:asciiTheme="minorHAnsi" w:hAnsiTheme="minorHAnsi" w:eastAsiaTheme="minorEastAsia"/>
                <w:spacing w:val="-7"/>
                <w:sz w:val="21"/>
                <w:lang w:val="en-US" w:eastAsia="en-US" w:bidi="ar-SA"/>
              </w:rPr>
              <w:t xml:space="preserve">、PO </w:t>
            </w:r>
            <w:r>
              <w:rPr>
                <w:rFonts w:hint="eastAsia" w:asciiTheme="minorHAnsi" w:hAnsiTheme="minorHAnsi" w:eastAsiaTheme="minorEastAsia"/>
                <w:spacing w:val="-7"/>
                <w:sz w:val="21"/>
                <w:vertAlign w:val="subscript"/>
                <w:lang w:val="en-US" w:eastAsia="en-US" w:bidi="ar-SA"/>
              </w:rPr>
              <w:t>4</w:t>
            </w:r>
            <w:r>
              <w:rPr>
                <w:rFonts w:hint="eastAsia" w:asciiTheme="minorHAnsi" w:hAnsiTheme="minorHAnsi" w:eastAsiaTheme="minorEastAsia"/>
                <w:spacing w:val="-7"/>
                <w:sz w:val="21"/>
                <w:vertAlign w:val="superscript"/>
                <w:lang w:val="en-US" w:eastAsia="en-US" w:bidi="ar-SA"/>
              </w:rPr>
              <w:t>3-</w:t>
            </w:r>
            <w:r>
              <w:rPr>
                <w:rFonts w:hint="eastAsia" w:asciiTheme="minorHAnsi" w:hAnsiTheme="minorHAnsi" w:eastAsiaTheme="minorEastAsia"/>
                <w:spacing w:val="-7"/>
                <w:sz w:val="21"/>
                <w:lang w:val="en-US" w:eastAsia="en-US" w:bidi="ar-SA"/>
              </w:rPr>
              <w:t>、SO</w:t>
            </w:r>
            <w:r>
              <w:rPr>
                <w:rFonts w:hint="eastAsia" w:asciiTheme="minorHAnsi" w:hAnsiTheme="minorHAnsi" w:eastAsiaTheme="minorEastAsia"/>
                <w:spacing w:val="-7"/>
                <w:sz w:val="21"/>
                <w:vertAlign w:val="subscript"/>
                <w:lang w:val="en-US" w:eastAsia="en-US" w:bidi="ar-SA"/>
              </w:rPr>
              <w:t>3</w:t>
            </w:r>
            <w:r>
              <w:rPr>
                <w:rFonts w:hint="eastAsia" w:asciiTheme="minorHAnsi" w:hAnsiTheme="minorHAnsi" w:eastAsiaTheme="minorEastAsia"/>
                <w:spacing w:val="-7"/>
                <w:sz w:val="21"/>
                <w:vertAlign w:val="superscript"/>
                <w:lang w:val="en-US" w:eastAsia="en-US" w:bidi="ar-SA"/>
              </w:rPr>
              <w:t>2-</w:t>
            </w:r>
            <w:r>
              <w:rPr>
                <w:rFonts w:hint="eastAsia" w:asciiTheme="minorHAnsi" w:hAnsiTheme="minorHAnsi" w:eastAsiaTheme="minorEastAsia"/>
                <w:spacing w:val="-7"/>
                <w:sz w:val="21"/>
                <w:lang w:val="en-US" w:eastAsia="en-US" w:bidi="ar-SA"/>
              </w:rPr>
              <w:t xml:space="preserve"> 、SO</w:t>
            </w:r>
            <w:r>
              <w:rPr>
                <w:rFonts w:hint="eastAsia" w:asciiTheme="minorHAnsi" w:hAnsiTheme="minorHAnsi" w:eastAsiaTheme="minorEastAsia"/>
                <w:spacing w:val="-7"/>
                <w:sz w:val="21"/>
                <w:vertAlign w:val="subscript"/>
                <w:lang w:val="en-US" w:eastAsia="en-US" w:bidi="ar-SA"/>
              </w:rPr>
              <w:t>4</w:t>
            </w:r>
            <w:r>
              <w:rPr>
                <w:rFonts w:hint="eastAsia" w:asciiTheme="minorHAnsi" w:hAnsiTheme="minorHAnsi" w:eastAsiaTheme="minorEastAsia"/>
                <w:spacing w:val="-7"/>
                <w:sz w:val="21"/>
                <w:vertAlign w:val="superscript"/>
                <w:lang w:val="en-US" w:eastAsia="en-US" w:bidi="ar-SA"/>
              </w:rPr>
              <w:t xml:space="preserve"> 2- </w:t>
            </w:r>
            <w:r>
              <w:rPr>
                <w:rFonts w:hint="eastAsia" w:asciiTheme="minorHAnsi" w:hAnsiTheme="minorHAnsi" w:eastAsiaTheme="minorEastAsia"/>
                <w:spacing w:val="-7"/>
                <w:sz w:val="21"/>
                <w:lang w:val="en-US" w:eastAsia="en-US" w:bidi="ar-SA"/>
              </w:rPr>
              <w:t>）的测定 离子色谱法（发布稿）》HJ84-2016</w:t>
            </w:r>
          </w:p>
        </w:tc>
        <w:tc>
          <w:tcPr>
            <w:tcW w:w="1971" w:type="dxa"/>
            <w:vAlign w:val="center"/>
          </w:tcPr>
          <w:p>
            <w:pPr>
              <w:pStyle w:val="32"/>
              <w:spacing w:line="240" w:lineRule="auto"/>
              <w:ind w:firstLine="0" w:firstLineChars="0"/>
              <w:rPr>
                <w:rFonts w:asciiTheme="minorHAnsi" w:hAnsiTheme="minorHAnsi" w:eastAsiaTheme="minorEastAsia"/>
                <w:spacing w:val="-11"/>
                <w:sz w:val="21"/>
                <w:lang w:eastAsia="zh-CN"/>
              </w:rPr>
            </w:pPr>
            <w:r>
              <w:rPr>
                <w:rFonts w:hint="eastAsia" w:asciiTheme="minorHAnsi" w:hAnsiTheme="minorHAnsi" w:eastAsiaTheme="minorEastAsia"/>
                <w:spacing w:val="-11"/>
                <w:sz w:val="21"/>
              </w:rPr>
              <w:t>离子色谱仪</w:t>
            </w:r>
          </w:p>
          <w:p>
            <w:pPr>
              <w:pStyle w:val="32"/>
              <w:spacing w:line="240" w:lineRule="auto"/>
              <w:ind w:firstLine="0" w:firstLineChars="0"/>
              <w:rPr>
                <w:rFonts w:asciiTheme="minorHAnsi" w:hAnsiTheme="minorHAnsi" w:eastAsiaTheme="minorEastAsia"/>
                <w:sz w:val="21"/>
              </w:rPr>
            </w:pPr>
            <w:r>
              <w:rPr>
                <w:rFonts w:asciiTheme="minorHAnsi" w:hAnsiTheme="minorHAnsi" w:eastAsiaTheme="minorEastAsia"/>
                <w:position w:val="1"/>
                <w:sz w:val="21"/>
              </w:rPr>
              <w:t>ICS-2100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631" w:type="dxa"/>
            <w:vAlign w:val="center"/>
          </w:tcPr>
          <w:p>
            <w:pPr>
              <w:pStyle w:val="32"/>
              <w:spacing w:before="159" w:line="240" w:lineRule="auto"/>
              <w:ind w:right="74" w:firstLine="0" w:firstLineChars="0"/>
              <w:rPr>
                <w:rFonts w:asciiTheme="minorHAnsi" w:hAnsiTheme="minorHAnsi" w:eastAsiaTheme="minorEastAsia"/>
                <w:sz w:val="21"/>
              </w:rPr>
            </w:pPr>
            <w:r>
              <w:rPr>
                <w:rFonts w:asciiTheme="minorHAnsi" w:hAnsiTheme="minorHAnsi" w:eastAsiaTheme="minorEastAsia"/>
                <w:sz w:val="21"/>
              </w:rPr>
              <w:t>18</w:t>
            </w:r>
          </w:p>
        </w:tc>
        <w:tc>
          <w:tcPr>
            <w:tcW w:w="1291" w:type="dxa"/>
            <w:vAlign w:val="center"/>
          </w:tcPr>
          <w:p>
            <w:pPr>
              <w:pStyle w:val="32"/>
              <w:spacing w:before="15" w:line="240" w:lineRule="auto"/>
              <w:ind w:firstLine="0" w:firstLineChars="0"/>
              <w:rPr>
                <w:rFonts w:ascii="宋体" w:hAnsi="宋体" w:eastAsiaTheme="minorEastAsia"/>
                <w:sz w:val="21"/>
                <w:szCs w:val="21"/>
              </w:rPr>
            </w:pPr>
            <w:r>
              <w:rPr>
                <w:rFonts w:hint="eastAsia" w:ascii="宋体" w:hAnsi="宋体" w:eastAsiaTheme="minorEastAsia"/>
                <w:sz w:val="21"/>
                <w:szCs w:val="21"/>
              </w:rPr>
              <w:t>硝酸盐</w:t>
            </w:r>
          </w:p>
          <w:p>
            <w:pPr>
              <w:pStyle w:val="32"/>
              <w:spacing w:before="5" w:line="240" w:lineRule="auto"/>
              <w:ind w:left="10" w:firstLine="0" w:firstLineChars="0"/>
              <w:rPr>
                <w:rFonts w:ascii="宋体" w:hAnsi="宋体" w:eastAsiaTheme="minorEastAsia"/>
                <w:sz w:val="21"/>
                <w:szCs w:val="21"/>
              </w:rPr>
            </w:pPr>
            <w:r>
              <w:rPr>
                <w:rFonts w:hint="eastAsia" w:ascii="宋体" w:hAnsi="宋体" w:eastAsiaTheme="minorEastAsia"/>
                <w:sz w:val="21"/>
                <w:szCs w:val="21"/>
              </w:rPr>
              <w:t>（以</w:t>
            </w:r>
            <w:r>
              <w:rPr>
                <w:rFonts w:ascii="宋体" w:hAnsi="宋体" w:eastAsiaTheme="minorEastAsia"/>
                <w:position w:val="1"/>
                <w:sz w:val="21"/>
                <w:szCs w:val="21"/>
              </w:rPr>
              <w:t xml:space="preserve">N </w:t>
            </w:r>
            <w:r>
              <w:rPr>
                <w:rFonts w:hint="eastAsia" w:ascii="宋体" w:hAnsi="宋体" w:eastAsiaTheme="minorEastAsia"/>
                <w:sz w:val="21"/>
                <w:szCs w:val="21"/>
              </w:rPr>
              <w:t>计）</w:t>
            </w:r>
          </w:p>
        </w:tc>
        <w:tc>
          <w:tcPr>
            <w:tcW w:w="4887" w:type="dxa"/>
            <w:vAlign w:val="center"/>
          </w:tcPr>
          <w:p>
            <w:pPr>
              <w:spacing w:line="240" w:lineRule="auto"/>
              <w:ind w:firstLine="0" w:firstLineChars="0"/>
              <w:jc w:val="center"/>
              <w:rPr>
                <w:rFonts w:ascii="宋体" w:hAnsi="宋体" w:eastAsiaTheme="minorEastAsia"/>
                <w:sz w:val="21"/>
                <w:szCs w:val="21"/>
                <w:lang w:val="en-US" w:eastAsia="en-US"/>
              </w:rPr>
            </w:pPr>
            <w:r>
              <w:rPr>
                <w:rFonts w:hint="eastAsia" w:ascii="宋体" w:hAnsi="宋体" w:eastAsiaTheme="minorEastAsia"/>
                <w:sz w:val="21"/>
                <w:szCs w:val="21"/>
                <w:lang w:eastAsia="en-US"/>
              </w:rPr>
              <w:t>《水质</w:t>
            </w:r>
            <w:r>
              <w:rPr>
                <w:rFonts w:hint="eastAsia" w:ascii="宋体" w:hAnsi="宋体" w:eastAsiaTheme="minorEastAsia"/>
                <w:sz w:val="21"/>
                <w:szCs w:val="21"/>
                <w:lang w:val="en-US" w:eastAsia="en-US"/>
              </w:rPr>
              <w:t xml:space="preserve"> </w:t>
            </w:r>
            <w:r>
              <w:rPr>
                <w:rFonts w:hint="eastAsia" w:ascii="宋体" w:hAnsi="宋体" w:eastAsiaTheme="minorEastAsia"/>
                <w:sz w:val="21"/>
                <w:szCs w:val="21"/>
                <w:lang w:eastAsia="en-US"/>
              </w:rPr>
              <w:t>无机阴离子</w:t>
            </w:r>
            <w:r>
              <w:rPr>
                <w:rFonts w:hint="eastAsia" w:ascii="宋体" w:hAnsi="宋体" w:eastAsiaTheme="minorEastAsia"/>
                <w:sz w:val="21"/>
                <w:szCs w:val="21"/>
                <w:lang w:val="en-US" w:eastAsia="en-US"/>
              </w:rPr>
              <w:t>（F</w:t>
            </w:r>
            <w:r>
              <w:rPr>
                <w:rFonts w:hint="eastAsia" w:ascii="宋体" w:hAnsi="宋体" w:eastAsiaTheme="minorEastAsia"/>
                <w:sz w:val="21"/>
                <w:szCs w:val="21"/>
                <w:vertAlign w:val="superscript"/>
                <w:lang w:val="en-US" w:eastAsia="en-US"/>
              </w:rPr>
              <w:t>-</w:t>
            </w:r>
            <w:r>
              <w:rPr>
                <w:rFonts w:hint="eastAsia" w:ascii="宋体" w:hAnsi="宋体" w:eastAsiaTheme="minorEastAsia"/>
                <w:sz w:val="21"/>
                <w:szCs w:val="21"/>
                <w:lang w:eastAsia="en-US"/>
              </w:rPr>
              <w:t>、</w:t>
            </w:r>
            <w:r>
              <w:rPr>
                <w:rFonts w:hint="eastAsia" w:ascii="宋体" w:hAnsi="宋体" w:eastAsiaTheme="minorEastAsia"/>
                <w:sz w:val="21"/>
                <w:szCs w:val="21"/>
                <w:lang w:val="en-US" w:eastAsia="en-US"/>
              </w:rPr>
              <w:t>Cl</w:t>
            </w:r>
            <w:r>
              <w:rPr>
                <w:rFonts w:hint="eastAsia" w:ascii="宋体" w:hAnsi="宋体" w:eastAsiaTheme="minorEastAsia"/>
                <w:sz w:val="21"/>
                <w:szCs w:val="21"/>
                <w:vertAlign w:val="superscript"/>
                <w:lang w:val="en-US" w:eastAsia="en-US"/>
              </w:rPr>
              <w:t>-</w:t>
            </w:r>
            <w:r>
              <w:rPr>
                <w:rFonts w:hint="eastAsia" w:ascii="宋体" w:hAnsi="宋体" w:eastAsiaTheme="minorEastAsia"/>
                <w:sz w:val="21"/>
                <w:szCs w:val="21"/>
                <w:lang w:eastAsia="en-US"/>
              </w:rPr>
              <w:t>、</w:t>
            </w:r>
            <w:r>
              <w:rPr>
                <w:rFonts w:hint="eastAsia" w:ascii="宋体" w:hAnsi="宋体" w:eastAsiaTheme="minorEastAsia"/>
                <w:sz w:val="21"/>
                <w:szCs w:val="21"/>
                <w:lang w:val="en-US" w:eastAsia="en-US"/>
              </w:rPr>
              <w:t>NO</w:t>
            </w:r>
            <w:r>
              <w:rPr>
                <w:rFonts w:hint="eastAsia" w:ascii="宋体" w:hAnsi="宋体" w:eastAsiaTheme="minorEastAsia"/>
                <w:sz w:val="21"/>
                <w:szCs w:val="21"/>
                <w:vertAlign w:val="subscript"/>
                <w:lang w:val="en-US" w:eastAsia="en-US"/>
              </w:rPr>
              <w:t>2</w:t>
            </w:r>
            <w:r>
              <w:rPr>
                <w:rFonts w:hint="eastAsia" w:ascii="宋体" w:hAnsi="宋体" w:eastAsiaTheme="minorEastAsia"/>
                <w:sz w:val="21"/>
                <w:szCs w:val="21"/>
                <w:lang w:val="en-US" w:eastAsia="en-US"/>
              </w:rPr>
              <w:t xml:space="preserve"> </w:t>
            </w:r>
            <w:r>
              <w:rPr>
                <w:rFonts w:hint="eastAsia" w:ascii="宋体" w:hAnsi="宋体" w:eastAsiaTheme="minorEastAsia"/>
                <w:sz w:val="21"/>
                <w:szCs w:val="21"/>
                <w:vertAlign w:val="superscript"/>
                <w:lang w:val="en-US" w:eastAsia="en-US"/>
              </w:rPr>
              <w:t>-</w:t>
            </w:r>
            <w:r>
              <w:rPr>
                <w:rFonts w:hint="eastAsia" w:ascii="宋体" w:hAnsi="宋体" w:eastAsiaTheme="minorEastAsia"/>
                <w:sz w:val="21"/>
                <w:szCs w:val="21"/>
                <w:lang w:eastAsia="en-US"/>
              </w:rPr>
              <w:t>、</w:t>
            </w:r>
            <w:r>
              <w:rPr>
                <w:rFonts w:hint="eastAsia" w:ascii="宋体" w:hAnsi="宋体" w:eastAsiaTheme="minorEastAsia"/>
                <w:sz w:val="21"/>
                <w:szCs w:val="21"/>
                <w:lang w:val="en-US" w:eastAsia="en-US"/>
              </w:rPr>
              <w:t>Br</w:t>
            </w:r>
            <w:r>
              <w:rPr>
                <w:rFonts w:hint="eastAsia" w:ascii="宋体" w:hAnsi="宋体" w:eastAsiaTheme="minorEastAsia"/>
                <w:sz w:val="21"/>
                <w:szCs w:val="21"/>
                <w:vertAlign w:val="superscript"/>
                <w:lang w:val="en-US" w:eastAsia="en-US"/>
              </w:rPr>
              <w:t xml:space="preserve"> -</w:t>
            </w:r>
            <w:r>
              <w:rPr>
                <w:rFonts w:hint="eastAsia" w:ascii="宋体" w:hAnsi="宋体" w:eastAsiaTheme="minorEastAsia"/>
                <w:sz w:val="21"/>
                <w:szCs w:val="21"/>
                <w:lang w:eastAsia="en-US"/>
              </w:rPr>
              <w:t>、</w:t>
            </w:r>
            <w:r>
              <w:rPr>
                <w:rFonts w:hint="eastAsia" w:ascii="宋体" w:hAnsi="宋体" w:eastAsiaTheme="minorEastAsia"/>
                <w:sz w:val="21"/>
                <w:szCs w:val="21"/>
                <w:lang w:val="en-US" w:eastAsia="en-US"/>
              </w:rPr>
              <w:t>NO</w:t>
            </w:r>
            <w:r>
              <w:rPr>
                <w:rFonts w:hint="eastAsia" w:ascii="宋体" w:hAnsi="宋体" w:eastAsiaTheme="minorEastAsia"/>
                <w:sz w:val="21"/>
                <w:szCs w:val="21"/>
                <w:vertAlign w:val="subscript"/>
                <w:lang w:val="en-US" w:eastAsia="en-US"/>
              </w:rPr>
              <w:t>3</w:t>
            </w:r>
            <w:r>
              <w:rPr>
                <w:rFonts w:hint="eastAsia" w:ascii="宋体" w:hAnsi="宋体" w:eastAsiaTheme="minorEastAsia"/>
                <w:sz w:val="21"/>
                <w:szCs w:val="21"/>
                <w:vertAlign w:val="superscript"/>
                <w:lang w:val="en-US" w:eastAsia="en-US"/>
              </w:rPr>
              <w:t>-</w:t>
            </w:r>
            <w:r>
              <w:rPr>
                <w:rFonts w:hint="eastAsia" w:ascii="宋体" w:hAnsi="宋体" w:eastAsiaTheme="minorEastAsia"/>
                <w:sz w:val="21"/>
                <w:szCs w:val="21"/>
                <w:lang w:val="en-US" w:eastAsia="en-US"/>
              </w:rPr>
              <w:t xml:space="preserve"> </w:t>
            </w:r>
            <w:r>
              <w:rPr>
                <w:rFonts w:hint="eastAsia" w:ascii="宋体" w:hAnsi="宋体" w:eastAsiaTheme="minorEastAsia"/>
                <w:sz w:val="21"/>
                <w:szCs w:val="21"/>
                <w:lang w:eastAsia="en-US"/>
              </w:rPr>
              <w:t>、</w:t>
            </w:r>
            <w:r>
              <w:rPr>
                <w:rFonts w:hint="eastAsia" w:ascii="宋体" w:hAnsi="宋体" w:eastAsiaTheme="minorEastAsia"/>
                <w:sz w:val="21"/>
                <w:szCs w:val="21"/>
                <w:lang w:val="en-US" w:eastAsia="en-US"/>
              </w:rPr>
              <w:t>PO</w:t>
            </w:r>
            <w:r>
              <w:rPr>
                <w:rFonts w:hint="eastAsia" w:ascii="宋体" w:hAnsi="宋体" w:eastAsiaTheme="minorEastAsia"/>
                <w:sz w:val="21"/>
                <w:szCs w:val="21"/>
                <w:vertAlign w:val="subscript"/>
                <w:lang w:val="en-US" w:eastAsia="en-US"/>
              </w:rPr>
              <w:t>4</w:t>
            </w:r>
            <w:r>
              <w:rPr>
                <w:rFonts w:hint="eastAsia" w:ascii="宋体" w:hAnsi="宋体" w:eastAsiaTheme="minorEastAsia"/>
                <w:sz w:val="21"/>
                <w:szCs w:val="21"/>
                <w:vertAlign w:val="superscript"/>
                <w:lang w:val="en-US" w:eastAsia="en-US"/>
              </w:rPr>
              <w:t>3-</w:t>
            </w:r>
            <w:r>
              <w:rPr>
                <w:rFonts w:hint="eastAsia" w:ascii="宋体" w:hAnsi="宋体" w:eastAsiaTheme="minorEastAsia"/>
                <w:sz w:val="21"/>
                <w:szCs w:val="21"/>
                <w:lang w:eastAsia="en-US"/>
              </w:rPr>
              <w:t>、</w:t>
            </w:r>
            <w:r>
              <w:rPr>
                <w:rFonts w:hint="eastAsia" w:ascii="宋体" w:hAnsi="宋体" w:eastAsiaTheme="minorEastAsia"/>
                <w:sz w:val="21"/>
                <w:szCs w:val="21"/>
                <w:lang w:val="en-US" w:eastAsia="en-US"/>
              </w:rPr>
              <w:t>SO</w:t>
            </w:r>
            <w:r>
              <w:rPr>
                <w:rFonts w:hint="eastAsia" w:ascii="宋体" w:hAnsi="宋体" w:eastAsiaTheme="minorEastAsia"/>
                <w:sz w:val="21"/>
                <w:szCs w:val="21"/>
                <w:vertAlign w:val="subscript"/>
                <w:lang w:val="en-US" w:eastAsia="en-US"/>
              </w:rPr>
              <w:t>3</w:t>
            </w:r>
            <w:r>
              <w:rPr>
                <w:rFonts w:hint="eastAsia" w:ascii="宋体" w:hAnsi="宋体" w:eastAsiaTheme="minorEastAsia"/>
                <w:sz w:val="21"/>
                <w:szCs w:val="21"/>
                <w:vertAlign w:val="superscript"/>
                <w:lang w:val="en-US" w:eastAsia="en-US"/>
              </w:rPr>
              <w:t>2-</w:t>
            </w:r>
            <w:r>
              <w:rPr>
                <w:rFonts w:hint="eastAsia" w:ascii="宋体" w:hAnsi="宋体" w:eastAsiaTheme="minorEastAsia"/>
                <w:sz w:val="21"/>
                <w:szCs w:val="21"/>
                <w:lang w:val="en-US" w:eastAsia="en-US"/>
              </w:rPr>
              <w:t>、SO</w:t>
            </w:r>
            <w:r>
              <w:rPr>
                <w:rFonts w:hint="eastAsia" w:ascii="宋体" w:hAnsi="宋体" w:eastAsiaTheme="minorEastAsia"/>
                <w:sz w:val="21"/>
                <w:szCs w:val="21"/>
                <w:vertAlign w:val="subscript"/>
                <w:lang w:val="en-US" w:eastAsia="en-US"/>
              </w:rPr>
              <w:t>4</w:t>
            </w:r>
            <w:r>
              <w:rPr>
                <w:rFonts w:hint="eastAsia" w:ascii="宋体" w:hAnsi="宋体" w:eastAsiaTheme="minorEastAsia"/>
                <w:sz w:val="21"/>
                <w:szCs w:val="21"/>
                <w:lang w:val="en-US" w:eastAsia="en-US"/>
              </w:rPr>
              <w:t xml:space="preserve"> </w:t>
            </w:r>
            <w:r>
              <w:rPr>
                <w:rFonts w:hint="eastAsia" w:ascii="宋体" w:hAnsi="宋体" w:eastAsiaTheme="minorEastAsia"/>
                <w:sz w:val="21"/>
                <w:szCs w:val="21"/>
                <w:vertAlign w:val="superscript"/>
                <w:lang w:val="en-US" w:eastAsia="en-US"/>
              </w:rPr>
              <w:t xml:space="preserve">2- </w:t>
            </w:r>
            <w:r>
              <w:rPr>
                <w:rFonts w:hint="eastAsia" w:ascii="宋体" w:hAnsi="宋体" w:eastAsiaTheme="minorEastAsia"/>
                <w:sz w:val="21"/>
                <w:szCs w:val="21"/>
                <w:lang w:val="en-US" w:eastAsia="en-US"/>
              </w:rPr>
              <w:t>）</w:t>
            </w:r>
            <w:r>
              <w:rPr>
                <w:rFonts w:hint="eastAsia" w:ascii="宋体" w:hAnsi="宋体" w:eastAsiaTheme="minorEastAsia"/>
                <w:sz w:val="21"/>
                <w:szCs w:val="21"/>
                <w:lang w:eastAsia="en-US"/>
              </w:rPr>
              <w:t>的测定</w:t>
            </w:r>
            <w:r>
              <w:rPr>
                <w:rFonts w:hint="eastAsia" w:ascii="宋体" w:hAnsi="宋体" w:eastAsiaTheme="minorEastAsia"/>
                <w:sz w:val="21"/>
                <w:szCs w:val="21"/>
                <w:lang w:val="en-US" w:eastAsia="en-US"/>
              </w:rPr>
              <w:t xml:space="preserve"> </w:t>
            </w:r>
            <w:r>
              <w:rPr>
                <w:rFonts w:hint="eastAsia" w:ascii="宋体" w:hAnsi="宋体" w:eastAsiaTheme="minorEastAsia"/>
                <w:sz w:val="21"/>
                <w:szCs w:val="21"/>
                <w:lang w:eastAsia="en-US"/>
              </w:rPr>
              <w:t>离子色谱法</w:t>
            </w:r>
            <w:r>
              <w:rPr>
                <w:rFonts w:hint="eastAsia" w:ascii="宋体" w:hAnsi="宋体" w:eastAsiaTheme="minorEastAsia"/>
                <w:sz w:val="21"/>
                <w:szCs w:val="21"/>
                <w:lang w:val="en-US" w:eastAsia="en-US"/>
              </w:rPr>
              <w:t>（</w:t>
            </w:r>
            <w:r>
              <w:rPr>
                <w:rFonts w:hint="eastAsia" w:ascii="宋体" w:hAnsi="宋体" w:eastAsiaTheme="minorEastAsia"/>
                <w:sz w:val="21"/>
                <w:szCs w:val="21"/>
                <w:lang w:eastAsia="en-US"/>
              </w:rPr>
              <w:t>发布稿</w:t>
            </w:r>
            <w:r>
              <w:rPr>
                <w:rFonts w:hint="eastAsia" w:ascii="宋体" w:hAnsi="宋体" w:eastAsiaTheme="minorEastAsia"/>
                <w:sz w:val="21"/>
                <w:szCs w:val="21"/>
                <w:lang w:val="en-US" w:eastAsia="en-US"/>
              </w:rPr>
              <w:t>）</w:t>
            </w:r>
            <w:r>
              <w:rPr>
                <w:rFonts w:hint="eastAsia" w:ascii="宋体" w:hAnsi="宋体" w:eastAsiaTheme="minorEastAsia"/>
                <w:sz w:val="21"/>
                <w:szCs w:val="21"/>
                <w:lang w:eastAsia="en-US"/>
              </w:rPr>
              <w:t>》</w:t>
            </w:r>
            <w:r>
              <w:rPr>
                <w:rFonts w:hint="eastAsia" w:ascii="宋体" w:hAnsi="宋体" w:eastAsiaTheme="minorEastAsia"/>
                <w:sz w:val="21"/>
                <w:szCs w:val="21"/>
                <w:lang w:val="en-US" w:eastAsia="en-US"/>
              </w:rPr>
              <w:t>HJ84-2016</w:t>
            </w:r>
          </w:p>
        </w:tc>
        <w:tc>
          <w:tcPr>
            <w:tcW w:w="1971" w:type="dxa"/>
            <w:vAlign w:val="center"/>
          </w:tcPr>
          <w:p>
            <w:pPr>
              <w:pStyle w:val="32"/>
              <w:spacing w:line="240" w:lineRule="auto"/>
              <w:ind w:left="24" w:firstLine="0" w:firstLineChars="0"/>
              <w:rPr>
                <w:rFonts w:asciiTheme="minorHAnsi" w:hAnsiTheme="minorHAnsi" w:eastAsiaTheme="minorEastAsia"/>
                <w:spacing w:val="-11"/>
                <w:sz w:val="21"/>
                <w:lang w:eastAsia="zh-CN"/>
              </w:rPr>
            </w:pPr>
            <w:r>
              <w:rPr>
                <w:rFonts w:hint="eastAsia" w:asciiTheme="minorHAnsi" w:hAnsiTheme="minorHAnsi" w:eastAsiaTheme="minorEastAsia"/>
                <w:spacing w:val="-11"/>
                <w:sz w:val="21"/>
              </w:rPr>
              <w:t>离子色谱仪</w:t>
            </w:r>
          </w:p>
          <w:p>
            <w:pPr>
              <w:pStyle w:val="32"/>
              <w:spacing w:line="240" w:lineRule="auto"/>
              <w:ind w:left="24" w:firstLine="0" w:firstLineChars="0"/>
              <w:rPr>
                <w:rFonts w:asciiTheme="minorHAnsi" w:hAnsiTheme="minorHAnsi" w:eastAsiaTheme="minorEastAsia"/>
                <w:sz w:val="21"/>
              </w:rPr>
            </w:pPr>
            <w:r>
              <w:rPr>
                <w:rFonts w:asciiTheme="minorHAnsi" w:hAnsiTheme="minorHAnsi" w:eastAsiaTheme="minorEastAsia"/>
                <w:position w:val="1"/>
                <w:sz w:val="21"/>
              </w:rPr>
              <w:t>ICS-2100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31" w:type="dxa"/>
            <w:vAlign w:val="center"/>
          </w:tcPr>
          <w:p>
            <w:pPr>
              <w:pStyle w:val="32"/>
              <w:spacing w:before="161" w:line="240" w:lineRule="auto"/>
              <w:ind w:right="74" w:firstLine="0" w:firstLineChars="0"/>
              <w:rPr>
                <w:rFonts w:asciiTheme="minorHAnsi" w:hAnsiTheme="minorHAnsi" w:eastAsiaTheme="minorEastAsia"/>
                <w:sz w:val="21"/>
              </w:rPr>
            </w:pPr>
            <w:r>
              <w:rPr>
                <w:rFonts w:asciiTheme="minorHAnsi" w:hAnsiTheme="minorHAnsi" w:eastAsiaTheme="minorEastAsia"/>
                <w:sz w:val="21"/>
              </w:rPr>
              <w:t>19</w:t>
            </w:r>
          </w:p>
        </w:tc>
        <w:tc>
          <w:tcPr>
            <w:tcW w:w="1291" w:type="dxa"/>
            <w:vAlign w:val="center"/>
          </w:tcPr>
          <w:p>
            <w:pPr>
              <w:pStyle w:val="32"/>
              <w:spacing w:before="152"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铜</w:t>
            </w:r>
          </w:p>
        </w:tc>
        <w:tc>
          <w:tcPr>
            <w:tcW w:w="4887" w:type="dxa"/>
            <w:vAlign w:val="center"/>
          </w:tcPr>
          <w:p>
            <w:pPr>
              <w:pStyle w:val="32"/>
              <w:spacing w:before="17" w:line="240" w:lineRule="auto"/>
              <w:ind w:left="25" w:right="15"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 xml:space="preserve">《水质 </w:t>
            </w:r>
            <w:r>
              <w:rPr>
                <w:rFonts w:asciiTheme="minorHAnsi" w:hAnsiTheme="minorHAnsi" w:eastAsiaTheme="minorEastAsia"/>
                <w:position w:val="1"/>
                <w:sz w:val="21"/>
                <w:lang w:eastAsia="zh-CN"/>
              </w:rPr>
              <w:t xml:space="preserve">65 </w:t>
            </w:r>
            <w:r>
              <w:rPr>
                <w:rFonts w:hint="eastAsia" w:asciiTheme="minorHAnsi" w:hAnsiTheme="minorHAnsi" w:eastAsiaTheme="minorEastAsia"/>
                <w:sz w:val="21"/>
                <w:lang w:eastAsia="zh-CN"/>
              </w:rPr>
              <w:t>种元素的测定 电感耦合等离子体质谱法</w:t>
            </w:r>
          </w:p>
          <w:p>
            <w:pPr>
              <w:pStyle w:val="32"/>
              <w:spacing w:before="3" w:line="240" w:lineRule="auto"/>
              <w:ind w:right="17" w:firstLine="0" w:firstLineChars="0"/>
              <w:rPr>
                <w:rFonts w:asciiTheme="minorHAnsi" w:hAnsiTheme="minorHAnsi" w:eastAsiaTheme="minorEastAsia"/>
                <w:sz w:val="21"/>
              </w:rPr>
            </w:pPr>
            <w:r>
              <w:rPr>
                <w:rFonts w:hint="eastAsia" w:asciiTheme="minorHAnsi" w:hAnsiTheme="minorHAnsi" w:eastAsiaTheme="minorEastAsia"/>
                <w:sz w:val="21"/>
              </w:rPr>
              <w:t>（发布稿）》</w:t>
            </w:r>
            <w:r>
              <w:rPr>
                <w:rFonts w:asciiTheme="minorHAnsi" w:hAnsiTheme="minorHAnsi" w:eastAsiaTheme="minorEastAsia"/>
                <w:position w:val="1"/>
                <w:sz w:val="21"/>
              </w:rPr>
              <w:t>HJ 700-2014</w:t>
            </w:r>
          </w:p>
        </w:tc>
        <w:tc>
          <w:tcPr>
            <w:tcW w:w="1971" w:type="dxa"/>
            <w:vAlign w:val="center"/>
          </w:tcPr>
          <w:p>
            <w:pPr>
              <w:pStyle w:val="32"/>
              <w:spacing w:before="152" w:line="240" w:lineRule="auto"/>
              <w:ind w:right="7" w:firstLine="0" w:firstLineChars="0"/>
              <w:rPr>
                <w:rFonts w:asciiTheme="minorHAnsi" w:hAnsiTheme="minorHAnsi" w:eastAsiaTheme="minorEastAsia"/>
                <w:sz w:val="21"/>
              </w:rPr>
            </w:pPr>
            <w:r>
              <w:rPr>
                <w:rFonts w:asciiTheme="minorHAnsi" w:hAnsiTheme="minorHAnsi" w:eastAsiaTheme="minorEastAsia"/>
                <w:position w:val="1"/>
                <w:sz w:val="21"/>
              </w:rPr>
              <w:t>ICP-MS</w:t>
            </w:r>
            <w:r>
              <w:rPr>
                <w:rFonts w:hint="eastAsia" w:asciiTheme="minorHAnsi" w:hAnsiTheme="minorHAnsi" w:eastAsiaTheme="minorEastAsia"/>
                <w:sz w:val="21"/>
              </w:rPr>
              <w:t>（</w:t>
            </w:r>
            <w:r>
              <w:rPr>
                <w:rFonts w:asciiTheme="minorHAnsi" w:hAnsiTheme="minorHAnsi" w:eastAsiaTheme="minorEastAsia"/>
                <w:position w:val="1"/>
                <w:sz w:val="21"/>
              </w:rPr>
              <w:t>iCAPRQ</w:t>
            </w:r>
            <w:r>
              <w:rPr>
                <w:rFonts w:hint="eastAsia" w:asciiTheme="minorHAnsi" w:hAnsiTheme="minorHAnsi" w:eastAsiaTheme="minor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31" w:type="dxa"/>
            <w:vAlign w:val="center"/>
          </w:tcPr>
          <w:p>
            <w:pPr>
              <w:pStyle w:val="32"/>
              <w:spacing w:before="161" w:line="240" w:lineRule="auto"/>
              <w:ind w:right="74" w:firstLine="0" w:firstLineChars="0"/>
              <w:rPr>
                <w:rFonts w:asciiTheme="minorHAnsi" w:hAnsiTheme="minorHAnsi" w:eastAsiaTheme="minorEastAsia"/>
                <w:sz w:val="21"/>
              </w:rPr>
            </w:pPr>
            <w:r>
              <w:rPr>
                <w:rFonts w:asciiTheme="minorHAnsi" w:hAnsiTheme="minorHAnsi" w:eastAsiaTheme="minorEastAsia"/>
                <w:sz w:val="21"/>
              </w:rPr>
              <w:t>20</w:t>
            </w:r>
          </w:p>
        </w:tc>
        <w:tc>
          <w:tcPr>
            <w:tcW w:w="1291" w:type="dxa"/>
            <w:vAlign w:val="center"/>
          </w:tcPr>
          <w:p>
            <w:pPr>
              <w:pStyle w:val="32"/>
              <w:spacing w:before="152"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锌</w:t>
            </w:r>
          </w:p>
        </w:tc>
        <w:tc>
          <w:tcPr>
            <w:tcW w:w="4887" w:type="dxa"/>
            <w:vAlign w:val="center"/>
          </w:tcPr>
          <w:p>
            <w:pPr>
              <w:pStyle w:val="32"/>
              <w:spacing w:before="15" w:line="240" w:lineRule="auto"/>
              <w:ind w:left="25" w:right="15"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 xml:space="preserve">《水质 </w:t>
            </w:r>
            <w:r>
              <w:rPr>
                <w:rFonts w:asciiTheme="minorHAnsi" w:hAnsiTheme="minorHAnsi" w:eastAsiaTheme="minorEastAsia"/>
                <w:position w:val="1"/>
                <w:sz w:val="21"/>
                <w:lang w:eastAsia="zh-CN"/>
              </w:rPr>
              <w:t xml:space="preserve">65 </w:t>
            </w:r>
            <w:r>
              <w:rPr>
                <w:rFonts w:hint="eastAsia" w:asciiTheme="minorHAnsi" w:hAnsiTheme="minorHAnsi" w:eastAsiaTheme="minorEastAsia"/>
                <w:sz w:val="21"/>
                <w:lang w:eastAsia="zh-CN"/>
              </w:rPr>
              <w:t>种元素的测定 电感耦合等离子体质谱法</w:t>
            </w:r>
          </w:p>
          <w:p>
            <w:pPr>
              <w:pStyle w:val="32"/>
              <w:spacing w:before="5" w:line="240" w:lineRule="auto"/>
              <w:ind w:right="17" w:firstLine="0" w:firstLineChars="0"/>
              <w:rPr>
                <w:rFonts w:asciiTheme="minorHAnsi" w:hAnsiTheme="minorHAnsi" w:eastAsiaTheme="minorEastAsia"/>
                <w:sz w:val="21"/>
              </w:rPr>
            </w:pPr>
            <w:r>
              <w:rPr>
                <w:rFonts w:hint="eastAsia" w:asciiTheme="minorHAnsi" w:hAnsiTheme="minorHAnsi" w:eastAsiaTheme="minorEastAsia"/>
                <w:sz w:val="21"/>
              </w:rPr>
              <w:t>（发布稿）》</w:t>
            </w:r>
            <w:r>
              <w:rPr>
                <w:rFonts w:asciiTheme="minorHAnsi" w:hAnsiTheme="minorHAnsi" w:eastAsiaTheme="minorEastAsia"/>
                <w:position w:val="1"/>
                <w:sz w:val="21"/>
              </w:rPr>
              <w:t>HJ 700-2014</w:t>
            </w:r>
          </w:p>
        </w:tc>
        <w:tc>
          <w:tcPr>
            <w:tcW w:w="1971" w:type="dxa"/>
            <w:vAlign w:val="center"/>
          </w:tcPr>
          <w:p>
            <w:pPr>
              <w:pStyle w:val="32"/>
              <w:spacing w:before="152" w:line="240" w:lineRule="auto"/>
              <w:ind w:right="7" w:firstLine="0" w:firstLineChars="0"/>
              <w:rPr>
                <w:rFonts w:asciiTheme="minorHAnsi" w:hAnsiTheme="minorHAnsi" w:eastAsiaTheme="minorEastAsia"/>
                <w:sz w:val="21"/>
              </w:rPr>
            </w:pPr>
            <w:r>
              <w:rPr>
                <w:rFonts w:asciiTheme="minorHAnsi" w:hAnsiTheme="minorHAnsi" w:eastAsiaTheme="minorEastAsia"/>
                <w:position w:val="1"/>
                <w:sz w:val="21"/>
              </w:rPr>
              <w:t>ICP-MS</w:t>
            </w:r>
            <w:r>
              <w:rPr>
                <w:rFonts w:hint="eastAsia" w:asciiTheme="minorHAnsi" w:hAnsiTheme="minorHAnsi" w:eastAsiaTheme="minorEastAsia"/>
                <w:sz w:val="21"/>
              </w:rPr>
              <w:t>（</w:t>
            </w:r>
            <w:r>
              <w:rPr>
                <w:rFonts w:asciiTheme="minorHAnsi" w:hAnsiTheme="minorHAnsi" w:eastAsiaTheme="minorEastAsia"/>
                <w:position w:val="1"/>
                <w:sz w:val="21"/>
              </w:rPr>
              <w:t>iCAPRQ</w:t>
            </w:r>
            <w:r>
              <w:rPr>
                <w:rFonts w:hint="eastAsia" w:asciiTheme="minorHAnsi" w:hAnsiTheme="minorHAnsi" w:eastAsiaTheme="minor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631" w:type="dxa"/>
            <w:vAlign w:val="center"/>
          </w:tcPr>
          <w:p>
            <w:pPr>
              <w:pStyle w:val="32"/>
              <w:spacing w:before="159" w:line="240" w:lineRule="auto"/>
              <w:ind w:right="74" w:firstLine="0" w:firstLineChars="0"/>
              <w:rPr>
                <w:rFonts w:asciiTheme="minorHAnsi" w:hAnsiTheme="minorHAnsi" w:eastAsiaTheme="minorEastAsia"/>
                <w:sz w:val="21"/>
              </w:rPr>
            </w:pPr>
            <w:r>
              <w:rPr>
                <w:rFonts w:asciiTheme="minorHAnsi" w:hAnsiTheme="minorHAnsi" w:eastAsiaTheme="minorEastAsia"/>
                <w:sz w:val="21"/>
              </w:rPr>
              <w:t>21</w:t>
            </w:r>
          </w:p>
        </w:tc>
        <w:tc>
          <w:tcPr>
            <w:tcW w:w="1291" w:type="dxa"/>
            <w:vAlign w:val="center"/>
          </w:tcPr>
          <w:p>
            <w:pPr>
              <w:pStyle w:val="32"/>
              <w:spacing w:before="152"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硒</w:t>
            </w:r>
          </w:p>
        </w:tc>
        <w:tc>
          <w:tcPr>
            <w:tcW w:w="4887" w:type="dxa"/>
            <w:vAlign w:val="center"/>
          </w:tcPr>
          <w:p>
            <w:pPr>
              <w:pStyle w:val="32"/>
              <w:spacing w:before="15" w:line="240" w:lineRule="auto"/>
              <w:ind w:left="25" w:right="15"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 xml:space="preserve">《水质 </w:t>
            </w:r>
            <w:r>
              <w:rPr>
                <w:rFonts w:asciiTheme="minorHAnsi" w:hAnsiTheme="minorHAnsi" w:eastAsiaTheme="minorEastAsia"/>
                <w:position w:val="1"/>
                <w:sz w:val="21"/>
                <w:lang w:eastAsia="zh-CN"/>
              </w:rPr>
              <w:t xml:space="preserve">65 </w:t>
            </w:r>
            <w:r>
              <w:rPr>
                <w:rFonts w:hint="eastAsia" w:asciiTheme="minorHAnsi" w:hAnsiTheme="minorHAnsi" w:eastAsiaTheme="minorEastAsia"/>
                <w:sz w:val="21"/>
                <w:lang w:eastAsia="zh-CN"/>
              </w:rPr>
              <w:t>种元素的测定 电感耦合等离子体质谱法</w:t>
            </w:r>
          </w:p>
          <w:p>
            <w:pPr>
              <w:pStyle w:val="32"/>
              <w:spacing w:before="2" w:line="240" w:lineRule="auto"/>
              <w:ind w:right="17" w:firstLine="0" w:firstLineChars="0"/>
              <w:rPr>
                <w:rFonts w:asciiTheme="minorHAnsi" w:hAnsiTheme="minorHAnsi" w:eastAsiaTheme="minorEastAsia"/>
                <w:sz w:val="21"/>
              </w:rPr>
            </w:pPr>
            <w:r>
              <w:rPr>
                <w:rFonts w:hint="eastAsia" w:asciiTheme="minorHAnsi" w:hAnsiTheme="minorHAnsi" w:eastAsiaTheme="minorEastAsia"/>
                <w:sz w:val="21"/>
              </w:rPr>
              <w:t>（发布稿）》</w:t>
            </w:r>
            <w:r>
              <w:rPr>
                <w:rFonts w:asciiTheme="minorHAnsi" w:hAnsiTheme="minorHAnsi" w:eastAsiaTheme="minorEastAsia"/>
                <w:position w:val="1"/>
                <w:sz w:val="21"/>
              </w:rPr>
              <w:t>HJ 700-2014</w:t>
            </w:r>
          </w:p>
        </w:tc>
        <w:tc>
          <w:tcPr>
            <w:tcW w:w="1971" w:type="dxa"/>
            <w:vAlign w:val="center"/>
          </w:tcPr>
          <w:p>
            <w:pPr>
              <w:pStyle w:val="32"/>
              <w:spacing w:before="152" w:line="240" w:lineRule="auto"/>
              <w:ind w:right="7" w:firstLine="0" w:firstLineChars="0"/>
              <w:rPr>
                <w:rFonts w:asciiTheme="minorHAnsi" w:hAnsiTheme="minorHAnsi" w:eastAsiaTheme="minorEastAsia"/>
                <w:sz w:val="21"/>
              </w:rPr>
            </w:pPr>
            <w:r>
              <w:rPr>
                <w:rFonts w:asciiTheme="minorHAnsi" w:hAnsiTheme="minorHAnsi" w:eastAsiaTheme="minorEastAsia"/>
                <w:position w:val="1"/>
                <w:sz w:val="21"/>
              </w:rPr>
              <w:t>ICP-MS</w:t>
            </w:r>
            <w:r>
              <w:rPr>
                <w:rFonts w:hint="eastAsia" w:asciiTheme="minorHAnsi" w:hAnsiTheme="minorHAnsi" w:eastAsiaTheme="minorEastAsia"/>
                <w:sz w:val="21"/>
              </w:rPr>
              <w:t>（</w:t>
            </w:r>
            <w:r>
              <w:rPr>
                <w:rFonts w:asciiTheme="minorHAnsi" w:hAnsiTheme="minorHAnsi" w:eastAsiaTheme="minorEastAsia"/>
                <w:position w:val="1"/>
                <w:sz w:val="21"/>
              </w:rPr>
              <w:t>iCAPRQ</w:t>
            </w:r>
            <w:r>
              <w:rPr>
                <w:rFonts w:hint="eastAsia" w:asciiTheme="minorHAnsi" w:hAnsiTheme="minorHAnsi" w:eastAsiaTheme="minor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31" w:type="dxa"/>
            <w:vAlign w:val="center"/>
          </w:tcPr>
          <w:p>
            <w:pPr>
              <w:pStyle w:val="32"/>
              <w:spacing w:before="161" w:line="240" w:lineRule="auto"/>
              <w:ind w:right="74" w:firstLine="0" w:firstLineChars="0"/>
              <w:rPr>
                <w:rFonts w:asciiTheme="minorHAnsi" w:hAnsiTheme="minorHAnsi" w:eastAsiaTheme="minorEastAsia"/>
                <w:sz w:val="21"/>
              </w:rPr>
            </w:pPr>
            <w:r>
              <w:rPr>
                <w:rFonts w:asciiTheme="minorHAnsi" w:hAnsiTheme="minorHAnsi" w:eastAsiaTheme="minorEastAsia"/>
                <w:sz w:val="21"/>
              </w:rPr>
              <w:t>22</w:t>
            </w:r>
          </w:p>
        </w:tc>
        <w:tc>
          <w:tcPr>
            <w:tcW w:w="1291" w:type="dxa"/>
            <w:vAlign w:val="center"/>
          </w:tcPr>
          <w:p>
            <w:pPr>
              <w:pStyle w:val="32"/>
              <w:spacing w:before="152"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砷</w:t>
            </w:r>
          </w:p>
        </w:tc>
        <w:tc>
          <w:tcPr>
            <w:tcW w:w="4887" w:type="dxa"/>
            <w:vAlign w:val="center"/>
          </w:tcPr>
          <w:p>
            <w:pPr>
              <w:pStyle w:val="32"/>
              <w:spacing w:before="17" w:line="240" w:lineRule="auto"/>
              <w:ind w:left="25" w:right="15"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 xml:space="preserve">《水质 </w:t>
            </w:r>
            <w:r>
              <w:rPr>
                <w:rFonts w:asciiTheme="minorHAnsi" w:hAnsiTheme="minorHAnsi" w:eastAsiaTheme="minorEastAsia"/>
                <w:position w:val="1"/>
                <w:sz w:val="21"/>
                <w:lang w:eastAsia="zh-CN"/>
              </w:rPr>
              <w:t xml:space="preserve">65 </w:t>
            </w:r>
            <w:r>
              <w:rPr>
                <w:rFonts w:hint="eastAsia" w:asciiTheme="minorHAnsi" w:hAnsiTheme="minorHAnsi" w:eastAsiaTheme="minorEastAsia"/>
                <w:sz w:val="21"/>
                <w:lang w:eastAsia="zh-CN"/>
              </w:rPr>
              <w:t>种元素的测定 电感耦合等离子体质谱法</w:t>
            </w:r>
          </w:p>
          <w:p>
            <w:pPr>
              <w:pStyle w:val="32"/>
              <w:spacing w:before="3" w:line="240" w:lineRule="auto"/>
              <w:ind w:right="17" w:firstLine="0" w:firstLineChars="0"/>
              <w:rPr>
                <w:rFonts w:asciiTheme="minorHAnsi" w:hAnsiTheme="minorHAnsi" w:eastAsiaTheme="minorEastAsia"/>
                <w:sz w:val="21"/>
              </w:rPr>
            </w:pPr>
            <w:r>
              <w:rPr>
                <w:rFonts w:hint="eastAsia" w:asciiTheme="minorHAnsi" w:hAnsiTheme="minorHAnsi" w:eastAsiaTheme="minorEastAsia"/>
                <w:sz w:val="21"/>
              </w:rPr>
              <w:t>（发布稿）》</w:t>
            </w:r>
            <w:r>
              <w:rPr>
                <w:rFonts w:asciiTheme="minorHAnsi" w:hAnsiTheme="minorHAnsi" w:eastAsiaTheme="minorEastAsia"/>
                <w:position w:val="1"/>
                <w:sz w:val="21"/>
              </w:rPr>
              <w:t>HJ 700-2014</w:t>
            </w:r>
          </w:p>
        </w:tc>
        <w:tc>
          <w:tcPr>
            <w:tcW w:w="1971" w:type="dxa"/>
            <w:vAlign w:val="center"/>
          </w:tcPr>
          <w:p>
            <w:pPr>
              <w:pStyle w:val="32"/>
              <w:spacing w:before="152" w:line="240" w:lineRule="auto"/>
              <w:ind w:right="7" w:firstLine="0" w:firstLineChars="0"/>
              <w:rPr>
                <w:rFonts w:asciiTheme="minorHAnsi" w:hAnsiTheme="minorHAnsi" w:eastAsiaTheme="minorEastAsia"/>
                <w:sz w:val="21"/>
              </w:rPr>
            </w:pPr>
            <w:r>
              <w:rPr>
                <w:rFonts w:asciiTheme="minorHAnsi" w:hAnsiTheme="minorHAnsi" w:eastAsiaTheme="minorEastAsia"/>
                <w:position w:val="1"/>
                <w:sz w:val="21"/>
              </w:rPr>
              <w:t>ICP-MS</w:t>
            </w:r>
            <w:r>
              <w:rPr>
                <w:rFonts w:hint="eastAsia" w:asciiTheme="minorHAnsi" w:hAnsiTheme="minorHAnsi" w:eastAsiaTheme="minorEastAsia"/>
                <w:sz w:val="21"/>
              </w:rPr>
              <w:t>（</w:t>
            </w:r>
            <w:r>
              <w:rPr>
                <w:rFonts w:asciiTheme="minorHAnsi" w:hAnsiTheme="minorHAnsi" w:eastAsiaTheme="minorEastAsia"/>
                <w:position w:val="1"/>
                <w:sz w:val="21"/>
              </w:rPr>
              <w:t>iCAPRQ</w:t>
            </w:r>
            <w:r>
              <w:rPr>
                <w:rFonts w:hint="eastAsia" w:asciiTheme="minorHAnsi" w:hAnsiTheme="minorHAnsi" w:eastAsiaTheme="minor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631" w:type="dxa"/>
            <w:vAlign w:val="center"/>
          </w:tcPr>
          <w:p>
            <w:pPr>
              <w:pStyle w:val="32"/>
              <w:spacing w:before="159" w:line="240" w:lineRule="auto"/>
              <w:ind w:right="74" w:firstLine="0" w:firstLineChars="0"/>
              <w:rPr>
                <w:rFonts w:asciiTheme="minorHAnsi" w:hAnsiTheme="minorHAnsi" w:eastAsiaTheme="minorEastAsia"/>
                <w:sz w:val="21"/>
              </w:rPr>
            </w:pPr>
            <w:r>
              <w:rPr>
                <w:rFonts w:asciiTheme="minorHAnsi" w:hAnsiTheme="minorHAnsi" w:eastAsiaTheme="minorEastAsia"/>
                <w:sz w:val="21"/>
              </w:rPr>
              <w:t>23</w:t>
            </w:r>
          </w:p>
        </w:tc>
        <w:tc>
          <w:tcPr>
            <w:tcW w:w="1291" w:type="dxa"/>
            <w:vAlign w:val="center"/>
          </w:tcPr>
          <w:p>
            <w:pPr>
              <w:pStyle w:val="32"/>
              <w:spacing w:before="152"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汞</w:t>
            </w:r>
          </w:p>
        </w:tc>
        <w:tc>
          <w:tcPr>
            <w:tcW w:w="4887" w:type="dxa"/>
            <w:vAlign w:val="center"/>
          </w:tcPr>
          <w:p>
            <w:pPr>
              <w:pStyle w:val="32"/>
              <w:spacing w:before="14" w:line="240" w:lineRule="auto"/>
              <w:ind w:right="66"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 xml:space="preserve">《生活饮用水标准检验方法 金属指标 </w:t>
            </w:r>
            <w:r>
              <w:rPr>
                <w:rFonts w:asciiTheme="minorHAnsi" w:hAnsiTheme="minorHAnsi" w:eastAsiaTheme="minorEastAsia"/>
                <w:position w:val="1"/>
                <w:sz w:val="21"/>
                <w:lang w:eastAsia="zh-CN"/>
              </w:rPr>
              <w:t xml:space="preserve">1.5 </w:t>
            </w:r>
            <w:r>
              <w:rPr>
                <w:rFonts w:hint="eastAsia" w:asciiTheme="minorHAnsi" w:hAnsiTheme="minorHAnsi" w:eastAsiaTheme="minorEastAsia"/>
                <w:sz w:val="21"/>
                <w:lang w:eastAsia="zh-CN"/>
              </w:rPr>
              <w:t>电感耦合等离子体质谱法》</w:t>
            </w:r>
            <w:r>
              <w:rPr>
                <w:rFonts w:asciiTheme="minorHAnsi" w:hAnsiTheme="minorHAnsi" w:eastAsiaTheme="minorEastAsia"/>
                <w:position w:val="1"/>
                <w:sz w:val="21"/>
                <w:lang w:eastAsia="zh-CN"/>
              </w:rPr>
              <w:t>GB/T 5750.6-2006</w:t>
            </w:r>
          </w:p>
        </w:tc>
        <w:tc>
          <w:tcPr>
            <w:tcW w:w="1971" w:type="dxa"/>
            <w:vAlign w:val="center"/>
          </w:tcPr>
          <w:p>
            <w:pPr>
              <w:pStyle w:val="32"/>
              <w:spacing w:before="152" w:line="240" w:lineRule="auto"/>
              <w:ind w:right="7" w:firstLine="0" w:firstLineChars="0"/>
              <w:rPr>
                <w:rFonts w:asciiTheme="minorHAnsi" w:hAnsiTheme="minorHAnsi" w:eastAsiaTheme="minorEastAsia"/>
                <w:sz w:val="21"/>
              </w:rPr>
            </w:pPr>
            <w:r>
              <w:rPr>
                <w:rFonts w:asciiTheme="minorHAnsi" w:hAnsiTheme="minorHAnsi" w:eastAsiaTheme="minorEastAsia"/>
                <w:position w:val="1"/>
                <w:sz w:val="21"/>
              </w:rPr>
              <w:t>ICP-MS</w:t>
            </w:r>
            <w:r>
              <w:rPr>
                <w:rFonts w:hint="eastAsia" w:asciiTheme="minorHAnsi" w:hAnsiTheme="minorHAnsi" w:eastAsiaTheme="minorEastAsia"/>
                <w:sz w:val="21"/>
              </w:rPr>
              <w:t>（</w:t>
            </w:r>
            <w:r>
              <w:rPr>
                <w:rFonts w:asciiTheme="minorHAnsi" w:hAnsiTheme="minorHAnsi" w:eastAsiaTheme="minorEastAsia"/>
                <w:position w:val="1"/>
                <w:sz w:val="21"/>
              </w:rPr>
              <w:t>iCAPRQ</w:t>
            </w:r>
            <w:r>
              <w:rPr>
                <w:rFonts w:hint="eastAsia" w:asciiTheme="minorHAnsi" w:hAnsiTheme="minorHAnsi" w:eastAsiaTheme="minor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31" w:type="dxa"/>
            <w:vAlign w:val="center"/>
          </w:tcPr>
          <w:p>
            <w:pPr>
              <w:pStyle w:val="32"/>
              <w:spacing w:before="161" w:line="240" w:lineRule="auto"/>
              <w:ind w:right="74" w:firstLine="0" w:firstLineChars="0"/>
              <w:rPr>
                <w:rFonts w:asciiTheme="minorHAnsi" w:hAnsiTheme="minorHAnsi" w:eastAsiaTheme="minorEastAsia"/>
                <w:sz w:val="21"/>
              </w:rPr>
            </w:pPr>
            <w:r>
              <w:rPr>
                <w:rFonts w:asciiTheme="minorHAnsi" w:hAnsiTheme="minorHAnsi" w:eastAsiaTheme="minorEastAsia"/>
                <w:sz w:val="21"/>
              </w:rPr>
              <w:t>24</w:t>
            </w:r>
          </w:p>
        </w:tc>
        <w:tc>
          <w:tcPr>
            <w:tcW w:w="1291" w:type="dxa"/>
            <w:vAlign w:val="center"/>
          </w:tcPr>
          <w:p>
            <w:pPr>
              <w:pStyle w:val="32"/>
              <w:spacing w:before="154" w:line="240" w:lineRule="auto"/>
              <w:ind w:firstLine="0" w:firstLineChars="0"/>
              <w:rPr>
                <w:rFonts w:asciiTheme="minorHAnsi" w:hAnsiTheme="minorHAnsi" w:eastAsiaTheme="minorEastAsia"/>
                <w:sz w:val="21"/>
              </w:rPr>
            </w:pPr>
            <w:r>
              <w:rPr>
                <w:rFonts w:hint="eastAsia" w:asciiTheme="minorHAnsi" w:hAnsiTheme="minorHAnsi" w:eastAsiaTheme="minorEastAsia"/>
                <w:sz w:val="21"/>
              </w:rPr>
              <w:t>镉</w:t>
            </w:r>
          </w:p>
        </w:tc>
        <w:tc>
          <w:tcPr>
            <w:tcW w:w="4887" w:type="dxa"/>
            <w:vAlign w:val="center"/>
          </w:tcPr>
          <w:p>
            <w:pPr>
              <w:pStyle w:val="32"/>
              <w:spacing w:before="18" w:line="240" w:lineRule="auto"/>
              <w:ind w:left="25" w:right="15"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 xml:space="preserve">《水质 </w:t>
            </w:r>
            <w:r>
              <w:rPr>
                <w:rFonts w:asciiTheme="minorHAnsi" w:hAnsiTheme="minorHAnsi" w:eastAsiaTheme="minorEastAsia"/>
                <w:position w:val="1"/>
                <w:sz w:val="21"/>
                <w:lang w:eastAsia="zh-CN"/>
              </w:rPr>
              <w:t xml:space="preserve">65 </w:t>
            </w:r>
            <w:r>
              <w:rPr>
                <w:rFonts w:hint="eastAsia" w:asciiTheme="minorHAnsi" w:hAnsiTheme="minorHAnsi" w:eastAsiaTheme="minorEastAsia"/>
                <w:sz w:val="21"/>
                <w:lang w:eastAsia="zh-CN"/>
              </w:rPr>
              <w:t>种元素的测定 电感耦合等离子体质谱法</w:t>
            </w:r>
          </w:p>
          <w:p>
            <w:pPr>
              <w:pStyle w:val="32"/>
              <w:spacing w:before="2" w:line="240" w:lineRule="auto"/>
              <w:ind w:right="17" w:firstLine="0" w:firstLineChars="0"/>
              <w:rPr>
                <w:rFonts w:asciiTheme="minorHAnsi" w:hAnsiTheme="minorHAnsi" w:eastAsiaTheme="minorEastAsia"/>
                <w:sz w:val="21"/>
              </w:rPr>
            </w:pPr>
            <w:r>
              <w:rPr>
                <w:rFonts w:hint="eastAsia" w:asciiTheme="minorHAnsi" w:hAnsiTheme="minorHAnsi" w:eastAsiaTheme="minorEastAsia"/>
                <w:sz w:val="21"/>
              </w:rPr>
              <w:t>（发布稿）》</w:t>
            </w:r>
            <w:r>
              <w:rPr>
                <w:rFonts w:asciiTheme="minorHAnsi" w:hAnsiTheme="minorHAnsi" w:eastAsiaTheme="minorEastAsia"/>
                <w:position w:val="1"/>
                <w:sz w:val="21"/>
              </w:rPr>
              <w:t>HJ 700-2014</w:t>
            </w:r>
          </w:p>
        </w:tc>
        <w:tc>
          <w:tcPr>
            <w:tcW w:w="1971" w:type="dxa"/>
            <w:vAlign w:val="center"/>
          </w:tcPr>
          <w:p>
            <w:pPr>
              <w:pStyle w:val="32"/>
              <w:spacing w:before="154" w:line="240" w:lineRule="auto"/>
              <w:ind w:right="7" w:firstLine="0" w:firstLineChars="0"/>
              <w:rPr>
                <w:rFonts w:asciiTheme="minorHAnsi" w:hAnsiTheme="minorHAnsi" w:eastAsiaTheme="minorEastAsia"/>
                <w:sz w:val="21"/>
              </w:rPr>
            </w:pPr>
            <w:r>
              <w:rPr>
                <w:rFonts w:asciiTheme="minorHAnsi" w:hAnsiTheme="minorHAnsi" w:eastAsiaTheme="minorEastAsia"/>
                <w:position w:val="1"/>
                <w:sz w:val="21"/>
              </w:rPr>
              <w:t>ICP-MS</w:t>
            </w:r>
            <w:r>
              <w:rPr>
                <w:rFonts w:hint="eastAsia" w:asciiTheme="minorHAnsi" w:hAnsiTheme="minorHAnsi" w:eastAsiaTheme="minorEastAsia"/>
                <w:sz w:val="21"/>
              </w:rPr>
              <w:t>（</w:t>
            </w:r>
            <w:r>
              <w:rPr>
                <w:rFonts w:asciiTheme="minorHAnsi" w:hAnsiTheme="minorHAnsi" w:eastAsiaTheme="minorEastAsia"/>
                <w:position w:val="1"/>
                <w:sz w:val="21"/>
              </w:rPr>
              <w:t>iCAPRQ</w:t>
            </w:r>
            <w:r>
              <w:rPr>
                <w:rFonts w:hint="eastAsia" w:asciiTheme="minorHAnsi" w:hAnsiTheme="minorHAnsi" w:eastAsiaTheme="minorEastAsia"/>
                <w:sz w:val="21"/>
              </w:rPr>
              <w:t>）</w:t>
            </w:r>
          </w:p>
        </w:tc>
      </w:tr>
    </w:tbl>
    <w:p>
      <w:pPr>
        <w:ind w:firstLine="480"/>
        <w:rPr>
          <w:lang w:val="en-US"/>
        </w:rPr>
      </w:pPr>
    </w:p>
    <w:p>
      <w:pPr>
        <w:pStyle w:val="5"/>
      </w:pPr>
      <w:r>
        <w:t>3.3.</w:t>
      </w:r>
      <w:r>
        <w:rPr>
          <w:rFonts w:hint="eastAsia"/>
        </w:rPr>
        <w:t>2</w:t>
      </w:r>
      <w:r>
        <w:t>.</w:t>
      </w:r>
      <w:r>
        <w:rPr>
          <w:rFonts w:hint="eastAsia"/>
        </w:rPr>
        <w:t>3</w:t>
      </w:r>
      <w:r>
        <w:t>监测</w:t>
      </w:r>
      <w:r>
        <w:rPr>
          <w:rFonts w:hint="eastAsia"/>
        </w:rPr>
        <w:t>时间及频次</w:t>
      </w:r>
    </w:p>
    <w:p>
      <w:pPr>
        <w:ind w:firstLine="480"/>
      </w:pPr>
      <w:r>
        <w:rPr>
          <w:rFonts w:hint="eastAsia"/>
        </w:rPr>
        <w:t>于</w:t>
      </w:r>
      <w:r>
        <w:t>20</w:t>
      </w:r>
      <w:r>
        <w:rPr>
          <w:rFonts w:hint="eastAsia"/>
        </w:rPr>
        <w:t>18</w:t>
      </w:r>
      <w:r>
        <w:t>年</w:t>
      </w:r>
      <w:r>
        <w:rPr>
          <w:rFonts w:hint="eastAsia"/>
        </w:rPr>
        <w:t>5</w:t>
      </w:r>
      <w:r>
        <w:t>月</w:t>
      </w:r>
      <w:r>
        <w:rPr>
          <w:rFonts w:hint="eastAsia"/>
        </w:rPr>
        <w:t>30</w:t>
      </w:r>
      <w:r>
        <w:t>日</w:t>
      </w:r>
      <w:r>
        <w:rPr>
          <w:rFonts w:hint="eastAsia"/>
          <w:szCs w:val="24"/>
        </w:rPr>
        <w:t>~</w:t>
      </w:r>
      <w:r>
        <w:rPr>
          <w:rFonts w:hint="eastAsia"/>
        </w:rPr>
        <w:t>6月1</w:t>
      </w:r>
      <w:r>
        <w:t xml:space="preserve">日开展监测工作，连续监测 </w:t>
      </w:r>
      <w:r>
        <w:rPr>
          <w:rFonts w:hint="eastAsia"/>
        </w:rPr>
        <w:t>3</w:t>
      </w:r>
      <w:r>
        <w:t xml:space="preserve"> 天，每天采样 1 次。</w:t>
      </w:r>
    </w:p>
    <w:p>
      <w:pPr>
        <w:pStyle w:val="5"/>
      </w:pPr>
      <w:r>
        <w:t>3.3.</w:t>
      </w:r>
      <w:r>
        <w:rPr>
          <w:rFonts w:hint="eastAsia"/>
        </w:rPr>
        <w:t>2</w:t>
      </w:r>
      <w:r>
        <w:t>.</w:t>
      </w:r>
      <w:r>
        <w:rPr>
          <w:rFonts w:hint="eastAsia"/>
        </w:rPr>
        <w:t>4</w:t>
      </w:r>
      <w:r>
        <w:t>监测</w:t>
      </w:r>
      <w:r>
        <w:rPr>
          <w:rFonts w:hint="eastAsia"/>
        </w:rPr>
        <w:t>结果</w:t>
      </w:r>
    </w:p>
    <w:p>
      <w:pPr>
        <w:ind w:firstLine="480"/>
      </w:pPr>
      <w:r>
        <w:rPr>
          <w:rFonts w:hint="eastAsia"/>
        </w:rPr>
        <w:t>补充水质调查内容如下表3.3-6所示，具体监测表见附件5。</w:t>
      </w:r>
    </w:p>
    <w:p>
      <w:pPr>
        <w:tabs>
          <w:tab w:val="left" w:pos="3979"/>
        </w:tabs>
        <w:ind w:left="240" w:leftChars="100" w:firstLine="2673" w:firstLineChars="1268"/>
        <w:rPr>
          <w:b/>
          <w:sz w:val="21"/>
        </w:rPr>
      </w:pPr>
      <w:r>
        <w:rPr>
          <w:b/>
          <w:sz w:val="21"/>
        </w:rPr>
        <w:t>表</w:t>
      </w:r>
      <w:r>
        <w:rPr>
          <w:b/>
          <w:spacing w:val="-52"/>
          <w:sz w:val="21"/>
        </w:rPr>
        <w:t xml:space="preserve"> </w:t>
      </w:r>
      <w:r>
        <w:rPr>
          <w:rFonts w:eastAsia="Times New Roman"/>
          <w:b/>
          <w:sz w:val="21"/>
        </w:rPr>
        <w:t>3.3-</w:t>
      </w:r>
      <w:r>
        <w:rPr>
          <w:rFonts w:hint="eastAsia" w:eastAsiaTheme="minorEastAsia"/>
          <w:b/>
          <w:sz w:val="21"/>
        </w:rPr>
        <w:t>6</w:t>
      </w:r>
      <w:r>
        <w:rPr>
          <w:rFonts w:eastAsia="Times New Roman"/>
          <w:b/>
          <w:sz w:val="21"/>
        </w:rPr>
        <w:tab/>
      </w:r>
      <w:r>
        <w:rPr>
          <w:rFonts w:hint="eastAsia" w:eastAsiaTheme="minorEastAsia"/>
          <w:b/>
          <w:sz w:val="21"/>
        </w:rPr>
        <w:t>对照断面</w:t>
      </w:r>
      <w:r>
        <w:rPr>
          <w:rFonts w:hint="eastAsia"/>
          <w:b/>
          <w:sz w:val="21"/>
        </w:rPr>
        <w:t>监测结果</w:t>
      </w:r>
    </w:p>
    <w:tbl>
      <w:tblPr>
        <w:tblStyle w:val="17"/>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3"/>
        <w:gridCol w:w="1265"/>
        <w:gridCol w:w="981"/>
        <w:gridCol w:w="1661"/>
        <w:gridCol w:w="1850"/>
        <w:gridCol w:w="1686"/>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Merge w:val="restart"/>
            <w:vAlign w:val="center"/>
          </w:tcPr>
          <w:p>
            <w:pPr>
              <w:spacing w:line="240" w:lineRule="auto"/>
              <w:ind w:firstLine="0" w:firstLineChars="0"/>
              <w:jc w:val="center"/>
              <w:rPr>
                <w:b/>
                <w:color w:val="000000"/>
                <w:sz w:val="21"/>
                <w:szCs w:val="21"/>
              </w:rPr>
            </w:pPr>
            <w:r>
              <w:rPr>
                <w:b/>
                <w:color w:val="000000"/>
                <w:sz w:val="21"/>
                <w:szCs w:val="21"/>
              </w:rPr>
              <w:t>序</w:t>
            </w:r>
            <w:r>
              <w:rPr>
                <w:rFonts w:hint="eastAsia"/>
                <w:b/>
                <w:color w:val="000000"/>
                <w:sz w:val="21"/>
                <w:szCs w:val="21"/>
              </w:rPr>
              <w:t>号</w:t>
            </w:r>
          </w:p>
        </w:tc>
        <w:tc>
          <w:tcPr>
            <w:tcW w:w="694" w:type="pct"/>
            <w:vMerge w:val="restart"/>
            <w:vAlign w:val="center"/>
          </w:tcPr>
          <w:p>
            <w:pPr>
              <w:spacing w:line="240" w:lineRule="auto"/>
              <w:ind w:firstLine="0" w:firstLineChars="0"/>
              <w:jc w:val="center"/>
              <w:rPr>
                <w:b/>
                <w:color w:val="000000"/>
                <w:sz w:val="21"/>
                <w:szCs w:val="21"/>
              </w:rPr>
            </w:pPr>
            <w:r>
              <w:rPr>
                <w:b/>
                <w:color w:val="000000"/>
                <w:sz w:val="21"/>
                <w:szCs w:val="21"/>
              </w:rPr>
              <w:t>检测项目</w:t>
            </w:r>
          </w:p>
        </w:tc>
        <w:tc>
          <w:tcPr>
            <w:tcW w:w="538" w:type="pct"/>
            <w:vMerge w:val="restart"/>
            <w:vAlign w:val="center"/>
          </w:tcPr>
          <w:p>
            <w:pPr>
              <w:widowControl/>
              <w:spacing w:line="240" w:lineRule="auto"/>
              <w:ind w:firstLine="0" w:firstLineChars="0"/>
              <w:rPr>
                <w:b/>
                <w:color w:val="000000"/>
                <w:sz w:val="21"/>
                <w:szCs w:val="21"/>
              </w:rPr>
            </w:pPr>
            <w:r>
              <w:rPr>
                <w:b/>
                <w:color w:val="000000"/>
                <w:sz w:val="21"/>
                <w:szCs w:val="21"/>
              </w:rPr>
              <w:t>结果单位</w:t>
            </w:r>
          </w:p>
        </w:tc>
        <w:tc>
          <w:tcPr>
            <w:tcW w:w="2851" w:type="pct"/>
            <w:gridSpan w:val="3"/>
            <w:vAlign w:val="center"/>
          </w:tcPr>
          <w:p>
            <w:pPr>
              <w:spacing w:line="240" w:lineRule="auto"/>
              <w:ind w:firstLine="0" w:firstLineChars="0"/>
              <w:jc w:val="center"/>
              <w:rPr>
                <w:b/>
                <w:color w:val="000000"/>
                <w:sz w:val="21"/>
                <w:szCs w:val="21"/>
              </w:rPr>
            </w:pPr>
            <w:r>
              <w:rPr>
                <w:b/>
                <w:color w:val="000000"/>
                <w:sz w:val="21"/>
                <w:szCs w:val="21"/>
              </w:rPr>
              <w:t>检测点位与日期（20</w:t>
            </w:r>
            <w:r>
              <w:rPr>
                <w:rFonts w:hint="eastAsia"/>
                <w:b/>
                <w:color w:val="000000"/>
                <w:sz w:val="21"/>
                <w:szCs w:val="21"/>
              </w:rPr>
              <w:t>18</w:t>
            </w:r>
            <w:r>
              <w:rPr>
                <w:b/>
                <w:color w:val="000000"/>
                <w:sz w:val="21"/>
                <w:szCs w:val="21"/>
              </w:rPr>
              <w:t>年）</w:t>
            </w:r>
          </w:p>
        </w:tc>
        <w:tc>
          <w:tcPr>
            <w:tcW w:w="614" w:type="pct"/>
            <w:vMerge w:val="restart"/>
            <w:vAlign w:val="center"/>
          </w:tcPr>
          <w:p>
            <w:pPr>
              <w:spacing w:line="240" w:lineRule="auto"/>
              <w:ind w:firstLine="0" w:firstLineChars="0"/>
              <w:jc w:val="center"/>
              <w:rPr>
                <w:b/>
                <w:color w:val="000000"/>
                <w:sz w:val="21"/>
                <w:szCs w:val="21"/>
              </w:rPr>
            </w:pPr>
            <w:r>
              <w:rPr>
                <w:b/>
                <w:color w:val="000000"/>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Merge w:val="continue"/>
            <w:vAlign w:val="center"/>
          </w:tcPr>
          <w:p>
            <w:pPr>
              <w:spacing w:line="240" w:lineRule="auto"/>
              <w:ind w:firstLine="420"/>
              <w:jc w:val="center"/>
              <w:rPr>
                <w:color w:val="000000"/>
                <w:sz w:val="21"/>
                <w:szCs w:val="21"/>
              </w:rPr>
            </w:pPr>
          </w:p>
        </w:tc>
        <w:tc>
          <w:tcPr>
            <w:tcW w:w="694" w:type="pct"/>
            <w:vMerge w:val="continue"/>
            <w:vAlign w:val="center"/>
          </w:tcPr>
          <w:p>
            <w:pPr>
              <w:spacing w:line="240" w:lineRule="auto"/>
              <w:ind w:firstLine="420"/>
              <w:jc w:val="center"/>
              <w:rPr>
                <w:color w:val="000000"/>
                <w:sz w:val="21"/>
                <w:szCs w:val="21"/>
              </w:rPr>
            </w:pPr>
          </w:p>
        </w:tc>
        <w:tc>
          <w:tcPr>
            <w:tcW w:w="538" w:type="pct"/>
            <w:vMerge w:val="continue"/>
            <w:vAlign w:val="center"/>
          </w:tcPr>
          <w:p>
            <w:pPr>
              <w:spacing w:line="240" w:lineRule="auto"/>
              <w:ind w:firstLine="420"/>
              <w:jc w:val="center"/>
              <w:rPr>
                <w:color w:val="000000"/>
                <w:sz w:val="21"/>
                <w:szCs w:val="21"/>
              </w:rPr>
            </w:pPr>
          </w:p>
        </w:tc>
        <w:tc>
          <w:tcPr>
            <w:tcW w:w="2851" w:type="pct"/>
            <w:gridSpan w:val="3"/>
            <w:vAlign w:val="center"/>
          </w:tcPr>
          <w:p>
            <w:pPr>
              <w:spacing w:line="240" w:lineRule="auto"/>
              <w:ind w:firstLine="0" w:firstLineChars="0"/>
              <w:jc w:val="center"/>
              <w:rPr>
                <w:color w:val="000000"/>
                <w:sz w:val="21"/>
                <w:szCs w:val="21"/>
              </w:rPr>
            </w:pPr>
            <w:r>
              <w:rPr>
                <w:rFonts w:hint="eastAsia"/>
                <w:color w:val="000000"/>
                <w:sz w:val="21"/>
                <w:szCs w:val="21"/>
              </w:rPr>
              <w:t>入河排污口</w:t>
            </w:r>
            <w:r>
              <w:rPr>
                <w:color w:val="000000"/>
                <w:sz w:val="21"/>
                <w:szCs w:val="21"/>
              </w:rPr>
              <w:t>上游500m处</w:t>
            </w:r>
          </w:p>
        </w:tc>
        <w:tc>
          <w:tcPr>
            <w:tcW w:w="614" w:type="pct"/>
            <w:vMerge w:val="continue"/>
            <w:vAlign w:val="center"/>
          </w:tcPr>
          <w:p>
            <w:pPr>
              <w:spacing w:line="240" w:lineRule="auto"/>
              <w:ind w:firstLine="420"/>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Merge w:val="continue"/>
            <w:vAlign w:val="center"/>
          </w:tcPr>
          <w:p>
            <w:pPr>
              <w:spacing w:line="240" w:lineRule="auto"/>
              <w:ind w:firstLine="420"/>
              <w:jc w:val="center"/>
              <w:rPr>
                <w:color w:val="000000"/>
                <w:sz w:val="21"/>
                <w:szCs w:val="21"/>
              </w:rPr>
            </w:pPr>
          </w:p>
        </w:tc>
        <w:tc>
          <w:tcPr>
            <w:tcW w:w="694" w:type="pct"/>
            <w:vMerge w:val="continue"/>
            <w:vAlign w:val="center"/>
          </w:tcPr>
          <w:p>
            <w:pPr>
              <w:spacing w:line="240" w:lineRule="auto"/>
              <w:ind w:firstLine="420"/>
              <w:jc w:val="center"/>
              <w:rPr>
                <w:color w:val="000000"/>
                <w:sz w:val="21"/>
                <w:szCs w:val="21"/>
              </w:rPr>
            </w:pPr>
          </w:p>
        </w:tc>
        <w:tc>
          <w:tcPr>
            <w:tcW w:w="538" w:type="pct"/>
            <w:vMerge w:val="continue"/>
            <w:vAlign w:val="center"/>
          </w:tcPr>
          <w:p>
            <w:pPr>
              <w:spacing w:line="240" w:lineRule="auto"/>
              <w:ind w:firstLine="420"/>
              <w:jc w:val="center"/>
              <w:rPr>
                <w:color w:val="000000"/>
                <w:sz w:val="21"/>
                <w:szCs w:val="21"/>
              </w:rPr>
            </w:pPr>
          </w:p>
        </w:tc>
        <w:tc>
          <w:tcPr>
            <w:tcW w:w="911" w:type="pct"/>
            <w:vAlign w:val="center"/>
          </w:tcPr>
          <w:p>
            <w:pPr>
              <w:spacing w:line="240" w:lineRule="auto"/>
              <w:ind w:firstLine="105" w:firstLineChars="50"/>
              <w:jc w:val="center"/>
              <w:rPr>
                <w:color w:val="000000"/>
                <w:sz w:val="21"/>
                <w:szCs w:val="21"/>
              </w:rPr>
            </w:pPr>
            <w:r>
              <w:rPr>
                <w:rFonts w:hint="eastAsia"/>
                <w:color w:val="000000"/>
                <w:sz w:val="21"/>
                <w:szCs w:val="21"/>
              </w:rPr>
              <w:t>5</w:t>
            </w:r>
            <w:r>
              <w:rPr>
                <w:color w:val="000000"/>
                <w:sz w:val="21"/>
                <w:szCs w:val="21"/>
              </w:rPr>
              <w:t>月</w:t>
            </w:r>
            <w:r>
              <w:rPr>
                <w:rFonts w:hint="eastAsia"/>
                <w:color w:val="000000"/>
                <w:sz w:val="21"/>
                <w:szCs w:val="21"/>
              </w:rPr>
              <w:t>30</w:t>
            </w:r>
            <w:r>
              <w:rPr>
                <w:color w:val="000000"/>
                <w:sz w:val="21"/>
                <w:szCs w:val="21"/>
              </w:rPr>
              <w:t>日</w:t>
            </w:r>
          </w:p>
        </w:tc>
        <w:tc>
          <w:tcPr>
            <w:tcW w:w="1015" w:type="pct"/>
            <w:vAlign w:val="center"/>
          </w:tcPr>
          <w:p>
            <w:pPr>
              <w:spacing w:line="240" w:lineRule="auto"/>
              <w:ind w:firstLine="105" w:firstLineChars="50"/>
              <w:jc w:val="center"/>
              <w:rPr>
                <w:color w:val="000000"/>
                <w:sz w:val="21"/>
                <w:szCs w:val="21"/>
              </w:rPr>
            </w:pPr>
            <w:r>
              <w:rPr>
                <w:rFonts w:hint="eastAsia"/>
                <w:color w:val="000000"/>
                <w:sz w:val="21"/>
                <w:szCs w:val="21"/>
              </w:rPr>
              <w:t>5</w:t>
            </w:r>
            <w:r>
              <w:rPr>
                <w:color w:val="000000"/>
                <w:sz w:val="21"/>
                <w:szCs w:val="21"/>
              </w:rPr>
              <w:t>月</w:t>
            </w:r>
            <w:r>
              <w:rPr>
                <w:rFonts w:hint="eastAsia"/>
                <w:color w:val="000000"/>
                <w:sz w:val="21"/>
                <w:szCs w:val="21"/>
              </w:rPr>
              <w:t>31</w:t>
            </w:r>
            <w:r>
              <w:rPr>
                <w:color w:val="000000"/>
                <w:sz w:val="21"/>
                <w:szCs w:val="21"/>
              </w:rPr>
              <w:t>日</w:t>
            </w:r>
          </w:p>
        </w:tc>
        <w:tc>
          <w:tcPr>
            <w:tcW w:w="925" w:type="pct"/>
            <w:vAlign w:val="center"/>
          </w:tcPr>
          <w:p>
            <w:pPr>
              <w:spacing w:line="240" w:lineRule="auto"/>
              <w:ind w:firstLine="105" w:firstLineChars="50"/>
              <w:jc w:val="center"/>
              <w:rPr>
                <w:color w:val="000000"/>
                <w:sz w:val="21"/>
                <w:szCs w:val="21"/>
              </w:rPr>
            </w:pPr>
            <w:r>
              <w:rPr>
                <w:rFonts w:hint="eastAsia"/>
                <w:color w:val="000000"/>
                <w:sz w:val="21"/>
                <w:szCs w:val="21"/>
              </w:rPr>
              <w:t>6</w:t>
            </w:r>
            <w:r>
              <w:rPr>
                <w:color w:val="000000"/>
                <w:sz w:val="21"/>
                <w:szCs w:val="21"/>
              </w:rPr>
              <w:t>月</w:t>
            </w:r>
            <w:r>
              <w:rPr>
                <w:rFonts w:hint="eastAsia"/>
                <w:color w:val="000000"/>
                <w:sz w:val="21"/>
                <w:szCs w:val="21"/>
              </w:rPr>
              <w:t>1</w:t>
            </w:r>
            <w:r>
              <w:rPr>
                <w:color w:val="000000"/>
                <w:sz w:val="21"/>
                <w:szCs w:val="21"/>
              </w:rPr>
              <w:t>日</w:t>
            </w:r>
          </w:p>
        </w:tc>
        <w:tc>
          <w:tcPr>
            <w:tcW w:w="614" w:type="pct"/>
            <w:vMerge w:val="continue"/>
            <w:vAlign w:val="center"/>
          </w:tcPr>
          <w:p>
            <w:pPr>
              <w:spacing w:line="240" w:lineRule="auto"/>
              <w:ind w:firstLine="420"/>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color w:val="000000"/>
                <w:sz w:val="21"/>
                <w:szCs w:val="21"/>
              </w:rPr>
              <w:t>1</w:t>
            </w:r>
          </w:p>
        </w:tc>
        <w:tc>
          <w:tcPr>
            <w:tcW w:w="694" w:type="pct"/>
            <w:vAlign w:val="center"/>
          </w:tcPr>
          <w:p>
            <w:pPr>
              <w:spacing w:line="240" w:lineRule="auto"/>
              <w:ind w:firstLine="0" w:firstLineChars="0"/>
              <w:jc w:val="center"/>
              <w:rPr>
                <w:color w:val="000000"/>
                <w:sz w:val="21"/>
                <w:szCs w:val="21"/>
              </w:rPr>
            </w:pPr>
            <w:r>
              <w:rPr>
                <w:color w:val="000000"/>
                <w:sz w:val="21"/>
                <w:szCs w:val="21"/>
              </w:rPr>
              <w:t>pH</w:t>
            </w:r>
          </w:p>
        </w:tc>
        <w:tc>
          <w:tcPr>
            <w:tcW w:w="538" w:type="pct"/>
            <w:vAlign w:val="center"/>
          </w:tcPr>
          <w:p>
            <w:pPr>
              <w:spacing w:line="240" w:lineRule="auto"/>
              <w:ind w:firstLine="0" w:firstLineChars="0"/>
              <w:jc w:val="center"/>
              <w:rPr>
                <w:color w:val="000000"/>
                <w:sz w:val="21"/>
                <w:szCs w:val="21"/>
              </w:rPr>
            </w:pPr>
            <w:r>
              <w:rPr>
                <w:color w:val="000000"/>
                <w:sz w:val="21"/>
                <w:szCs w:val="21"/>
              </w:rPr>
              <w:t>—</w:t>
            </w:r>
          </w:p>
        </w:tc>
        <w:tc>
          <w:tcPr>
            <w:tcW w:w="911" w:type="pct"/>
            <w:vAlign w:val="center"/>
          </w:tcPr>
          <w:p>
            <w:pPr>
              <w:spacing w:line="240" w:lineRule="auto"/>
              <w:ind w:firstLine="0" w:firstLineChars="0"/>
              <w:jc w:val="center"/>
              <w:rPr>
                <w:color w:val="000000"/>
                <w:sz w:val="21"/>
                <w:szCs w:val="21"/>
              </w:rPr>
            </w:pPr>
            <w:r>
              <w:rPr>
                <w:color w:val="000000"/>
                <w:sz w:val="21"/>
                <w:szCs w:val="21"/>
              </w:rPr>
              <w:t>7.</w:t>
            </w:r>
            <w:r>
              <w:rPr>
                <w:rFonts w:hint="eastAsia"/>
                <w:color w:val="000000"/>
                <w:sz w:val="21"/>
                <w:szCs w:val="21"/>
              </w:rPr>
              <w:t>71</w:t>
            </w:r>
          </w:p>
        </w:tc>
        <w:tc>
          <w:tcPr>
            <w:tcW w:w="1015" w:type="pct"/>
            <w:vAlign w:val="center"/>
          </w:tcPr>
          <w:p>
            <w:pPr>
              <w:spacing w:line="240" w:lineRule="auto"/>
              <w:ind w:firstLine="0" w:firstLineChars="0"/>
              <w:jc w:val="center"/>
              <w:rPr>
                <w:color w:val="000000"/>
                <w:sz w:val="21"/>
                <w:szCs w:val="21"/>
              </w:rPr>
            </w:pPr>
            <w:r>
              <w:rPr>
                <w:color w:val="000000"/>
                <w:sz w:val="21"/>
                <w:szCs w:val="21"/>
              </w:rPr>
              <w:t>7.</w:t>
            </w:r>
            <w:r>
              <w:rPr>
                <w:rFonts w:hint="eastAsia"/>
                <w:color w:val="000000"/>
                <w:sz w:val="21"/>
                <w:szCs w:val="21"/>
              </w:rPr>
              <w:t>73</w:t>
            </w:r>
          </w:p>
        </w:tc>
        <w:tc>
          <w:tcPr>
            <w:tcW w:w="925" w:type="pct"/>
            <w:vAlign w:val="center"/>
          </w:tcPr>
          <w:p>
            <w:pPr>
              <w:spacing w:line="240" w:lineRule="auto"/>
              <w:ind w:firstLine="0" w:firstLineChars="0"/>
              <w:jc w:val="center"/>
              <w:rPr>
                <w:color w:val="000000"/>
                <w:sz w:val="21"/>
                <w:szCs w:val="21"/>
              </w:rPr>
            </w:pPr>
            <w:r>
              <w:rPr>
                <w:color w:val="000000"/>
                <w:sz w:val="21"/>
                <w:szCs w:val="21"/>
              </w:rPr>
              <w:t>7.</w:t>
            </w:r>
            <w:r>
              <w:rPr>
                <w:rFonts w:hint="eastAsia"/>
                <w:color w:val="000000"/>
                <w:sz w:val="21"/>
                <w:szCs w:val="21"/>
              </w:rPr>
              <w:t>75</w:t>
            </w:r>
          </w:p>
        </w:tc>
        <w:tc>
          <w:tcPr>
            <w:tcW w:w="614" w:type="pct"/>
            <w:vAlign w:val="center"/>
          </w:tcPr>
          <w:p>
            <w:pPr>
              <w:spacing w:line="240" w:lineRule="auto"/>
              <w:ind w:firstLine="0" w:firstLineChars="0"/>
              <w:jc w:val="center"/>
              <w:rPr>
                <w:color w:val="000000"/>
                <w:sz w:val="21"/>
                <w:szCs w:val="21"/>
              </w:rPr>
            </w:pPr>
            <w:r>
              <w:rPr>
                <w:color w:val="000000"/>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color w:val="000000"/>
                <w:sz w:val="21"/>
                <w:szCs w:val="21"/>
              </w:rPr>
              <w:t>2</w:t>
            </w:r>
          </w:p>
        </w:tc>
        <w:tc>
          <w:tcPr>
            <w:tcW w:w="694" w:type="pct"/>
            <w:vAlign w:val="center"/>
          </w:tcPr>
          <w:p>
            <w:pPr>
              <w:spacing w:line="240" w:lineRule="auto"/>
              <w:ind w:firstLine="0" w:firstLineChars="0"/>
              <w:jc w:val="center"/>
              <w:rPr>
                <w:color w:val="000000"/>
                <w:sz w:val="21"/>
                <w:szCs w:val="21"/>
              </w:rPr>
            </w:pPr>
            <w:r>
              <w:rPr>
                <w:color w:val="000000"/>
                <w:sz w:val="21"/>
                <w:szCs w:val="21"/>
              </w:rPr>
              <w:t>氨氮</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rFonts w:hint="eastAsia"/>
                <w:color w:val="000000"/>
                <w:sz w:val="21"/>
                <w:szCs w:val="21"/>
              </w:rPr>
              <w:t>0.41</w:t>
            </w:r>
          </w:p>
        </w:tc>
        <w:tc>
          <w:tcPr>
            <w:tcW w:w="1015" w:type="pct"/>
            <w:vAlign w:val="center"/>
          </w:tcPr>
          <w:p>
            <w:pPr>
              <w:spacing w:line="240" w:lineRule="auto"/>
              <w:ind w:firstLine="199" w:firstLineChars="95"/>
              <w:jc w:val="center"/>
              <w:rPr>
                <w:color w:val="000000"/>
                <w:sz w:val="21"/>
                <w:szCs w:val="21"/>
              </w:rPr>
            </w:pPr>
            <w:r>
              <w:rPr>
                <w:rFonts w:hint="eastAsia"/>
                <w:color w:val="000000"/>
                <w:sz w:val="21"/>
                <w:szCs w:val="21"/>
              </w:rPr>
              <w:t>0.40</w:t>
            </w:r>
          </w:p>
        </w:tc>
        <w:tc>
          <w:tcPr>
            <w:tcW w:w="925" w:type="pct"/>
            <w:vAlign w:val="center"/>
          </w:tcPr>
          <w:p>
            <w:pPr>
              <w:spacing w:line="240" w:lineRule="auto"/>
              <w:ind w:firstLine="199" w:firstLineChars="95"/>
              <w:jc w:val="center"/>
              <w:rPr>
                <w:color w:val="000000"/>
                <w:sz w:val="21"/>
                <w:szCs w:val="21"/>
              </w:rPr>
            </w:pPr>
            <w:r>
              <w:rPr>
                <w:color w:val="000000"/>
                <w:sz w:val="21"/>
                <w:szCs w:val="21"/>
              </w:rPr>
              <w:t>0.</w:t>
            </w:r>
            <w:r>
              <w:rPr>
                <w:rFonts w:hint="eastAsia"/>
                <w:color w:val="000000"/>
                <w:sz w:val="21"/>
                <w:szCs w:val="21"/>
              </w:rPr>
              <w:t>42</w:t>
            </w:r>
          </w:p>
        </w:tc>
        <w:tc>
          <w:tcPr>
            <w:tcW w:w="614" w:type="pct"/>
            <w:vAlign w:val="center"/>
          </w:tcPr>
          <w:p>
            <w:pPr>
              <w:spacing w:line="240" w:lineRule="auto"/>
              <w:ind w:firstLine="0" w:firstLineChars="0"/>
              <w:jc w:val="center"/>
              <w:rPr>
                <w:color w:val="000000"/>
                <w:sz w:val="21"/>
                <w:szCs w:val="21"/>
              </w:rPr>
            </w:pPr>
            <w:r>
              <w:rPr>
                <w:color w:val="000000"/>
                <w:sz w:val="21"/>
                <w:szCs w:val="21"/>
              </w:rPr>
              <w:t>1.</w:t>
            </w:r>
            <w:r>
              <w:rPr>
                <w:rFonts w:hint="eastAsia"/>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color w:val="000000"/>
                <w:sz w:val="21"/>
                <w:szCs w:val="21"/>
              </w:rPr>
              <w:t>3</w:t>
            </w:r>
          </w:p>
        </w:tc>
        <w:tc>
          <w:tcPr>
            <w:tcW w:w="694" w:type="pct"/>
            <w:vAlign w:val="center"/>
          </w:tcPr>
          <w:p>
            <w:pPr>
              <w:spacing w:line="240" w:lineRule="auto"/>
              <w:ind w:firstLine="0" w:firstLineChars="0"/>
              <w:jc w:val="center"/>
              <w:rPr>
                <w:bCs/>
                <w:color w:val="000000"/>
                <w:sz w:val="21"/>
                <w:szCs w:val="21"/>
              </w:rPr>
            </w:pPr>
            <w:r>
              <w:rPr>
                <w:color w:val="000000"/>
                <w:sz w:val="21"/>
                <w:szCs w:val="21"/>
              </w:rPr>
              <w:t>挥发酚</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color w:val="000000"/>
                <w:sz w:val="21"/>
                <w:szCs w:val="21"/>
              </w:rPr>
              <w:t>0.000</w:t>
            </w:r>
            <w:r>
              <w:rPr>
                <w:rFonts w:hint="eastAsia"/>
                <w:color w:val="000000"/>
                <w:sz w:val="21"/>
                <w:szCs w:val="21"/>
              </w:rPr>
              <w:t>5</w:t>
            </w:r>
            <w:r>
              <w:rPr>
                <w:color w:val="000000"/>
                <w:sz w:val="21"/>
                <w:szCs w:val="21"/>
              </w:rPr>
              <w:t>L</w:t>
            </w:r>
          </w:p>
        </w:tc>
        <w:tc>
          <w:tcPr>
            <w:tcW w:w="1015" w:type="pct"/>
            <w:vAlign w:val="center"/>
          </w:tcPr>
          <w:p>
            <w:pPr>
              <w:spacing w:line="240" w:lineRule="auto"/>
              <w:ind w:firstLine="0" w:firstLineChars="0"/>
              <w:jc w:val="center"/>
              <w:rPr>
                <w:color w:val="000000"/>
                <w:sz w:val="21"/>
                <w:szCs w:val="21"/>
              </w:rPr>
            </w:pPr>
            <w:r>
              <w:rPr>
                <w:color w:val="000000"/>
                <w:sz w:val="21"/>
                <w:szCs w:val="21"/>
              </w:rPr>
              <w:t>0.000</w:t>
            </w:r>
            <w:r>
              <w:rPr>
                <w:rFonts w:hint="eastAsia"/>
                <w:color w:val="000000"/>
                <w:sz w:val="21"/>
                <w:szCs w:val="21"/>
              </w:rPr>
              <w:t>6</w:t>
            </w:r>
            <w:r>
              <w:rPr>
                <w:color w:val="000000"/>
                <w:sz w:val="21"/>
                <w:szCs w:val="21"/>
              </w:rPr>
              <w:t>L</w:t>
            </w:r>
          </w:p>
        </w:tc>
        <w:tc>
          <w:tcPr>
            <w:tcW w:w="925" w:type="pct"/>
            <w:vAlign w:val="center"/>
          </w:tcPr>
          <w:p>
            <w:pPr>
              <w:spacing w:line="240" w:lineRule="auto"/>
              <w:ind w:firstLine="0" w:firstLineChars="0"/>
              <w:jc w:val="center"/>
              <w:rPr>
                <w:color w:val="000000"/>
                <w:sz w:val="21"/>
                <w:szCs w:val="21"/>
              </w:rPr>
            </w:pPr>
            <w:r>
              <w:rPr>
                <w:color w:val="000000"/>
                <w:sz w:val="21"/>
                <w:szCs w:val="21"/>
              </w:rPr>
              <w:t>0.00</w:t>
            </w:r>
            <w:r>
              <w:rPr>
                <w:rFonts w:hint="eastAsia"/>
                <w:color w:val="000000"/>
                <w:sz w:val="21"/>
                <w:szCs w:val="21"/>
              </w:rPr>
              <w:t>10</w:t>
            </w:r>
            <w:r>
              <w:rPr>
                <w:color w:val="000000"/>
                <w:sz w:val="21"/>
                <w:szCs w:val="21"/>
              </w:rPr>
              <w:t>L</w:t>
            </w:r>
          </w:p>
        </w:tc>
        <w:tc>
          <w:tcPr>
            <w:tcW w:w="614" w:type="pct"/>
            <w:vAlign w:val="center"/>
          </w:tcPr>
          <w:p>
            <w:pPr>
              <w:spacing w:line="240" w:lineRule="auto"/>
              <w:ind w:firstLine="0" w:firstLineChars="0"/>
              <w:jc w:val="center"/>
              <w:rPr>
                <w:color w:val="000000"/>
                <w:sz w:val="21"/>
                <w:szCs w:val="21"/>
              </w:rPr>
            </w:pPr>
            <w:r>
              <w:rPr>
                <w:color w:val="000000"/>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color w:val="000000"/>
                <w:sz w:val="21"/>
                <w:szCs w:val="21"/>
              </w:rPr>
              <w:t>4</w:t>
            </w:r>
          </w:p>
        </w:tc>
        <w:tc>
          <w:tcPr>
            <w:tcW w:w="694" w:type="pct"/>
            <w:vAlign w:val="center"/>
          </w:tcPr>
          <w:p>
            <w:pPr>
              <w:spacing w:line="240" w:lineRule="auto"/>
              <w:ind w:firstLine="0" w:firstLineChars="0"/>
              <w:jc w:val="center"/>
              <w:rPr>
                <w:bCs/>
                <w:color w:val="000000"/>
                <w:sz w:val="21"/>
                <w:szCs w:val="21"/>
              </w:rPr>
            </w:pPr>
            <w:r>
              <w:rPr>
                <w:color w:val="000000"/>
                <w:sz w:val="21"/>
                <w:szCs w:val="21"/>
              </w:rPr>
              <w:t>砷</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color w:val="000000"/>
                <w:sz w:val="21"/>
                <w:szCs w:val="21"/>
              </w:rPr>
              <w:t>0.00</w:t>
            </w:r>
            <w:r>
              <w:rPr>
                <w:rFonts w:hint="eastAsia"/>
                <w:color w:val="000000"/>
                <w:sz w:val="21"/>
                <w:szCs w:val="21"/>
              </w:rPr>
              <w:t>16</w:t>
            </w:r>
          </w:p>
        </w:tc>
        <w:tc>
          <w:tcPr>
            <w:tcW w:w="1015" w:type="pct"/>
            <w:vAlign w:val="center"/>
          </w:tcPr>
          <w:p>
            <w:pPr>
              <w:spacing w:line="240" w:lineRule="auto"/>
              <w:ind w:firstLine="0" w:firstLineChars="0"/>
              <w:jc w:val="center"/>
              <w:rPr>
                <w:color w:val="000000"/>
                <w:sz w:val="21"/>
                <w:szCs w:val="21"/>
              </w:rPr>
            </w:pPr>
            <w:r>
              <w:rPr>
                <w:color w:val="000000"/>
                <w:sz w:val="21"/>
                <w:szCs w:val="21"/>
              </w:rPr>
              <w:t>0.001</w:t>
            </w:r>
            <w:r>
              <w:rPr>
                <w:rFonts w:hint="eastAsia"/>
                <w:color w:val="000000"/>
                <w:sz w:val="21"/>
                <w:szCs w:val="21"/>
              </w:rPr>
              <w:t>6</w:t>
            </w:r>
          </w:p>
        </w:tc>
        <w:tc>
          <w:tcPr>
            <w:tcW w:w="925" w:type="pct"/>
            <w:vAlign w:val="center"/>
          </w:tcPr>
          <w:p>
            <w:pPr>
              <w:spacing w:line="240" w:lineRule="auto"/>
              <w:ind w:firstLine="0" w:firstLineChars="0"/>
              <w:jc w:val="center"/>
              <w:rPr>
                <w:color w:val="000000"/>
                <w:sz w:val="21"/>
                <w:szCs w:val="21"/>
              </w:rPr>
            </w:pPr>
            <w:r>
              <w:rPr>
                <w:color w:val="000000"/>
                <w:sz w:val="21"/>
                <w:szCs w:val="21"/>
              </w:rPr>
              <w:t>0.001</w:t>
            </w:r>
            <w:r>
              <w:rPr>
                <w:rFonts w:hint="eastAsia"/>
                <w:color w:val="000000"/>
                <w:sz w:val="21"/>
                <w:szCs w:val="21"/>
              </w:rPr>
              <w:t>6</w:t>
            </w:r>
          </w:p>
        </w:tc>
        <w:tc>
          <w:tcPr>
            <w:tcW w:w="614" w:type="pct"/>
            <w:vAlign w:val="center"/>
          </w:tcPr>
          <w:p>
            <w:pPr>
              <w:spacing w:line="240" w:lineRule="auto"/>
              <w:ind w:firstLine="0" w:firstLineChars="0"/>
              <w:jc w:val="center"/>
              <w:rPr>
                <w:color w:val="000000"/>
                <w:sz w:val="21"/>
                <w:szCs w:val="21"/>
              </w:rPr>
            </w:pPr>
            <w:r>
              <w:rPr>
                <w:color w:val="000000"/>
                <w:sz w:val="21"/>
                <w:szCs w:val="21"/>
              </w:rPr>
              <w:t>0.0</w:t>
            </w:r>
            <w:r>
              <w:rPr>
                <w:rFonts w:hint="eastAsia"/>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color w:val="000000"/>
                <w:sz w:val="21"/>
                <w:szCs w:val="21"/>
              </w:rPr>
              <w:t>5</w:t>
            </w:r>
          </w:p>
        </w:tc>
        <w:tc>
          <w:tcPr>
            <w:tcW w:w="694" w:type="pct"/>
            <w:vAlign w:val="center"/>
          </w:tcPr>
          <w:p>
            <w:pPr>
              <w:spacing w:line="240" w:lineRule="auto"/>
              <w:ind w:firstLine="0" w:firstLineChars="0"/>
              <w:jc w:val="center"/>
              <w:rPr>
                <w:color w:val="000000"/>
                <w:sz w:val="21"/>
                <w:szCs w:val="21"/>
              </w:rPr>
            </w:pPr>
            <w:r>
              <w:rPr>
                <w:color w:val="000000"/>
                <w:sz w:val="21"/>
                <w:szCs w:val="21"/>
              </w:rPr>
              <w:t>汞</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widowControl/>
              <w:spacing w:line="240" w:lineRule="auto"/>
              <w:ind w:firstLine="0" w:firstLineChars="0"/>
              <w:jc w:val="center"/>
              <w:rPr>
                <w:color w:val="000000"/>
                <w:sz w:val="21"/>
                <w:szCs w:val="21"/>
              </w:rPr>
            </w:pPr>
            <w:r>
              <w:rPr>
                <w:color w:val="000000"/>
                <w:sz w:val="21"/>
                <w:szCs w:val="21"/>
              </w:rPr>
              <w:t>0.00004L</w:t>
            </w:r>
          </w:p>
        </w:tc>
        <w:tc>
          <w:tcPr>
            <w:tcW w:w="1015" w:type="pct"/>
            <w:vAlign w:val="center"/>
          </w:tcPr>
          <w:p>
            <w:pPr>
              <w:widowControl/>
              <w:spacing w:line="240" w:lineRule="auto"/>
              <w:ind w:firstLine="0" w:firstLineChars="0"/>
              <w:jc w:val="center"/>
              <w:rPr>
                <w:color w:val="000000"/>
                <w:sz w:val="21"/>
                <w:szCs w:val="21"/>
              </w:rPr>
            </w:pPr>
            <w:r>
              <w:rPr>
                <w:color w:val="000000"/>
                <w:sz w:val="21"/>
                <w:szCs w:val="21"/>
              </w:rPr>
              <w:t>0.00004L</w:t>
            </w:r>
          </w:p>
        </w:tc>
        <w:tc>
          <w:tcPr>
            <w:tcW w:w="925" w:type="pct"/>
            <w:vAlign w:val="center"/>
          </w:tcPr>
          <w:p>
            <w:pPr>
              <w:widowControl/>
              <w:spacing w:line="240" w:lineRule="auto"/>
              <w:ind w:firstLine="0" w:firstLineChars="0"/>
              <w:jc w:val="center"/>
              <w:rPr>
                <w:color w:val="000000"/>
                <w:sz w:val="21"/>
                <w:szCs w:val="21"/>
              </w:rPr>
            </w:pPr>
            <w:r>
              <w:rPr>
                <w:color w:val="000000"/>
                <w:sz w:val="21"/>
                <w:szCs w:val="21"/>
              </w:rPr>
              <w:t>0.00004L</w:t>
            </w:r>
          </w:p>
        </w:tc>
        <w:tc>
          <w:tcPr>
            <w:tcW w:w="614" w:type="pct"/>
            <w:vAlign w:val="center"/>
          </w:tcPr>
          <w:p>
            <w:pPr>
              <w:widowControl/>
              <w:spacing w:line="240" w:lineRule="auto"/>
              <w:ind w:firstLine="0" w:firstLineChars="0"/>
              <w:jc w:val="center"/>
              <w:rPr>
                <w:color w:val="000000"/>
                <w:sz w:val="21"/>
                <w:szCs w:val="21"/>
              </w:rPr>
            </w:pPr>
            <w:r>
              <w:rPr>
                <w:color w:val="000000"/>
                <w:sz w:val="21"/>
                <w:szCs w:val="21"/>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color w:val="000000"/>
                <w:sz w:val="21"/>
                <w:szCs w:val="21"/>
              </w:rPr>
              <w:t>6</w:t>
            </w:r>
          </w:p>
        </w:tc>
        <w:tc>
          <w:tcPr>
            <w:tcW w:w="694" w:type="pct"/>
            <w:vAlign w:val="center"/>
          </w:tcPr>
          <w:p>
            <w:pPr>
              <w:spacing w:line="240" w:lineRule="auto"/>
              <w:ind w:firstLine="0" w:firstLineChars="0"/>
              <w:jc w:val="center"/>
              <w:rPr>
                <w:color w:val="000000"/>
                <w:sz w:val="21"/>
                <w:szCs w:val="21"/>
              </w:rPr>
            </w:pPr>
            <w:r>
              <w:rPr>
                <w:rFonts w:hint="eastAsia"/>
                <w:color w:val="000000"/>
                <w:sz w:val="21"/>
                <w:szCs w:val="21"/>
              </w:rPr>
              <w:t>锌</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color w:val="000000"/>
                <w:sz w:val="21"/>
                <w:szCs w:val="21"/>
              </w:rPr>
              <w:t>0.0</w:t>
            </w:r>
            <w:r>
              <w:rPr>
                <w:rFonts w:hint="eastAsia"/>
                <w:color w:val="000000"/>
                <w:sz w:val="21"/>
                <w:szCs w:val="21"/>
              </w:rPr>
              <w:t>5</w:t>
            </w:r>
            <w:r>
              <w:rPr>
                <w:color w:val="000000"/>
                <w:sz w:val="21"/>
                <w:szCs w:val="21"/>
              </w:rPr>
              <w:t>L</w:t>
            </w:r>
          </w:p>
        </w:tc>
        <w:tc>
          <w:tcPr>
            <w:tcW w:w="1015" w:type="pct"/>
            <w:vAlign w:val="center"/>
          </w:tcPr>
          <w:p>
            <w:pPr>
              <w:spacing w:line="240" w:lineRule="auto"/>
              <w:ind w:firstLine="0" w:firstLineChars="0"/>
              <w:jc w:val="center"/>
              <w:rPr>
                <w:color w:val="000000"/>
                <w:sz w:val="21"/>
                <w:szCs w:val="21"/>
              </w:rPr>
            </w:pPr>
            <w:r>
              <w:rPr>
                <w:color w:val="000000"/>
                <w:sz w:val="21"/>
                <w:szCs w:val="21"/>
              </w:rPr>
              <w:t>0.0</w:t>
            </w:r>
            <w:r>
              <w:rPr>
                <w:rFonts w:hint="eastAsia"/>
                <w:color w:val="000000"/>
                <w:sz w:val="21"/>
                <w:szCs w:val="21"/>
              </w:rPr>
              <w:t>5</w:t>
            </w:r>
            <w:r>
              <w:rPr>
                <w:color w:val="000000"/>
                <w:sz w:val="21"/>
                <w:szCs w:val="21"/>
              </w:rPr>
              <w:t>L</w:t>
            </w:r>
          </w:p>
        </w:tc>
        <w:tc>
          <w:tcPr>
            <w:tcW w:w="925" w:type="pct"/>
            <w:vAlign w:val="center"/>
          </w:tcPr>
          <w:p>
            <w:pPr>
              <w:spacing w:line="240" w:lineRule="auto"/>
              <w:ind w:firstLine="0" w:firstLineChars="0"/>
              <w:jc w:val="center"/>
              <w:rPr>
                <w:color w:val="000000"/>
                <w:sz w:val="21"/>
                <w:szCs w:val="21"/>
              </w:rPr>
            </w:pPr>
            <w:r>
              <w:rPr>
                <w:color w:val="000000"/>
                <w:sz w:val="21"/>
                <w:szCs w:val="21"/>
              </w:rPr>
              <w:t>0.0</w:t>
            </w:r>
            <w:r>
              <w:rPr>
                <w:rFonts w:hint="eastAsia"/>
                <w:color w:val="000000"/>
                <w:sz w:val="21"/>
                <w:szCs w:val="21"/>
              </w:rPr>
              <w:t>5</w:t>
            </w:r>
            <w:r>
              <w:rPr>
                <w:color w:val="000000"/>
                <w:sz w:val="21"/>
                <w:szCs w:val="21"/>
              </w:rPr>
              <w:t xml:space="preserve"> L</w:t>
            </w:r>
          </w:p>
        </w:tc>
        <w:tc>
          <w:tcPr>
            <w:tcW w:w="614" w:type="pct"/>
            <w:vAlign w:val="center"/>
          </w:tcPr>
          <w:p>
            <w:pPr>
              <w:spacing w:line="240" w:lineRule="auto"/>
              <w:ind w:firstLine="0" w:firstLineChars="0"/>
              <w:jc w:val="center"/>
              <w:rPr>
                <w:color w:val="000000"/>
                <w:sz w:val="21"/>
                <w:szCs w:val="21"/>
              </w:rPr>
            </w:pPr>
            <w:r>
              <w:rPr>
                <w:color w:val="00000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color w:val="000000"/>
                <w:sz w:val="21"/>
                <w:szCs w:val="21"/>
              </w:rPr>
              <w:t>7</w:t>
            </w:r>
          </w:p>
        </w:tc>
        <w:tc>
          <w:tcPr>
            <w:tcW w:w="694" w:type="pct"/>
            <w:vAlign w:val="center"/>
          </w:tcPr>
          <w:p>
            <w:pPr>
              <w:spacing w:line="240" w:lineRule="auto"/>
              <w:ind w:firstLine="0" w:firstLineChars="0"/>
              <w:jc w:val="center"/>
              <w:rPr>
                <w:color w:val="000000"/>
                <w:sz w:val="21"/>
                <w:szCs w:val="21"/>
              </w:rPr>
            </w:pPr>
            <w:r>
              <w:rPr>
                <w:color w:val="000000"/>
                <w:sz w:val="21"/>
                <w:szCs w:val="21"/>
              </w:rPr>
              <w:t>铅</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color w:val="000000"/>
                <w:sz w:val="21"/>
                <w:szCs w:val="21"/>
              </w:rPr>
              <w:t>0.01</w:t>
            </w:r>
            <w:r>
              <w:rPr>
                <w:rFonts w:hint="eastAsia"/>
                <w:color w:val="000000"/>
                <w:sz w:val="21"/>
                <w:szCs w:val="21"/>
              </w:rPr>
              <w:t>L</w:t>
            </w:r>
          </w:p>
        </w:tc>
        <w:tc>
          <w:tcPr>
            <w:tcW w:w="1015" w:type="pct"/>
            <w:vAlign w:val="center"/>
          </w:tcPr>
          <w:p>
            <w:pPr>
              <w:spacing w:line="240" w:lineRule="auto"/>
              <w:ind w:firstLine="0" w:firstLineChars="0"/>
              <w:jc w:val="center"/>
              <w:rPr>
                <w:color w:val="000000"/>
                <w:sz w:val="21"/>
                <w:szCs w:val="21"/>
              </w:rPr>
            </w:pPr>
            <w:r>
              <w:rPr>
                <w:color w:val="000000"/>
                <w:sz w:val="21"/>
                <w:szCs w:val="21"/>
              </w:rPr>
              <w:t>0.01L</w:t>
            </w:r>
          </w:p>
        </w:tc>
        <w:tc>
          <w:tcPr>
            <w:tcW w:w="925" w:type="pct"/>
            <w:vAlign w:val="center"/>
          </w:tcPr>
          <w:p>
            <w:pPr>
              <w:spacing w:line="240" w:lineRule="auto"/>
              <w:ind w:firstLine="0" w:firstLineChars="0"/>
              <w:jc w:val="center"/>
              <w:rPr>
                <w:color w:val="000000"/>
                <w:sz w:val="21"/>
                <w:szCs w:val="21"/>
              </w:rPr>
            </w:pPr>
            <w:r>
              <w:rPr>
                <w:color w:val="000000"/>
                <w:sz w:val="21"/>
                <w:szCs w:val="21"/>
              </w:rPr>
              <w:t>0.01L</w:t>
            </w:r>
          </w:p>
        </w:tc>
        <w:tc>
          <w:tcPr>
            <w:tcW w:w="614" w:type="pct"/>
            <w:vAlign w:val="center"/>
          </w:tcPr>
          <w:p>
            <w:pPr>
              <w:spacing w:line="240" w:lineRule="auto"/>
              <w:ind w:firstLine="0" w:firstLineChars="0"/>
              <w:jc w:val="center"/>
              <w:rPr>
                <w:color w:val="000000"/>
                <w:sz w:val="21"/>
                <w:szCs w:val="21"/>
              </w:rPr>
            </w:pPr>
            <w:r>
              <w:rPr>
                <w:color w:val="00000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rFonts w:hint="eastAsia"/>
                <w:color w:val="000000"/>
                <w:sz w:val="21"/>
                <w:szCs w:val="21"/>
              </w:rPr>
              <w:t>8</w:t>
            </w:r>
          </w:p>
        </w:tc>
        <w:tc>
          <w:tcPr>
            <w:tcW w:w="694" w:type="pct"/>
            <w:vAlign w:val="center"/>
          </w:tcPr>
          <w:p>
            <w:pPr>
              <w:spacing w:line="240" w:lineRule="auto"/>
              <w:ind w:firstLine="0" w:firstLineChars="0"/>
              <w:jc w:val="center"/>
              <w:rPr>
                <w:color w:val="000000"/>
                <w:sz w:val="21"/>
                <w:szCs w:val="21"/>
              </w:rPr>
            </w:pPr>
            <w:r>
              <w:rPr>
                <w:color w:val="000000"/>
                <w:sz w:val="21"/>
                <w:szCs w:val="21"/>
              </w:rPr>
              <w:t>镉</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color w:val="000000"/>
                <w:sz w:val="21"/>
                <w:szCs w:val="21"/>
              </w:rPr>
              <w:t>0.001L</w:t>
            </w:r>
          </w:p>
        </w:tc>
        <w:tc>
          <w:tcPr>
            <w:tcW w:w="1015" w:type="pct"/>
            <w:vAlign w:val="center"/>
          </w:tcPr>
          <w:p>
            <w:pPr>
              <w:spacing w:line="240" w:lineRule="auto"/>
              <w:ind w:firstLine="0" w:firstLineChars="0"/>
              <w:jc w:val="center"/>
              <w:rPr>
                <w:color w:val="000000"/>
                <w:sz w:val="21"/>
                <w:szCs w:val="21"/>
              </w:rPr>
            </w:pPr>
            <w:r>
              <w:rPr>
                <w:color w:val="000000"/>
                <w:sz w:val="21"/>
                <w:szCs w:val="21"/>
              </w:rPr>
              <w:t>0.001L</w:t>
            </w:r>
          </w:p>
        </w:tc>
        <w:tc>
          <w:tcPr>
            <w:tcW w:w="925" w:type="pct"/>
            <w:vAlign w:val="center"/>
          </w:tcPr>
          <w:p>
            <w:pPr>
              <w:spacing w:line="240" w:lineRule="auto"/>
              <w:ind w:firstLine="0" w:firstLineChars="0"/>
              <w:jc w:val="center"/>
              <w:rPr>
                <w:color w:val="000000"/>
                <w:sz w:val="21"/>
                <w:szCs w:val="21"/>
              </w:rPr>
            </w:pPr>
            <w:r>
              <w:rPr>
                <w:color w:val="000000"/>
                <w:sz w:val="21"/>
                <w:szCs w:val="21"/>
              </w:rPr>
              <w:t>0.001L</w:t>
            </w:r>
          </w:p>
        </w:tc>
        <w:tc>
          <w:tcPr>
            <w:tcW w:w="614" w:type="pct"/>
            <w:vAlign w:val="center"/>
          </w:tcPr>
          <w:p>
            <w:pPr>
              <w:spacing w:line="240" w:lineRule="auto"/>
              <w:ind w:firstLine="0" w:firstLineChars="0"/>
              <w:jc w:val="center"/>
              <w:rPr>
                <w:color w:val="000000"/>
                <w:sz w:val="21"/>
                <w:szCs w:val="21"/>
              </w:rPr>
            </w:pPr>
            <w:r>
              <w:rPr>
                <w:color w:val="000000"/>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color w:val="000000"/>
                <w:sz w:val="21"/>
                <w:szCs w:val="21"/>
              </w:rPr>
              <w:t>9</w:t>
            </w:r>
          </w:p>
        </w:tc>
        <w:tc>
          <w:tcPr>
            <w:tcW w:w="694" w:type="pct"/>
            <w:vAlign w:val="center"/>
          </w:tcPr>
          <w:p>
            <w:pPr>
              <w:spacing w:line="240" w:lineRule="auto"/>
              <w:ind w:firstLine="0" w:firstLineChars="0"/>
              <w:jc w:val="center"/>
              <w:rPr>
                <w:color w:val="000000"/>
                <w:sz w:val="21"/>
                <w:szCs w:val="21"/>
              </w:rPr>
            </w:pPr>
            <w:r>
              <w:rPr>
                <w:color w:val="000000"/>
                <w:sz w:val="21"/>
                <w:szCs w:val="21"/>
              </w:rPr>
              <w:t>高锰酸盐指数</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color w:val="000000"/>
                <w:sz w:val="21"/>
                <w:szCs w:val="21"/>
              </w:rPr>
              <w:t>2.</w:t>
            </w:r>
            <w:r>
              <w:rPr>
                <w:rFonts w:hint="eastAsia"/>
                <w:color w:val="000000"/>
                <w:sz w:val="21"/>
                <w:szCs w:val="21"/>
              </w:rPr>
              <w:t>4</w:t>
            </w:r>
          </w:p>
        </w:tc>
        <w:tc>
          <w:tcPr>
            <w:tcW w:w="1015" w:type="pct"/>
            <w:vAlign w:val="center"/>
          </w:tcPr>
          <w:p>
            <w:pPr>
              <w:spacing w:line="240" w:lineRule="auto"/>
              <w:ind w:firstLine="0" w:firstLineChars="0"/>
              <w:jc w:val="center"/>
              <w:rPr>
                <w:color w:val="000000"/>
                <w:sz w:val="21"/>
                <w:szCs w:val="21"/>
              </w:rPr>
            </w:pPr>
            <w:r>
              <w:rPr>
                <w:color w:val="000000"/>
                <w:sz w:val="21"/>
                <w:szCs w:val="21"/>
              </w:rPr>
              <w:t>2.</w:t>
            </w:r>
            <w:r>
              <w:rPr>
                <w:rFonts w:hint="eastAsia"/>
                <w:color w:val="000000"/>
                <w:sz w:val="21"/>
                <w:szCs w:val="21"/>
              </w:rPr>
              <w:t>1</w:t>
            </w:r>
          </w:p>
        </w:tc>
        <w:tc>
          <w:tcPr>
            <w:tcW w:w="925" w:type="pct"/>
            <w:vAlign w:val="center"/>
          </w:tcPr>
          <w:p>
            <w:pPr>
              <w:spacing w:line="240" w:lineRule="auto"/>
              <w:ind w:firstLine="0" w:firstLineChars="0"/>
              <w:jc w:val="center"/>
              <w:rPr>
                <w:color w:val="000000"/>
                <w:sz w:val="21"/>
                <w:szCs w:val="21"/>
              </w:rPr>
            </w:pPr>
            <w:r>
              <w:rPr>
                <w:rFonts w:hint="eastAsia"/>
                <w:color w:val="000000"/>
                <w:sz w:val="21"/>
                <w:szCs w:val="21"/>
              </w:rPr>
              <w:t>2.2</w:t>
            </w:r>
          </w:p>
        </w:tc>
        <w:tc>
          <w:tcPr>
            <w:tcW w:w="614" w:type="pct"/>
            <w:vAlign w:val="center"/>
          </w:tcPr>
          <w:p>
            <w:pPr>
              <w:spacing w:line="240" w:lineRule="auto"/>
              <w:ind w:firstLine="0" w:firstLineChars="0"/>
              <w:jc w:val="center"/>
              <w:rPr>
                <w:color w:val="000000"/>
                <w:sz w:val="21"/>
                <w:szCs w:val="21"/>
              </w:rPr>
            </w:pPr>
            <w:r>
              <w:rPr>
                <w:color w:val="00000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rFonts w:hint="eastAsia"/>
                <w:color w:val="000000"/>
                <w:sz w:val="21"/>
                <w:szCs w:val="21"/>
              </w:rPr>
              <w:t>10</w:t>
            </w:r>
          </w:p>
        </w:tc>
        <w:tc>
          <w:tcPr>
            <w:tcW w:w="694" w:type="pct"/>
            <w:vAlign w:val="center"/>
          </w:tcPr>
          <w:p>
            <w:pPr>
              <w:spacing w:line="240" w:lineRule="auto"/>
              <w:ind w:firstLine="0" w:firstLineChars="0"/>
              <w:jc w:val="center"/>
              <w:rPr>
                <w:color w:val="000000"/>
                <w:sz w:val="21"/>
                <w:szCs w:val="21"/>
              </w:rPr>
            </w:pPr>
            <w:r>
              <w:rPr>
                <w:color w:val="000000"/>
                <w:sz w:val="21"/>
                <w:szCs w:val="21"/>
              </w:rPr>
              <w:t>氰化物</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color w:val="000000"/>
                <w:sz w:val="21"/>
                <w:szCs w:val="21"/>
              </w:rPr>
              <w:t>0.004L</w:t>
            </w:r>
          </w:p>
        </w:tc>
        <w:tc>
          <w:tcPr>
            <w:tcW w:w="1015" w:type="pct"/>
            <w:vAlign w:val="center"/>
          </w:tcPr>
          <w:p>
            <w:pPr>
              <w:spacing w:line="240" w:lineRule="auto"/>
              <w:ind w:firstLine="0" w:firstLineChars="0"/>
              <w:jc w:val="center"/>
              <w:rPr>
                <w:color w:val="000000"/>
                <w:sz w:val="21"/>
                <w:szCs w:val="21"/>
              </w:rPr>
            </w:pPr>
            <w:r>
              <w:rPr>
                <w:color w:val="000000"/>
                <w:sz w:val="21"/>
                <w:szCs w:val="21"/>
              </w:rPr>
              <w:t>0.004L</w:t>
            </w:r>
          </w:p>
        </w:tc>
        <w:tc>
          <w:tcPr>
            <w:tcW w:w="925" w:type="pct"/>
            <w:vAlign w:val="center"/>
          </w:tcPr>
          <w:p>
            <w:pPr>
              <w:spacing w:line="240" w:lineRule="auto"/>
              <w:ind w:firstLine="0" w:firstLineChars="0"/>
              <w:jc w:val="center"/>
              <w:rPr>
                <w:color w:val="000000"/>
                <w:sz w:val="21"/>
                <w:szCs w:val="21"/>
              </w:rPr>
            </w:pPr>
            <w:r>
              <w:rPr>
                <w:color w:val="000000"/>
                <w:sz w:val="21"/>
                <w:szCs w:val="21"/>
              </w:rPr>
              <w:t>0.004L</w:t>
            </w:r>
          </w:p>
        </w:tc>
        <w:tc>
          <w:tcPr>
            <w:tcW w:w="614" w:type="pct"/>
            <w:vAlign w:val="center"/>
          </w:tcPr>
          <w:p>
            <w:pPr>
              <w:spacing w:line="240" w:lineRule="auto"/>
              <w:ind w:firstLine="0" w:firstLineChars="0"/>
              <w:jc w:val="center"/>
              <w:rPr>
                <w:color w:val="000000"/>
                <w:sz w:val="21"/>
                <w:szCs w:val="21"/>
              </w:rPr>
            </w:pPr>
            <w:r>
              <w:rPr>
                <w:color w:val="000000"/>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rFonts w:hint="eastAsia"/>
                <w:color w:val="000000"/>
                <w:sz w:val="21"/>
                <w:szCs w:val="21"/>
              </w:rPr>
              <w:t>11</w:t>
            </w:r>
          </w:p>
        </w:tc>
        <w:tc>
          <w:tcPr>
            <w:tcW w:w="694" w:type="pct"/>
            <w:vAlign w:val="center"/>
          </w:tcPr>
          <w:p>
            <w:pPr>
              <w:spacing w:line="240" w:lineRule="auto"/>
              <w:ind w:firstLine="0" w:firstLineChars="0"/>
              <w:jc w:val="center"/>
              <w:rPr>
                <w:color w:val="000000"/>
                <w:sz w:val="21"/>
                <w:szCs w:val="21"/>
              </w:rPr>
            </w:pPr>
            <w:r>
              <w:rPr>
                <w:color w:val="000000"/>
                <w:sz w:val="21"/>
                <w:szCs w:val="21"/>
              </w:rPr>
              <w:t>氟化物</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color w:val="000000"/>
                <w:sz w:val="21"/>
                <w:szCs w:val="21"/>
              </w:rPr>
              <w:t>0.</w:t>
            </w:r>
            <w:r>
              <w:rPr>
                <w:rFonts w:hint="eastAsia"/>
                <w:color w:val="000000"/>
                <w:sz w:val="21"/>
                <w:szCs w:val="21"/>
              </w:rPr>
              <w:t>50</w:t>
            </w:r>
          </w:p>
        </w:tc>
        <w:tc>
          <w:tcPr>
            <w:tcW w:w="1015" w:type="pct"/>
            <w:vAlign w:val="center"/>
          </w:tcPr>
          <w:p>
            <w:pPr>
              <w:spacing w:line="240" w:lineRule="auto"/>
              <w:ind w:firstLine="0" w:firstLineChars="0"/>
              <w:jc w:val="center"/>
              <w:rPr>
                <w:color w:val="000000"/>
                <w:sz w:val="21"/>
                <w:szCs w:val="21"/>
              </w:rPr>
            </w:pPr>
            <w:r>
              <w:rPr>
                <w:rFonts w:hint="eastAsia"/>
                <w:color w:val="000000"/>
                <w:sz w:val="21"/>
                <w:szCs w:val="21"/>
              </w:rPr>
              <w:t>0</w:t>
            </w:r>
            <w:r>
              <w:rPr>
                <w:color w:val="000000"/>
                <w:sz w:val="21"/>
                <w:szCs w:val="21"/>
              </w:rPr>
              <w:t>.</w:t>
            </w:r>
            <w:r>
              <w:rPr>
                <w:rFonts w:hint="eastAsia"/>
                <w:color w:val="000000"/>
                <w:sz w:val="21"/>
                <w:szCs w:val="21"/>
              </w:rPr>
              <w:t>52</w:t>
            </w:r>
          </w:p>
        </w:tc>
        <w:tc>
          <w:tcPr>
            <w:tcW w:w="925" w:type="pct"/>
            <w:vAlign w:val="center"/>
          </w:tcPr>
          <w:p>
            <w:pPr>
              <w:spacing w:line="240" w:lineRule="auto"/>
              <w:ind w:firstLine="0" w:firstLineChars="0"/>
              <w:jc w:val="center"/>
              <w:rPr>
                <w:color w:val="000000"/>
                <w:sz w:val="21"/>
                <w:szCs w:val="21"/>
              </w:rPr>
            </w:pPr>
            <w:r>
              <w:rPr>
                <w:color w:val="000000"/>
                <w:sz w:val="21"/>
                <w:szCs w:val="21"/>
              </w:rPr>
              <w:t>0.</w:t>
            </w:r>
            <w:r>
              <w:rPr>
                <w:rFonts w:hint="eastAsia"/>
                <w:color w:val="000000"/>
                <w:sz w:val="21"/>
                <w:szCs w:val="21"/>
              </w:rPr>
              <w:t>50</w:t>
            </w:r>
          </w:p>
        </w:tc>
        <w:tc>
          <w:tcPr>
            <w:tcW w:w="614" w:type="pct"/>
            <w:vAlign w:val="center"/>
          </w:tcPr>
          <w:p>
            <w:pPr>
              <w:spacing w:line="240" w:lineRule="auto"/>
              <w:ind w:firstLine="0" w:firstLineChars="0"/>
              <w:jc w:val="center"/>
              <w:rPr>
                <w:color w:val="000000"/>
                <w:sz w:val="21"/>
                <w:szCs w:val="21"/>
              </w:rPr>
            </w:pPr>
            <w:r>
              <w:rPr>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rFonts w:hint="eastAsia"/>
                <w:color w:val="000000"/>
                <w:sz w:val="21"/>
                <w:szCs w:val="21"/>
              </w:rPr>
              <w:t>12</w:t>
            </w:r>
          </w:p>
        </w:tc>
        <w:tc>
          <w:tcPr>
            <w:tcW w:w="694" w:type="pct"/>
            <w:vAlign w:val="center"/>
          </w:tcPr>
          <w:p>
            <w:pPr>
              <w:spacing w:line="240" w:lineRule="auto"/>
              <w:ind w:firstLine="0" w:firstLineChars="0"/>
              <w:jc w:val="center"/>
              <w:rPr>
                <w:color w:val="000000"/>
                <w:sz w:val="21"/>
                <w:szCs w:val="21"/>
              </w:rPr>
            </w:pPr>
            <w:r>
              <w:rPr>
                <w:color w:val="000000"/>
                <w:sz w:val="21"/>
                <w:szCs w:val="21"/>
              </w:rPr>
              <w:t>CODcr</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rFonts w:hint="eastAsia"/>
                <w:color w:val="000000"/>
                <w:sz w:val="21"/>
                <w:szCs w:val="21"/>
              </w:rPr>
              <w:t>10</w:t>
            </w:r>
          </w:p>
        </w:tc>
        <w:tc>
          <w:tcPr>
            <w:tcW w:w="1015" w:type="pct"/>
            <w:vAlign w:val="center"/>
          </w:tcPr>
          <w:p>
            <w:pPr>
              <w:spacing w:line="240" w:lineRule="auto"/>
              <w:ind w:firstLine="0" w:firstLineChars="0"/>
              <w:jc w:val="center"/>
              <w:rPr>
                <w:color w:val="000000"/>
                <w:sz w:val="21"/>
                <w:szCs w:val="21"/>
              </w:rPr>
            </w:pPr>
            <w:r>
              <w:rPr>
                <w:rFonts w:hint="eastAsia"/>
                <w:color w:val="000000"/>
                <w:sz w:val="21"/>
                <w:szCs w:val="21"/>
              </w:rPr>
              <w:t>10</w:t>
            </w:r>
          </w:p>
        </w:tc>
        <w:tc>
          <w:tcPr>
            <w:tcW w:w="925" w:type="pct"/>
            <w:vAlign w:val="center"/>
          </w:tcPr>
          <w:p>
            <w:pPr>
              <w:spacing w:line="240" w:lineRule="auto"/>
              <w:ind w:firstLine="0" w:firstLineChars="0"/>
              <w:jc w:val="center"/>
              <w:rPr>
                <w:color w:val="000000"/>
                <w:sz w:val="21"/>
                <w:szCs w:val="21"/>
              </w:rPr>
            </w:pPr>
            <w:r>
              <w:rPr>
                <w:rFonts w:hint="eastAsia"/>
                <w:color w:val="000000"/>
                <w:sz w:val="21"/>
                <w:szCs w:val="21"/>
              </w:rPr>
              <w:t>8</w:t>
            </w:r>
          </w:p>
        </w:tc>
        <w:tc>
          <w:tcPr>
            <w:tcW w:w="614" w:type="pct"/>
            <w:vAlign w:val="center"/>
          </w:tcPr>
          <w:p>
            <w:pPr>
              <w:spacing w:line="240" w:lineRule="auto"/>
              <w:ind w:firstLine="0" w:firstLineChars="0"/>
              <w:jc w:val="center"/>
              <w:rPr>
                <w:color w:val="000000"/>
                <w:sz w:val="21"/>
                <w:szCs w:val="21"/>
              </w:rPr>
            </w:pPr>
            <w:r>
              <w:rPr>
                <w:color w:val="00000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rFonts w:hint="eastAsia"/>
                <w:color w:val="000000"/>
                <w:sz w:val="21"/>
                <w:szCs w:val="21"/>
              </w:rPr>
              <w:t>13</w:t>
            </w:r>
          </w:p>
        </w:tc>
        <w:tc>
          <w:tcPr>
            <w:tcW w:w="694" w:type="pct"/>
            <w:vAlign w:val="center"/>
          </w:tcPr>
          <w:p>
            <w:pPr>
              <w:spacing w:line="240" w:lineRule="auto"/>
              <w:ind w:firstLine="0" w:firstLineChars="0"/>
              <w:jc w:val="center"/>
              <w:rPr>
                <w:color w:val="000000"/>
                <w:sz w:val="21"/>
                <w:szCs w:val="21"/>
              </w:rPr>
            </w:pPr>
            <w:r>
              <w:rPr>
                <w:color w:val="000000"/>
                <w:sz w:val="21"/>
                <w:szCs w:val="21"/>
              </w:rPr>
              <w:t>BOD</w:t>
            </w:r>
            <w:r>
              <w:rPr>
                <w:color w:val="000000"/>
                <w:sz w:val="21"/>
                <w:szCs w:val="21"/>
                <w:vertAlign w:val="subscript"/>
              </w:rPr>
              <w:t>5</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color w:val="000000"/>
                <w:sz w:val="21"/>
                <w:szCs w:val="21"/>
              </w:rPr>
              <w:t>1.</w:t>
            </w:r>
            <w:r>
              <w:rPr>
                <w:rFonts w:hint="eastAsia"/>
                <w:color w:val="000000"/>
                <w:sz w:val="21"/>
                <w:szCs w:val="21"/>
              </w:rPr>
              <w:t>6</w:t>
            </w:r>
          </w:p>
        </w:tc>
        <w:tc>
          <w:tcPr>
            <w:tcW w:w="1015" w:type="pct"/>
            <w:vAlign w:val="center"/>
          </w:tcPr>
          <w:p>
            <w:pPr>
              <w:spacing w:line="240" w:lineRule="auto"/>
              <w:ind w:firstLine="0" w:firstLineChars="0"/>
              <w:jc w:val="center"/>
              <w:rPr>
                <w:color w:val="000000"/>
                <w:sz w:val="21"/>
                <w:szCs w:val="21"/>
              </w:rPr>
            </w:pPr>
            <w:r>
              <w:rPr>
                <w:rFonts w:hint="eastAsia"/>
                <w:color w:val="000000"/>
                <w:sz w:val="21"/>
                <w:szCs w:val="21"/>
              </w:rPr>
              <w:t>1.6</w:t>
            </w:r>
          </w:p>
        </w:tc>
        <w:tc>
          <w:tcPr>
            <w:tcW w:w="925" w:type="pct"/>
            <w:vAlign w:val="center"/>
          </w:tcPr>
          <w:p>
            <w:pPr>
              <w:spacing w:line="240" w:lineRule="auto"/>
              <w:ind w:firstLine="0" w:firstLineChars="0"/>
              <w:jc w:val="center"/>
              <w:rPr>
                <w:color w:val="000000"/>
                <w:sz w:val="21"/>
                <w:szCs w:val="21"/>
              </w:rPr>
            </w:pPr>
            <w:r>
              <w:rPr>
                <w:rFonts w:hint="eastAsia"/>
                <w:color w:val="000000"/>
                <w:sz w:val="21"/>
                <w:szCs w:val="21"/>
              </w:rPr>
              <w:t>1.6</w:t>
            </w:r>
          </w:p>
        </w:tc>
        <w:tc>
          <w:tcPr>
            <w:tcW w:w="614" w:type="pct"/>
            <w:vAlign w:val="center"/>
          </w:tcPr>
          <w:p>
            <w:pPr>
              <w:spacing w:line="240" w:lineRule="auto"/>
              <w:ind w:firstLine="0" w:firstLineChars="0"/>
              <w:jc w:val="center"/>
              <w:rPr>
                <w:color w:val="000000"/>
                <w:sz w:val="21"/>
                <w:szCs w:val="21"/>
              </w:rPr>
            </w:pPr>
            <w:r>
              <w:rPr>
                <w:color w:val="00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rFonts w:hint="eastAsia"/>
                <w:color w:val="000000"/>
                <w:sz w:val="21"/>
                <w:szCs w:val="21"/>
              </w:rPr>
              <w:t>14</w:t>
            </w:r>
          </w:p>
        </w:tc>
        <w:tc>
          <w:tcPr>
            <w:tcW w:w="694" w:type="pct"/>
            <w:vAlign w:val="center"/>
          </w:tcPr>
          <w:p>
            <w:pPr>
              <w:spacing w:line="240" w:lineRule="auto"/>
              <w:ind w:firstLine="0" w:firstLineChars="0"/>
              <w:jc w:val="center"/>
              <w:rPr>
                <w:color w:val="000000"/>
                <w:sz w:val="21"/>
                <w:szCs w:val="21"/>
              </w:rPr>
            </w:pPr>
            <w:r>
              <w:rPr>
                <w:color w:val="000000"/>
                <w:sz w:val="21"/>
                <w:szCs w:val="21"/>
              </w:rPr>
              <w:t>总磷</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color w:val="000000"/>
                <w:sz w:val="21"/>
                <w:szCs w:val="21"/>
              </w:rPr>
              <w:t>0.0</w:t>
            </w:r>
            <w:r>
              <w:rPr>
                <w:rFonts w:hint="eastAsia"/>
                <w:color w:val="000000"/>
                <w:sz w:val="21"/>
                <w:szCs w:val="21"/>
              </w:rPr>
              <w:t>1L</w:t>
            </w:r>
          </w:p>
        </w:tc>
        <w:tc>
          <w:tcPr>
            <w:tcW w:w="1015" w:type="pct"/>
            <w:vAlign w:val="center"/>
          </w:tcPr>
          <w:p>
            <w:pPr>
              <w:spacing w:line="240" w:lineRule="auto"/>
              <w:ind w:firstLine="0" w:firstLineChars="0"/>
              <w:jc w:val="center"/>
              <w:rPr>
                <w:color w:val="000000"/>
                <w:sz w:val="21"/>
                <w:szCs w:val="21"/>
              </w:rPr>
            </w:pPr>
            <w:r>
              <w:rPr>
                <w:color w:val="000000"/>
                <w:sz w:val="21"/>
                <w:szCs w:val="21"/>
              </w:rPr>
              <w:t>0.0</w:t>
            </w:r>
            <w:r>
              <w:rPr>
                <w:rFonts w:hint="eastAsia"/>
                <w:color w:val="000000"/>
                <w:sz w:val="21"/>
                <w:szCs w:val="21"/>
              </w:rPr>
              <w:t>1L</w:t>
            </w:r>
          </w:p>
        </w:tc>
        <w:tc>
          <w:tcPr>
            <w:tcW w:w="925" w:type="pct"/>
            <w:vAlign w:val="center"/>
          </w:tcPr>
          <w:p>
            <w:pPr>
              <w:spacing w:line="240" w:lineRule="auto"/>
              <w:ind w:firstLine="0" w:firstLineChars="0"/>
              <w:jc w:val="center"/>
              <w:rPr>
                <w:color w:val="000000"/>
                <w:sz w:val="21"/>
                <w:szCs w:val="21"/>
              </w:rPr>
            </w:pPr>
            <w:r>
              <w:rPr>
                <w:color w:val="000000"/>
                <w:sz w:val="21"/>
                <w:szCs w:val="21"/>
              </w:rPr>
              <w:t>0.0</w:t>
            </w:r>
            <w:r>
              <w:rPr>
                <w:rFonts w:hint="eastAsia"/>
                <w:color w:val="000000"/>
                <w:sz w:val="21"/>
                <w:szCs w:val="21"/>
              </w:rPr>
              <w:t>1L</w:t>
            </w:r>
          </w:p>
        </w:tc>
        <w:tc>
          <w:tcPr>
            <w:tcW w:w="614" w:type="pct"/>
            <w:vAlign w:val="center"/>
          </w:tcPr>
          <w:p>
            <w:pPr>
              <w:spacing w:line="240" w:lineRule="auto"/>
              <w:ind w:firstLine="0" w:firstLineChars="0"/>
              <w:jc w:val="center"/>
              <w:rPr>
                <w:color w:val="000000"/>
                <w:sz w:val="21"/>
                <w:szCs w:val="21"/>
              </w:rPr>
            </w:pPr>
            <w:r>
              <w:rPr>
                <w:rFonts w:hint="eastAsia"/>
                <w:color w:val="000000"/>
                <w:sz w:val="21"/>
                <w:szCs w:val="21"/>
              </w:rPr>
              <w:t>0</w:t>
            </w:r>
            <w:r>
              <w:rPr>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rFonts w:hint="eastAsia"/>
                <w:color w:val="000000"/>
                <w:sz w:val="21"/>
                <w:szCs w:val="21"/>
              </w:rPr>
              <w:t>15</w:t>
            </w:r>
          </w:p>
        </w:tc>
        <w:tc>
          <w:tcPr>
            <w:tcW w:w="694" w:type="pct"/>
            <w:vAlign w:val="center"/>
          </w:tcPr>
          <w:p>
            <w:pPr>
              <w:spacing w:line="240" w:lineRule="auto"/>
              <w:ind w:firstLine="0" w:firstLineChars="0"/>
              <w:jc w:val="center"/>
              <w:rPr>
                <w:color w:val="000000"/>
                <w:sz w:val="21"/>
                <w:szCs w:val="21"/>
              </w:rPr>
            </w:pPr>
            <w:r>
              <w:rPr>
                <w:color w:val="000000"/>
                <w:sz w:val="21"/>
                <w:szCs w:val="21"/>
              </w:rPr>
              <w:t>铜</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color w:val="000000"/>
                <w:sz w:val="21"/>
                <w:szCs w:val="21"/>
              </w:rPr>
              <w:t>0.00</w:t>
            </w:r>
            <w:r>
              <w:rPr>
                <w:rFonts w:hint="eastAsia"/>
                <w:color w:val="000000"/>
                <w:sz w:val="21"/>
                <w:szCs w:val="21"/>
              </w:rPr>
              <w:t>1</w:t>
            </w:r>
            <w:r>
              <w:rPr>
                <w:color w:val="000000"/>
                <w:sz w:val="21"/>
                <w:szCs w:val="21"/>
              </w:rPr>
              <w:t>L</w:t>
            </w:r>
          </w:p>
        </w:tc>
        <w:tc>
          <w:tcPr>
            <w:tcW w:w="1015" w:type="pct"/>
            <w:vAlign w:val="center"/>
          </w:tcPr>
          <w:p>
            <w:pPr>
              <w:spacing w:line="240" w:lineRule="auto"/>
              <w:ind w:firstLine="0" w:firstLineChars="0"/>
              <w:jc w:val="center"/>
              <w:rPr>
                <w:color w:val="000000"/>
                <w:sz w:val="21"/>
                <w:szCs w:val="21"/>
              </w:rPr>
            </w:pPr>
            <w:r>
              <w:rPr>
                <w:color w:val="000000"/>
                <w:sz w:val="21"/>
                <w:szCs w:val="21"/>
              </w:rPr>
              <w:t>0.001L</w:t>
            </w:r>
          </w:p>
        </w:tc>
        <w:tc>
          <w:tcPr>
            <w:tcW w:w="925" w:type="pct"/>
            <w:vAlign w:val="center"/>
          </w:tcPr>
          <w:p>
            <w:pPr>
              <w:spacing w:line="240" w:lineRule="auto"/>
              <w:ind w:firstLine="0" w:firstLineChars="0"/>
              <w:jc w:val="center"/>
              <w:rPr>
                <w:color w:val="000000"/>
                <w:sz w:val="21"/>
                <w:szCs w:val="21"/>
              </w:rPr>
            </w:pPr>
            <w:r>
              <w:rPr>
                <w:color w:val="000000"/>
                <w:sz w:val="21"/>
                <w:szCs w:val="21"/>
              </w:rPr>
              <w:t>0.001L</w:t>
            </w:r>
          </w:p>
        </w:tc>
        <w:tc>
          <w:tcPr>
            <w:tcW w:w="614" w:type="pct"/>
            <w:vAlign w:val="center"/>
          </w:tcPr>
          <w:p>
            <w:pPr>
              <w:spacing w:line="240" w:lineRule="auto"/>
              <w:ind w:firstLine="0" w:firstLineChars="0"/>
              <w:jc w:val="center"/>
              <w:rPr>
                <w:color w:val="000000"/>
                <w:sz w:val="21"/>
                <w:szCs w:val="21"/>
              </w:rPr>
            </w:pPr>
            <w:r>
              <w:rPr>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rFonts w:hint="eastAsia"/>
                <w:color w:val="000000"/>
                <w:sz w:val="21"/>
                <w:szCs w:val="21"/>
              </w:rPr>
              <w:t>16</w:t>
            </w:r>
          </w:p>
        </w:tc>
        <w:tc>
          <w:tcPr>
            <w:tcW w:w="694" w:type="pct"/>
            <w:vAlign w:val="center"/>
          </w:tcPr>
          <w:p>
            <w:pPr>
              <w:spacing w:line="240" w:lineRule="auto"/>
              <w:ind w:firstLine="0" w:firstLineChars="0"/>
              <w:jc w:val="center"/>
              <w:rPr>
                <w:color w:val="000000"/>
                <w:sz w:val="21"/>
                <w:szCs w:val="21"/>
              </w:rPr>
            </w:pPr>
            <w:r>
              <w:rPr>
                <w:color w:val="000000"/>
                <w:sz w:val="21"/>
                <w:szCs w:val="21"/>
              </w:rPr>
              <w:t>硫化物</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color w:val="000000"/>
                <w:sz w:val="21"/>
                <w:szCs w:val="21"/>
              </w:rPr>
              <w:t>0.0</w:t>
            </w:r>
            <w:r>
              <w:rPr>
                <w:rFonts w:hint="eastAsia"/>
                <w:color w:val="000000"/>
                <w:sz w:val="21"/>
                <w:szCs w:val="21"/>
              </w:rPr>
              <w:t>25</w:t>
            </w:r>
          </w:p>
        </w:tc>
        <w:tc>
          <w:tcPr>
            <w:tcW w:w="1015" w:type="pct"/>
            <w:vAlign w:val="center"/>
          </w:tcPr>
          <w:p>
            <w:pPr>
              <w:spacing w:line="240" w:lineRule="auto"/>
              <w:ind w:firstLine="0" w:firstLineChars="0"/>
              <w:jc w:val="center"/>
              <w:rPr>
                <w:color w:val="000000"/>
                <w:sz w:val="21"/>
                <w:szCs w:val="21"/>
              </w:rPr>
            </w:pPr>
            <w:r>
              <w:rPr>
                <w:color w:val="000000"/>
                <w:sz w:val="21"/>
                <w:szCs w:val="21"/>
              </w:rPr>
              <w:t>0.0</w:t>
            </w:r>
            <w:r>
              <w:rPr>
                <w:rFonts w:hint="eastAsia"/>
                <w:color w:val="000000"/>
                <w:sz w:val="21"/>
                <w:szCs w:val="21"/>
              </w:rPr>
              <w:t>31</w:t>
            </w:r>
          </w:p>
        </w:tc>
        <w:tc>
          <w:tcPr>
            <w:tcW w:w="925" w:type="pct"/>
            <w:vAlign w:val="center"/>
          </w:tcPr>
          <w:p>
            <w:pPr>
              <w:spacing w:line="240" w:lineRule="auto"/>
              <w:ind w:firstLine="0" w:firstLineChars="0"/>
              <w:jc w:val="center"/>
              <w:rPr>
                <w:color w:val="000000"/>
                <w:sz w:val="21"/>
                <w:szCs w:val="21"/>
              </w:rPr>
            </w:pPr>
            <w:r>
              <w:rPr>
                <w:color w:val="000000"/>
                <w:sz w:val="21"/>
                <w:szCs w:val="21"/>
              </w:rPr>
              <w:t>0.0</w:t>
            </w:r>
            <w:r>
              <w:rPr>
                <w:rFonts w:hint="eastAsia"/>
                <w:color w:val="000000"/>
                <w:sz w:val="21"/>
                <w:szCs w:val="21"/>
              </w:rPr>
              <w:t>30</w:t>
            </w:r>
          </w:p>
        </w:tc>
        <w:tc>
          <w:tcPr>
            <w:tcW w:w="614" w:type="pct"/>
            <w:vAlign w:val="center"/>
          </w:tcPr>
          <w:p>
            <w:pPr>
              <w:spacing w:line="240" w:lineRule="auto"/>
              <w:ind w:firstLine="0" w:firstLineChars="0"/>
              <w:jc w:val="center"/>
              <w:rPr>
                <w:color w:val="000000"/>
                <w:sz w:val="21"/>
                <w:szCs w:val="21"/>
              </w:rPr>
            </w:pPr>
            <w:r>
              <w:rPr>
                <w:color w:val="000000"/>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rFonts w:hint="eastAsia"/>
                <w:color w:val="000000"/>
                <w:sz w:val="21"/>
                <w:szCs w:val="21"/>
              </w:rPr>
              <w:t>17</w:t>
            </w:r>
          </w:p>
        </w:tc>
        <w:tc>
          <w:tcPr>
            <w:tcW w:w="694" w:type="pct"/>
            <w:vAlign w:val="center"/>
          </w:tcPr>
          <w:p>
            <w:pPr>
              <w:spacing w:line="240" w:lineRule="auto"/>
              <w:ind w:firstLine="0" w:firstLineChars="0"/>
              <w:jc w:val="center"/>
              <w:rPr>
                <w:color w:val="000000"/>
                <w:sz w:val="21"/>
                <w:szCs w:val="21"/>
              </w:rPr>
            </w:pPr>
            <w:r>
              <w:rPr>
                <w:color w:val="000000"/>
                <w:sz w:val="21"/>
                <w:szCs w:val="21"/>
              </w:rPr>
              <w:t>溶解氧</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rFonts w:hint="eastAsia"/>
                <w:color w:val="000000"/>
                <w:sz w:val="21"/>
                <w:szCs w:val="21"/>
              </w:rPr>
              <w:t>9.6</w:t>
            </w:r>
          </w:p>
        </w:tc>
        <w:tc>
          <w:tcPr>
            <w:tcW w:w="1015" w:type="pct"/>
            <w:vAlign w:val="center"/>
          </w:tcPr>
          <w:p>
            <w:pPr>
              <w:spacing w:line="240" w:lineRule="auto"/>
              <w:ind w:firstLine="0" w:firstLineChars="0"/>
              <w:jc w:val="center"/>
              <w:rPr>
                <w:color w:val="000000"/>
                <w:sz w:val="21"/>
                <w:szCs w:val="21"/>
              </w:rPr>
            </w:pPr>
            <w:r>
              <w:rPr>
                <w:rFonts w:hint="eastAsia"/>
                <w:color w:val="000000"/>
                <w:sz w:val="21"/>
                <w:szCs w:val="21"/>
              </w:rPr>
              <w:t>8.6</w:t>
            </w:r>
          </w:p>
        </w:tc>
        <w:tc>
          <w:tcPr>
            <w:tcW w:w="925" w:type="pct"/>
            <w:vAlign w:val="center"/>
          </w:tcPr>
          <w:p>
            <w:pPr>
              <w:spacing w:line="240" w:lineRule="auto"/>
              <w:ind w:firstLine="0" w:firstLineChars="0"/>
              <w:jc w:val="center"/>
              <w:rPr>
                <w:color w:val="000000"/>
                <w:sz w:val="21"/>
                <w:szCs w:val="21"/>
              </w:rPr>
            </w:pPr>
            <w:r>
              <w:rPr>
                <w:rFonts w:hint="eastAsia"/>
                <w:color w:val="000000"/>
                <w:sz w:val="21"/>
                <w:szCs w:val="21"/>
              </w:rPr>
              <w:t>9.1</w:t>
            </w:r>
          </w:p>
        </w:tc>
        <w:tc>
          <w:tcPr>
            <w:tcW w:w="614" w:type="pct"/>
            <w:vAlign w:val="center"/>
          </w:tcPr>
          <w:p>
            <w:pPr>
              <w:spacing w:line="240" w:lineRule="auto"/>
              <w:ind w:firstLine="0" w:firstLineChars="0"/>
              <w:jc w:val="center"/>
              <w:rPr>
                <w:color w:val="000000"/>
                <w:sz w:val="21"/>
                <w:szCs w:val="21"/>
              </w:rPr>
            </w:pPr>
            <w:r>
              <w:rPr>
                <w:rFonts w:hint="eastAsia"/>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rFonts w:hint="eastAsia"/>
                <w:color w:val="000000"/>
                <w:sz w:val="21"/>
                <w:szCs w:val="21"/>
              </w:rPr>
              <w:t>18</w:t>
            </w:r>
          </w:p>
        </w:tc>
        <w:tc>
          <w:tcPr>
            <w:tcW w:w="694" w:type="pct"/>
            <w:vAlign w:val="center"/>
          </w:tcPr>
          <w:p>
            <w:pPr>
              <w:spacing w:line="240" w:lineRule="auto"/>
              <w:ind w:firstLine="0" w:firstLineChars="0"/>
              <w:jc w:val="center"/>
              <w:rPr>
                <w:color w:val="000000"/>
                <w:sz w:val="21"/>
                <w:szCs w:val="21"/>
              </w:rPr>
            </w:pPr>
            <w:r>
              <w:rPr>
                <w:color w:val="000000"/>
                <w:sz w:val="21"/>
                <w:szCs w:val="21"/>
              </w:rPr>
              <w:t>石油类</w:t>
            </w:r>
          </w:p>
        </w:tc>
        <w:tc>
          <w:tcPr>
            <w:tcW w:w="538" w:type="pct"/>
            <w:vAlign w:val="center"/>
          </w:tcPr>
          <w:p>
            <w:pPr>
              <w:spacing w:line="240" w:lineRule="auto"/>
              <w:ind w:firstLine="0" w:firstLineChars="0"/>
              <w:jc w:val="center"/>
              <w:rPr>
                <w:color w:val="000000"/>
                <w:sz w:val="21"/>
                <w:szCs w:val="21"/>
              </w:rPr>
            </w:pPr>
            <w:r>
              <w:rPr>
                <w:color w:val="000000"/>
                <w:sz w:val="21"/>
                <w:szCs w:val="21"/>
              </w:rPr>
              <w:t>mg/L</w:t>
            </w:r>
          </w:p>
        </w:tc>
        <w:tc>
          <w:tcPr>
            <w:tcW w:w="911" w:type="pct"/>
            <w:vAlign w:val="center"/>
          </w:tcPr>
          <w:p>
            <w:pPr>
              <w:spacing w:line="240" w:lineRule="auto"/>
              <w:ind w:firstLine="0" w:firstLineChars="0"/>
              <w:jc w:val="center"/>
              <w:rPr>
                <w:color w:val="000000"/>
                <w:sz w:val="21"/>
                <w:szCs w:val="21"/>
              </w:rPr>
            </w:pPr>
            <w:r>
              <w:rPr>
                <w:color w:val="000000"/>
                <w:sz w:val="21"/>
                <w:szCs w:val="21"/>
              </w:rPr>
              <w:t>0.01L</w:t>
            </w:r>
          </w:p>
        </w:tc>
        <w:tc>
          <w:tcPr>
            <w:tcW w:w="1015" w:type="pct"/>
            <w:vAlign w:val="center"/>
          </w:tcPr>
          <w:p>
            <w:pPr>
              <w:spacing w:line="240" w:lineRule="auto"/>
              <w:ind w:firstLine="0" w:firstLineChars="0"/>
              <w:jc w:val="center"/>
              <w:rPr>
                <w:color w:val="000000"/>
                <w:sz w:val="21"/>
                <w:szCs w:val="21"/>
              </w:rPr>
            </w:pPr>
            <w:r>
              <w:rPr>
                <w:color w:val="000000"/>
                <w:sz w:val="21"/>
                <w:szCs w:val="21"/>
              </w:rPr>
              <w:t>0.0</w:t>
            </w:r>
            <w:r>
              <w:rPr>
                <w:rFonts w:hint="eastAsia"/>
                <w:color w:val="000000"/>
                <w:sz w:val="21"/>
                <w:szCs w:val="21"/>
              </w:rPr>
              <w:t>2</w:t>
            </w:r>
            <w:r>
              <w:rPr>
                <w:color w:val="000000"/>
                <w:sz w:val="21"/>
                <w:szCs w:val="21"/>
              </w:rPr>
              <w:t>L</w:t>
            </w:r>
          </w:p>
        </w:tc>
        <w:tc>
          <w:tcPr>
            <w:tcW w:w="925" w:type="pct"/>
            <w:vAlign w:val="center"/>
          </w:tcPr>
          <w:p>
            <w:pPr>
              <w:spacing w:line="240" w:lineRule="auto"/>
              <w:ind w:firstLine="0" w:firstLineChars="0"/>
              <w:jc w:val="center"/>
              <w:rPr>
                <w:color w:val="000000"/>
                <w:sz w:val="21"/>
                <w:szCs w:val="21"/>
              </w:rPr>
            </w:pPr>
            <w:r>
              <w:rPr>
                <w:color w:val="000000"/>
                <w:sz w:val="21"/>
                <w:szCs w:val="21"/>
              </w:rPr>
              <w:t>0.0</w:t>
            </w:r>
            <w:r>
              <w:rPr>
                <w:rFonts w:hint="eastAsia"/>
                <w:color w:val="000000"/>
                <w:sz w:val="21"/>
                <w:szCs w:val="21"/>
              </w:rPr>
              <w:t>2</w:t>
            </w:r>
            <w:r>
              <w:rPr>
                <w:color w:val="000000"/>
                <w:sz w:val="21"/>
                <w:szCs w:val="21"/>
              </w:rPr>
              <w:t>L</w:t>
            </w:r>
          </w:p>
        </w:tc>
        <w:tc>
          <w:tcPr>
            <w:tcW w:w="614" w:type="pct"/>
            <w:vAlign w:val="center"/>
          </w:tcPr>
          <w:p>
            <w:pPr>
              <w:spacing w:line="240" w:lineRule="auto"/>
              <w:ind w:firstLine="0" w:firstLineChars="0"/>
              <w:jc w:val="center"/>
              <w:rPr>
                <w:color w:val="000000"/>
                <w:sz w:val="21"/>
                <w:szCs w:val="21"/>
              </w:rPr>
            </w:pPr>
            <w:r>
              <w:rPr>
                <w:color w:val="000000"/>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rFonts w:hint="eastAsia"/>
                <w:color w:val="000000"/>
                <w:sz w:val="21"/>
                <w:szCs w:val="21"/>
              </w:rPr>
              <w:t>19</w:t>
            </w:r>
          </w:p>
        </w:tc>
        <w:tc>
          <w:tcPr>
            <w:tcW w:w="694" w:type="pct"/>
            <w:vAlign w:val="center"/>
          </w:tcPr>
          <w:p>
            <w:pPr>
              <w:spacing w:line="240" w:lineRule="auto"/>
              <w:ind w:firstLine="0" w:firstLineChars="0"/>
              <w:jc w:val="center"/>
              <w:rPr>
                <w:color w:val="000000"/>
                <w:sz w:val="21"/>
                <w:szCs w:val="21"/>
              </w:rPr>
            </w:pPr>
            <w:r>
              <w:rPr>
                <w:color w:val="000000"/>
                <w:sz w:val="21"/>
                <w:szCs w:val="21"/>
              </w:rPr>
              <w:t>水温</w:t>
            </w:r>
          </w:p>
        </w:tc>
        <w:tc>
          <w:tcPr>
            <w:tcW w:w="538" w:type="pct"/>
            <w:vAlign w:val="center"/>
          </w:tcPr>
          <w:p>
            <w:pPr>
              <w:spacing w:line="240" w:lineRule="auto"/>
              <w:ind w:firstLine="0" w:firstLineChars="0"/>
              <w:jc w:val="center"/>
              <w:rPr>
                <w:color w:val="000000"/>
                <w:sz w:val="21"/>
                <w:szCs w:val="21"/>
              </w:rPr>
            </w:pPr>
            <w:r>
              <w:rPr>
                <w:rFonts w:hint="eastAsia" w:ascii="宋体" w:hAnsi="宋体"/>
                <w:color w:val="000000"/>
                <w:sz w:val="21"/>
                <w:szCs w:val="21"/>
              </w:rPr>
              <w:t>℃</w:t>
            </w:r>
          </w:p>
        </w:tc>
        <w:tc>
          <w:tcPr>
            <w:tcW w:w="911" w:type="pct"/>
            <w:vAlign w:val="center"/>
          </w:tcPr>
          <w:p>
            <w:pPr>
              <w:spacing w:line="240" w:lineRule="auto"/>
              <w:ind w:firstLine="0" w:firstLineChars="0"/>
              <w:jc w:val="center"/>
              <w:rPr>
                <w:color w:val="000000"/>
                <w:sz w:val="21"/>
                <w:szCs w:val="21"/>
              </w:rPr>
            </w:pPr>
            <w:r>
              <w:rPr>
                <w:rFonts w:hint="eastAsia"/>
                <w:color w:val="000000"/>
                <w:sz w:val="21"/>
                <w:szCs w:val="21"/>
              </w:rPr>
              <w:t>16.2</w:t>
            </w:r>
          </w:p>
        </w:tc>
        <w:tc>
          <w:tcPr>
            <w:tcW w:w="1015" w:type="pct"/>
            <w:vAlign w:val="center"/>
          </w:tcPr>
          <w:p>
            <w:pPr>
              <w:spacing w:line="240" w:lineRule="auto"/>
              <w:ind w:firstLine="0" w:firstLineChars="0"/>
              <w:jc w:val="center"/>
              <w:rPr>
                <w:color w:val="000000"/>
                <w:sz w:val="21"/>
                <w:szCs w:val="21"/>
              </w:rPr>
            </w:pPr>
            <w:r>
              <w:rPr>
                <w:rFonts w:hint="eastAsia"/>
                <w:color w:val="000000"/>
                <w:sz w:val="21"/>
                <w:szCs w:val="21"/>
              </w:rPr>
              <w:t>15.3</w:t>
            </w:r>
          </w:p>
        </w:tc>
        <w:tc>
          <w:tcPr>
            <w:tcW w:w="925" w:type="pct"/>
            <w:vAlign w:val="center"/>
          </w:tcPr>
          <w:p>
            <w:pPr>
              <w:spacing w:line="240" w:lineRule="auto"/>
              <w:ind w:firstLine="0" w:firstLineChars="0"/>
              <w:jc w:val="center"/>
              <w:rPr>
                <w:color w:val="000000"/>
                <w:sz w:val="21"/>
                <w:szCs w:val="21"/>
              </w:rPr>
            </w:pPr>
            <w:r>
              <w:rPr>
                <w:rFonts w:hint="eastAsia"/>
                <w:color w:val="000000"/>
                <w:sz w:val="21"/>
                <w:szCs w:val="21"/>
              </w:rPr>
              <w:t>17.3</w:t>
            </w:r>
          </w:p>
        </w:tc>
        <w:tc>
          <w:tcPr>
            <w:tcW w:w="614" w:type="pct"/>
            <w:vAlign w:val="center"/>
          </w:tcPr>
          <w:p>
            <w:pPr>
              <w:spacing w:line="240" w:lineRule="auto"/>
              <w:ind w:firstLine="0" w:firstLineChars="0"/>
              <w:jc w:val="center"/>
              <w:rPr>
                <w:color w:val="000000"/>
                <w:sz w:val="21"/>
                <w:szCs w:val="21"/>
              </w:rPr>
            </w:pPr>
            <w:r>
              <w:rPr>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303" w:type="pct"/>
            <w:vAlign w:val="center"/>
          </w:tcPr>
          <w:p>
            <w:pPr>
              <w:spacing w:line="240" w:lineRule="auto"/>
              <w:ind w:firstLine="0" w:firstLineChars="0"/>
              <w:jc w:val="center"/>
              <w:rPr>
                <w:color w:val="000000"/>
                <w:sz w:val="21"/>
                <w:szCs w:val="21"/>
              </w:rPr>
            </w:pPr>
            <w:r>
              <w:rPr>
                <w:rFonts w:hint="eastAsia"/>
                <w:color w:val="000000"/>
                <w:sz w:val="21"/>
                <w:szCs w:val="21"/>
              </w:rPr>
              <w:t>20</w:t>
            </w:r>
          </w:p>
        </w:tc>
        <w:tc>
          <w:tcPr>
            <w:tcW w:w="694" w:type="pct"/>
            <w:vAlign w:val="center"/>
          </w:tcPr>
          <w:p>
            <w:pPr>
              <w:spacing w:line="240" w:lineRule="auto"/>
              <w:ind w:firstLine="0" w:firstLineChars="0"/>
              <w:jc w:val="center"/>
              <w:rPr>
                <w:color w:val="000000"/>
                <w:sz w:val="21"/>
                <w:szCs w:val="21"/>
              </w:rPr>
            </w:pPr>
            <w:r>
              <w:rPr>
                <w:color w:val="000000"/>
                <w:sz w:val="21"/>
                <w:szCs w:val="21"/>
              </w:rPr>
              <w:t>粪大肠菌群</w:t>
            </w:r>
          </w:p>
        </w:tc>
        <w:tc>
          <w:tcPr>
            <w:tcW w:w="538" w:type="pct"/>
            <w:vAlign w:val="center"/>
          </w:tcPr>
          <w:p>
            <w:pPr>
              <w:spacing w:line="240" w:lineRule="auto"/>
              <w:ind w:firstLine="0" w:firstLineChars="0"/>
              <w:jc w:val="center"/>
              <w:rPr>
                <w:color w:val="000000"/>
                <w:sz w:val="21"/>
                <w:szCs w:val="21"/>
              </w:rPr>
            </w:pPr>
            <w:r>
              <w:rPr>
                <w:color w:val="000000"/>
                <w:sz w:val="21"/>
                <w:szCs w:val="21"/>
              </w:rPr>
              <w:t>MPN/L</w:t>
            </w:r>
          </w:p>
        </w:tc>
        <w:tc>
          <w:tcPr>
            <w:tcW w:w="911" w:type="pct"/>
            <w:vAlign w:val="center"/>
          </w:tcPr>
          <w:p>
            <w:pPr>
              <w:spacing w:line="240" w:lineRule="auto"/>
              <w:ind w:firstLine="0" w:firstLineChars="0"/>
              <w:jc w:val="center"/>
              <w:rPr>
                <w:color w:val="000000"/>
                <w:sz w:val="21"/>
                <w:szCs w:val="21"/>
              </w:rPr>
            </w:pPr>
            <w:r>
              <w:rPr>
                <w:rFonts w:hint="eastAsia"/>
                <w:color w:val="000000"/>
                <w:sz w:val="21"/>
                <w:szCs w:val="21"/>
              </w:rPr>
              <w:t>790</w:t>
            </w:r>
          </w:p>
        </w:tc>
        <w:tc>
          <w:tcPr>
            <w:tcW w:w="1015" w:type="pct"/>
            <w:vAlign w:val="center"/>
          </w:tcPr>
          <w:p>
            <w:pPr>
              <w:spacing w:line="240" w:lineRule="auto"/>
              <w:ind w:firstLine="0" w:firstLineChars="0"/>
              <w:jc w:val="center"/>
              <w:rPr>
                <w:color w:val="000000"/>
                <w:sz w:val="21"/>
                <w:szCs w:val="21"/>
              </w:rPr>
            </w:pPr>
            <w:r>
              <w:rPr>
                <w:rFonts w:hint="eastAsia"/>
                <w:color w:val="000000"/>
                <w:sz w:val="21"/>
                <w:szCs w:val="21"/>
              </w:rPr>
              <w:t>490</w:t>
            </w:r>
          </w:p>
        </w:tc>
        <w:tc>
          <w:tcPr>
            <w:tcW w:w="925" w:type="pct"/>
            <w:vAlign w:val="center"/>
          </w:tcPr>
          <w:p>
            <w:pPr>
              <w:spacing w:line="240" w:lineRule="auto"/>
              <w:ind w:firstLine="0" w:firstLineChars="0"/>
              <w:jc w:val="center"/>
              <w:rPr>
                <w:color w:val="000000"/>
                <w:sz w:val="21"/>
                <w:szCs w:val="21"/>
              </w:rPr>
            </w:pPr>
            <w:r>
              <w:rPr>
                <w:rFonts w:hint="eastAsia"/>
                <w:color w:val="000000"/>
                <w:sz w:val="21"/>
                <w:szCs w:val="21"/>
              </w:rPr>
              <w:t>13</w:t>
            </w:r>
            <w:r>
              <w:rPr>
                <w:color w:val="000000"/>
                <w:sz w:val="21"/>
                <w:szCs w:val="21"/>
              </w:rPr>
              <w:t>00</w:t>
            </w:r>
          </w:p>
        </w:tc>
        <w:tc>
          <w:tcPr>
            <w:tcW w:w="614" w:type="pct"/>
            <w:vAlign w:val="center"/>
          </w:tcPr>
          <w:p>
            <w:pPr>
              <w:spacing w:line="240" w:lineRule="auto"/>
              <w:ind w:firstLine="0" w:firstLineChars="0"/>
              <w:jc w:val="center"/>
              <w:rPr>
                <w:color w:val="000000"/>
                <w:sz w:val="21"/>
                <w:szCs w:val="21"/>
              </w:rPr>
            </w:pPr>
            <w:r>
              <w:rPr>
                <w:color w:val="000000"/>
                <w:sz w:val="21"/>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997" w:type="pct"/>
            <w:gridSpan w:val="2"/>
            <w:vAlign w:val="center"/>
          </w:tcPr>
          <w:p>
            <w:pPr>
              <w:adjustRightInd w:val="0"/>
              <w:snapToGrid w:val="0"/>
              <w:spacing w:line="240" w:lineRule="auto"/>
              <w:ind w:firstLine="0" w:firstLineChars="0"/>
              <w:jc w:val="center"/>
              <w:rPr>
                <w:bCs/>
                <w:color w:val="000000"/>
                <w:sz w:val="21"/>
                <w:szCs w:val="21"/>
              </w:rPr>
            </w:pPr>
            <w:r>
              <w:rPr>
                <w:bCs/>
                <w:color w:val="000000"/>
                <w:sz w:val="21"/>
                <w:szCs w:val="21"/>
              </w:rPr>
              <w:t>备  注</w:t>
            </w:r>
          </w:p>
        </w:tc>
        <w:tc>
          <w:tcPr>
            <w:tcW w:w="3389" w:type="pct"/>
            <w:gridSpan w:val="4"/>
            <w:vAlign w:val="center"/>
          </w:tcPr>
          <w:p>
            <w:pPr>
              <w:widowControl/>
              <w:spacing w:line="240" w:lineRule="auto"/>
              <w:ind w:firstLine="199" w:firstLineChars="95"/>
              <w:jc w:val="center"/>
              <w:rPr>
                <w:color w:val="000000"/>
                <w:sz w:val="21"/>
                <w:szCs w:val="21"/>
                <w:highlight w:val="yellow"/>
              </w:rPr>
            </w:pPr>
            <w:r>
              <w:rPr>
                <w:color w:val="000000"/>
                <w:sz w:val="21"/>
                <w:szCs w:val="21"/>
              </w:rPr>
              <w:t>L表示未检出</w:t>
            </w:r>
          </w:p>
        </w:tc>
        <w:tc>
          <w:tcPr>
            <w:tcW w:w="614" w:type="pct"/>
            <w:vAlign w:val="center"/>
          </w:tcPr>
          <w:p>
            <w:pPr>
              <w:widowControl/>
              <w:spacing w:line="240" w:lineRule="auto"/>
              <w:ind w:firstLine="210" w:firstLineChars="100"/>
              <w:jc w:val="center"/>
              <w:rPr>
                <w:color w:val="000000"/>
                <w:sz w:val="21"/>
                <w:szCs w:val="21"/>
              </w:rPr>
            </w:pPr>
          </w:p>
        </w:tc>
      </w:tr>
    </w:tbl>
    <w:p>
      <w:pPr>
        <w:pStyle w:val="5"/>
      </w:pPr>
      <w:r>
        <w:rPr>
          <w:rFonts w:hint="eastAsia"/>
        </w:rPr>
        <w:t>3.</w:t>
      </w:r>
      <w:r>
        <w:t>3.</w:t>
      </w:r>
      <w:r>
        <w:rPr>
          <w:rFonts w:hint="eastAsia"/>
        </w:rPr>
        <w:t>2</w:t>
      </w:r>
      <w:r>
        <w:t>.</w:t>
      </w:r>
      <w:r>
        <w:rPr>
          <w:rFonts w:hint="eastAsia"/>
        </w:rPr>
        <w:t>5水质评价</w:t>
      </w:r>
    </w:p>
    <w:p>
      <w:pPr>
        <w:ind w:firstLine="0" w:firstLineChars="0"/>
      </w:pPr>
      <w:r>
        <w:rPr>
          <w:rFonts w:hint="eastAsia"/>
        </w:rPr>
        <w:t>（1）</w:t>
      </w:r>
      <w:r>
        <w:t>参评因子</w:t>
      </w:r>
    </w:p>
    <w:p>
      <w:pPr>
        <w:ind w:firstLine="460"/>
      </w:pPr>
      <w:r>
        <w:rPr>
          <w:spacing w:val="-5"/>
        </w:rPr>
        <w:t>评价因子水温</w:t>
      </w:r>
      <w:r>
        <w:rPr>
          <w:spacing w:val="-10"/>
        </w:rPr>
        <w:t>（</w:t>
      </w:r>
      <w:r>
        <w:rPr>
          <w:rFonts w:hint="eastAsia" w:ascii="宋体" w:hAnsi="宋体"/>
          <w:spacing w:val="-10"/>
        </w:rPr>
        <w:t>℃</w:t>
      </w:r>
      <w:r>
        <w:rPr>
          <w:spacing w:val="-10"/>
        </w:rPr>
        <w:t>）</w:t>
      </w:r>
      <w:r>
        <w:rPr>
          <w:spacing w:val="-29"/>
        </w:rPr>
        <w:t>、</w:t>
      </w:r>
      <w:r>
        <w:rPr>
          <w:rFonts w:eastAsia="Times New Roman"/>
        </w:rPr>
        <w:t xml:space="preserve">pH </w:t>
      </w:r>
      <w:r>
        <w:rPr>
          <w:spacing w:val="-29"/>
        </w:rPr>
        <w:t>值</w:t>
      </w:r>
      <w:r>
        <w:t>（无量纲</w:t>
      </w:r>
      <w:r>
        <w:rPr>
          <w:spacing w:val="-29"/>
        </w:rPr>
        <w:t>）</w:t>
      </w:r>
      <w:r>
        <w:rPr>
          <w:spacing w:val="-11"/>
        </w:rPr>
        <w:t>、溶解氧、高锰酸钾指数、化学需氧量、</w:t>
      </w:r>
      <w:r>
        <w:rPr>
          <w:spacing w:val="-3"/>
        </w:rPr>
        <w:t xml:space="preserve">五日生化需氧量、氨氮、总磷、铜、锌、氟化、粪大肠杆菌等 </w:t>
      </w:r>
      <w:r>
        <w:rPr>
          <w:rFonts w:eastAsia="Times New Roman"/>
        </w:rPr>
        <w:t xml:space="preserve">12 </w:t>
      </w:r>
      <w:r>
        <w:t>项。</w:t>
      </w:r>
    </w:p>
    <w:p>
      <w:pPr>
        <w:ind w:firstLine="0" w:firstLineChars="0"/>
      </w:pPr>
      <w:r>
        <w:rPr>
          <w:rFonts w:hint="eastAsia"/>
        </w:rPr>
        <w:t>（2）</w:t>
      </w:r>
      <w:r>
        <w:t>评价标准与方法</w:t>
      </w:r>
    </w:p>
    <w:p>
      <w:pPr>
        <w:ind w:firstLine="480"/>
      </w:pPr>
      <w:r>
        <w:t>常规监测项目依照《地表水环境质量标准》（</w:t>
      </w:r>
      <w:r>
        <w:rPr>
          <w:rFonts w:eastAsia="Times New Roman"/>
        </w:rPr>
        <w:t>GB3838-2002</w:t>
      </w:r>
      <w:r>
        <w:t xml:space="preserve">）基本项目标准限值，采用单因子评价方法进行评价，即将每个断面各评价因子监测结果与评价标准限值比较，确定各因子的水质类别，其中的最高类别即为该断面综合水质类别。评价标准参见表 </w:t>
      </w:r>
      <w:r>
        <w:rPr>
          <w:rFonts w:eastAsia="Times New Roman"/>
        </w:rPr>
        <w:t>3.3-</w:t>
      </w:r>
      <w:r>
        <w:rPr>
          <w:rFonts w:hint="eastAsia" w:eastAsiaTheme="minorEastAsia"/>
        </w:rPr>
        <w:t>7</w:t>
      </w:r>
      <w:r>
        <w:t>。</w:t>
      </w:r>
    </w:p>
    <w:p>
      <w:pPr>
        <w:pStyle w:val="7"/>
        <w:spacing w:before="8" w:after="1"/>
        <w:ind w:firstLine="0" w:firstLineChars="0"/>
        <w:jc w:val="center"/>
        <w:rPr>
          <w:b/>
          <w:sz w:val="8"/>
        </w:rPr>
      </w:pPr>
      <w:r>
        <w:rPr>
          <w:b/>
          <w:sz w:val="21"/>
        </w:rPr>
        <w:t>表 3.3-</w:t>
      </w:r>
      <w:r>
        <w:rPr>
          <w:rFonts w:hint="eastAsia"/>
          <w:b/>
          <w:sz w:val="21"/>
        </w:rPr>
        <w:t>7</w:t>
      </w:r>
      <w:r>
        <w:rPr>
          <w:b/>
          <w:sz w:val="21"/>
        </w:rPr>
        <w:tab/>
      </w:r>
      <w:r>
        <w:rPr>
          <w:b/>
          <w:sz w:val="21"/>
        </w:rPr>
        <w:t>评价标准表</w:t>
      </w:r>
    </w:p>
    <w:tbl>
      <w:tblPr>
        <w:tblStyle w:val="31"/>
        <w:tblW w:w="0" w:type="auto"/>
        <w:tblInd w:w="2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0"/>
        <w:gridCol w:w="2127"/>
        <w:gridCol w:w="984"/>
        <w:gridCol w:w="943"/>
        <w:gridCol w:w="1279"/>
        <w:gridCol w:w="1262"/>
        <w:gridCol w:w="11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590" w:type="dxa"/>
            <w:vAlign w:val="center"/>
          </w:tcPr>
          <w:p>
            <w:pPr>
              <w:pStyle w:val="32"/>
              <w:spacing w:line="267" w:lineRule="exact"/>
              <w:ind w:left="61" w:right="56" w:firstLine="0" w:firstLineChars="0"/>
              <w:rPr>
                <w:rFonts w:asciiTheme="minorHAnsi" w:hAnsiTheme="minorHAnsi" w:eastAsiaTheme="minorEastAsia"/>
                <w:b/>
                <w:sz w:val="21"/>
              </w:rPr>
            </w:pPr>
            <w:r>
              <w:rPr>
                <w:rFonts w:hint="eastAsia" w:asciiTheme="minorHAnsi" w:hAnsiTheme="minorHAnsi" w:eastAsiaTheme="minorEastAsia"/>
                <w:b/>
                <w:sz w:val="21"/>
              </w:rPr>
              <w:t>序号</w:t>
            </w:r>
          </w:p>
        </w:tc>
        <w:tc>
          <w:tcPr>
            <w:tcW w:w="2127" w:type="dxa"/>
            <w:vAlign w:val="center"/>
          </w:tcPr>
          <w:p>
            <w:pPr>
              <w:pStyle w:val="32"/>
              <w:spacing w:line="267" w:lineRule="exact"/>
              <w:ind w:left="724" w:right="720" w:firstLine="0" w:firstLineChars="0"/>
              <w:rPr>
                <w:rFonts w:asciiTheme="minorHAnsi" w:hAnsiTheme="minorHAnsi" w:eastAsiaTheme="minorEastAsia"/>
                <w:b/>
                <w:sz w:val="21"/>
              </w:rPr>
            </w:pPr>
            <w:r>
              <w:rPr>
                <w:rFonts w:hint="eastAsia" w:asciiTheme="minorHAnsi" w:hAnsiTheme="minorHAnsi" w:eastAsiaTheme="minorEastAsia"/>
                <w:b/>
                <w:sz w:val="21"/>
              </w:rPr>
              <w:t>指标项</w:t>
            </w:r>
          </w:p>
        </w:tc>
        <w:tc>
          <w:tcPr>
            <w:tcW w:w="984" w:type="dxa"/>
            <w:vAlign w:val="center"/>
          </w:tcPr>
          <w:p>
            <w:pPr>
              <w:pStyle w:val="32"/>
              <w:spacing w:line="267" w:lineRule="exact"/>
              <w:ind w:firstLine="0" w:firstLineChars="0"/>
              <w:rPr>
                <w:rFonts w:asciiTheme="minorHAnsi" w:hAnsiTheme="minorHAnsi" w:eastAsiaTheme="minorEastAsia"/>
                <w:b/>
                <w:sz w:val="21"/>
              </w:rPr>
            </w:pPr>
            <w:r>
              <w:rPr>
                <w:rFonts w:asciiTheme="minorHAnsi" w:hAnsiTheme="minorHAnsi" w:eastAsiaTheme="minorEastAsia"/>
                <w:b/>
                <w:sz w:val="21"/>
              </w:rPr>
              <w:t>Ⅰ</w:t>
            </w:r>
          </w:p>
        </w:tc>
        <w:tc>
          <w:tcPr>
            <w:tcW w:w="943" w:type="dxa"/>
            <w:vAlign w:val="center"/>
          </w:tcPr>
          <w:p>
            <w:pPr>
              <w:pStyle w:val="32"/>
              <w:spacing w:line="267" w:lineRule="exact"/>
              <w:ind w:firstLine="0" w:firstLineChars="0"/>
              <w:rPr>
                <w:rFonts w:asciiTheme="minorHAnsi" w:hAnsiTheme="minorHAnsi" w:eastAsiaTheme="minorEastAsia"/>
                <w:b/>
                <w:sz w:val="21"/>
              </w:rPr>
            </w:pPr>
            <w:r>
              <w:rPr>
                <w:rFonts w:asciiTheme="minorHAnsi" w:hAnsiTheme="minorHAnsi" w:eastAsiaTheme="minorEastAsia"/>
                <w:b/>
                <w:sz w:val="21"/>
              </w:rPr>
              <w:t>Ⅱ</w:t>
            </w:r>
          </w:p>
        </w:tc>
        <w:tc>
          <w:tcPr>
            <w:tcW w:w="1279" w:type="dxa"/>
            <w:vAlign w:val="center"/>
          </w:tcPr>
          <w:p>
            <w:pPr>
              <w:pStyle w:val="32"/>
              <w:spacing w:line="267" w:lineRule="exact"/>
              <w:ind w:firstLine="0" w:firstLineChars="0"/>
              <w:rPr>
                <w:rFonts w:asciiTheme="minorHAnsi" w:hAnsiTheme="minorHAnsi" w:eastAsiaTheme="minorEastAsia"/>
                <w:b/>
                <w:sz w:val="21"/>
              </w:rPr>
            </w:pPr>
            <w:r>
              <w:rPr>
                <w:rFonts w:asciiTheme="minorHAnsi" w:hAnsiTheme="minorHAnsi" w:eastAsiaTheme="minorEastAsia"/>
                <w:b/>
                <w:sz w:val="21"/>
              </w:rPr>
              <w:t>Ⅲ</w:t>
            </w:r>
          </w:p>
        </w:tc>
        <w:tc>
          <w:tcPr>
            <w:tcW w:w="1262" w:type="dxa"/>
            <w:vAlign w:val="center"/>
          </w:tcPr>
          <w:p>
            <w:pPr>
              <w:pStyle w:val="32"/>
              <w:spacing w:line="267" w:lineRule="exact"/>
              <w:ind w:firstLine="0" w:firstLineChars="0"/>
              <w:rPr>
                <w:rFonts w:asciiTheme="minorHAnsi" w:hAnsiTheme="minorHAnsi" w:eastAsiaTheme="minorEastAsia"/>
                <w:b/>
                <w:sz w:val="21"/>
              </w:rPr>
            </w:pPr>
            <w:r>
              <w:rPr>
                <w:rFonts w:asciiTheme="minorHAnsi" w:hAnsiTheme="minorHAnsi" w:eastAsiaTheme="minorEastAsia"/>
                <w:b/>
                <w:sz w:val="21"/>
              </w:rPr>
              <w:t>Ⅳ</w:t>
            </w:r>
          </w:p>
        </w:tc>
        <w:tc>
          <w:tcPr>
            <w:tcW w:w="1176" w:type="dxa"/>
            <w:vAlign w:val="center"/>
          </w:tcPr>
          <w:p>
            <w:pPr>
              <w:pStyle w:val="32"/>
              <w:spacing w:line="267" w:lineRule="exact"/>
              <w:ind w:firstLine="0" w:firstLineChars="0"/>
              <w:rPr>
                <w:rFonts w:asciiTheme="minorHAnsi" w:hAnsiTheme="minorHAnsi" w:eastAsiaTheme="minorEastAsia"/>
                <w:b/>
                <w:sz w:val="21"/>
              </w:rPr>
            </w:pPr>
            <w:r>
              <w:rPr>
                <w:rFonts w:asciiTheme="minorHAnsi" w:hAnsiTheme="minorHAnsi" w:eastAsiaTheme="minorEastAsia"/>
                <w:b/>
                <w:sz w:val="21"/>
              </w:rPr>
              <w:t>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590" w:type="dxa"/>
            <w:vAlign w:val="center"/>
          </w:tcPr>
          <w:p>
            <w:pPr>
              <w:pStyle w:val="32"/>
              <w:ind w:firstLine="0" w:firstLineChars="0"/>
              <w:rPr>
                <w:rFonts w:asciiTheme="minorHAnsi" w:hAnsiTheme="minorHAnsi" w:eastAsiaTheme="minorEastAsia"/>
                <w:sz w:val="21"/>
              </w:rPr>
            </w:pPr>
            <w:r>
              <w:rPr>
                <w:rFonts w:asciiTheme="minorHAnsi" w:hAnsiTheme="minorHAnsi" w:eastAsiaTheme="minorEastAsia"/>
                <w:sz w:val="21"/>
              </w:rPr>
              <w:t>1</w:t>
            </w:r>
          </w:p>
        </w:tc>
        <w:tc>
          <w:tcPr>
            <w:tcW w:w="2127" w:type="dxa"/>
            <w:vAlign w:val="center"/>
          </w:tcPr>
          <w:p>
            <w:pPr>
              <w:pStyle w:val="32"/>
              <w:ind w:firstLine="0" w:firstLineChars="0"/>
              <w:rPr>
                <w:rFonts w:asciiTheme="minorHAnsi" w:hAnsiTheme="minorHAnsi" w:eastAsiaTheme="minorEastAsia"/>
                <w:sz w:val="21"/>
              </w:rPr>
            </w:pPr>
            <w:r>
              <w:rPr>
                <w:rFonts w:hint="eastAsia" w:asciiTheme="minorHAnsi" w:hAnsiTheme="minorHAnsi" w:eastAsiaTheme="minorEastAsia"/>
                <w:sz w:val="21"/>
              </w:rPr>
              <w:t>水温（℃）</w:t>
            </w:r>
          </w:p>
        </w:tc>
        <w:tc>
          <w:tcPr>
            <w:tcW w:w="5644" w:type="dxa"/>
            <w:gridSpan w:val="5"/>
            <w:vAlign w:val="center"/>
          </w:tcPr>
          <w:p>
            <w:pPr>
              <w:pStyle w:val="32"/>
              <w:spacing w:before="14" w:line="270" w:lineRule="atLeast"/>
              <w:ind w:right="24"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人为造成的环境水温变化应限制在：周平均最大温深</w:t>
            </w:r>
            <w:r>
              <w:rPr>
                <w:rFonts w:asciiTheme="minorHAnsi" w:hAnsiTheme="minorHAnsi" w:eastAsiaTheme="minorEastAsia"/>
                <w:sz w:val="21"/>
                <w:lang w:eastAsia="zh-CN"/>
              </w:rPr>
              <w:t xml:space="preserve">≤1 </w:t>
            </w:r>
            <w:r>
              <w:rPr>
                <w:rFonts w:hint="eastAsia" w:asciiTheme="minorHAnsi" w:hAnsiTheme="minorHAnsi" w:eastAsiaTheme="minorEastAsia"/>
                <w:sz w:val="21"/>
                <w:lang w:eastAsia="zh-CN"/>
              </w:rPr>
              <w:t>周平均最大温降</w:t>
            </w:r>
            <w:r>
              <w:rPr>
                <w:rFonts w:asciiTheme="minorHAnsi" w:hAnsiTheme="minorHAnsi" w:eastAsiaTheme="minorEastAsia"/>
                <w:sz w:val="21"/>
                <w:lang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590" w:type="dxa"/>
            <w:vAlign w:val="center"/>
          </w:tcPr>
          <w:p>
            <w:pPr>
              <w:pStyle w:val="32"/>
              <w:spacing w:before="1"/>
              <w:ind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2</w:t>
            </w:r>
          </w:p>
        </w:tc>
        <w:tc>
          <w:tcPr>
            <w:tcW w:w="2127" w:type="dxa"/>
            <w:vAlign w:val="center"/>
          </w:tcPr>
          <w:p>
            <w:pPr>
              <w:pStyle w:val="32"/>
              <w:spacing w:before="195"/>
              <w:ind w:right="691" w:firstLine="0" w:firstLineChars="0"/>
              <w:rPr>
                <w:rFonts w:asciiTheme="minorHAnsi" w:hAnsiTheme="minorHAnsi" w:eastAsiaTheme="minorEastAsia"/>
                <w:sz w:val="21"/>
              </w:rPr>
            </w:pPr>
            <w:r>
              <w:rPr>
                <w:rFonts w:asciiTheme="minorHAnsi" w:hAnsiTheme="minorHAnsi" w:eastAsiaTheme="minorEastAsia"/>
                <w:sz w:val="21"/>
              </w:rPr>
              <w:t xml:space="preserve">pH </w:t>
            </w:r>
            <w:r>
              <w:rPr>
                <w:rFonts w:hint="eastAsia" w:asciiTheme="minorHAnsi" w:hAnsiTheme="minorHAnsi" w:eastAsiaTheme="minorEastAsia"/>
                <w:sz w:val="21"/>
              </w:rPr>
              <w:t>值（无量纲）</w:t>
            </w:r>
          </w:p>
        </w:tc>
        <w:tc>
          <w:tcPr>
            <w:tcW w:w="5644" w:type="dxa"/>
            <w:gridSpan w:val="5"/>
            <w:vAlign w:val="center"/>
          </w:tcPr>
          <w:p>
            <w:pPr>
              <w:pStyle w:val="32"/>
              <w:spacing w:before="1"/>
              <w:ind w:right="2629" w:firstLine="0" w:firstLineChars="0"/>
              <w:rPr>
                <w:rFonts w:asciiTheme="minorHAnsi" w:hAnsiTheme="minorHAnsi" w:eastAsiaTheme="minorEastAsia"/>
                <w:sz w:val="21"/>
              </w:rPr>
            </w:pPr>
            <w:r>
              <w:rPr>
                <w:rFonts w:hint="eastAsia" w:asciiTheme="minorHAnsi" w:hAnsiTheme="minorHAnsi" w:eastAsiaTheme="minorEastAsia"/>
                <w:sz w:val="21"/>
                <w:lang w:eastAsia="zh-CN"/>
              </w:rPr>
              <w:t xml:space="preserve">                 </w:t>
            </w:r>
            <w:r>
              <w:rPr>
                <w:rFonts w:asciiTheme="minorHAnsi" w:hAnsiTheme="minorHAnsi" w:eastAsiaTheme="minorEastAsia"/>
                <w:sz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exact"/>
        </w:trPr>
        <w:tc>
          <w:tcPr>
            <w:tcW w:w="590" w:type="dxa"/>
            <w:vAlign w:val="center"/>
          </w:tcPr>
          <w:p>
            <w:pPr>
              <w:pStyle w:val="32"/>
              <w:ind w:firstLine="0" w:firstLineChars="0"/>
              <w:rPr>
                <w:rFonts w:asciiTheme="minorHAnsi" w:hAnsiTheme="minorHAnsi" w:eastAsiaTheme="minorEastAsia"/>
                <w:sz w:val="21"/>
              </w:rPr>
            </w:pPr>
            <w:r>
              <w:rPr>
                <w:rFonts w:asciiTheme="minorHAnsi" w:hAnsiTheme="minorHAnsi" w:eastAsiaTheme="minorEastAsia"/>
                <w:sz w:val="21"/>
              </w:rPr>
              <w:t>3</w:t>
            </w:r>
          </w:p>
        </w:tc>
        <w:tc>
          <w:tcPr>
            <w:tcW w:w="2127" w:type="dxa"/>
            <w:vAlign w:val="center"/>
          </w:tcPr>
          <w:p>
            <w:pPr>
              <w:pStyle w:val="32"/>
              <w:ind w:firstLine="0" w:firstLineChars="0"/>
              <w:rPr>
                <w:rFonts w:asciiTheme="minorHAnsi" w:hAnsiTheme="minorHAnsi" w:eastAsiaTheme="minorEastAsia"/>
                <w:sz w:val="21"/>
              </w:rPr>
            </w:pPr>
            <w:r>
              <w:rPr>
                <w:rFonts w:hint="eastAsia" w:asciiTheme="minorHAnsi" w:hAnsiTheme="minorHAnsi" w:eastAsiaTheme="minorEastAsia"/>
                <w:sz w:val="21"/>
              </w:rPr>
              <w:t>溶解氧≥</w:t>
            </w:r>
          </w:p>
        </w:tc>
        <w:tc>
          <w:tcPr>
            <w:tcW w:w="984" w:type="dxa"/>
            <w:vAlign w:val="center"/>
          </w:tcPr>
          <w:p>
            <w:pPr>
              <w:pStyle w:val="32"/>
              <w:spacing w:before="13" w:line="240" w:lineRule="auto"/>
              <w:ind w:left="14" w:firstLine="0" w:firstLineChars="0"/>
              <w:jc w:val="left"/>
              <w:rPr>
                <w:rFonts w:asciiTheme="minorHAnsi" w:hAnsiTheme="minorHAnsi" w:eastAsiaTheme="minorEastAsia"/>
                <w:sz w:val="21"/>
              </w:rPr>
            </w:pPr>
            <w:r>
              <w:rPr>
                <w:rFonts w:hint="eastAsia" w:asciiTheme="minorHAnsi" w:hAnsiTheme="minorHAnsi" w:eastAsiaTheme="minorEastAsia"/>
                <w:spacing w:val="-2"/>
                <w:sz w:val="21"/>
              </w:rPr>
              <w:t>饱 和率</w:t>
            </w:r>
          </w:p>
          <w:p>
            <w:pPr>
              <w:pStyle w:val="32"/>
              <w:spacing w:before="5" w:line="240" w:lineRule="auto"/>
              <w:ind w:left="14" w:firstLine="0" w:firstLineChars="0"/>
              <w:jc w:val="left"/>
              <w:rPr>
                <w:rFonts w:asciiTheme="minorHAnsi" w:hAnsiTheme="minorHAnsi" w:eastAsiaTheme="minorEastAsia"/>
                <w:sz w:val="21"/>
              </w:rPr>
            </w:pPr>
            <w:r>
              <w:rPr>
                <w:rFonts w:asciiTheme="minorHAnsi" w:hAnsiTheme="minorHAnsi" w:eastAsiaTheme="minorEastAsia"/>
                <w:sz w:val="21"/>
              </w:rPr>
              <w:t xml:space="preserve">90% </w:t>
            </w:r>
            <w:r>
              <w:rPr>
                <w:rFonts w:hint="eastAsia" w:asciiTheme="minorHAnsi" w:hAnsiTheme="minorHAnsi" w:eastAsiaTheme="minorEastAsia"/>
                <w:sz w:val="21"/>
              </w:rPr>
              <w:t>（</w:t>
            </w:r>
            <w:r>
              <w:rPr>
                <w:rFonts w:hint="eastAsia" w:asciiTheme="minorHAnsi" w:hAnsiTheme="minorHAnsi" w:eastAsiaTheme="minorEastAsia"/>
                <w:spacing w:val="-38"/>
                <w:sz w:val="21"/>
              </w:rPr>
              <w:t xml:space="preserve"> 或</w:t>
            </w:r>
          </w:p>
          <w:p>
            <w:pPr>
              <w:pStyle w:val="32"/>
              <w:spacing w:before="2"/>
              <w:ind w:firstLine="199" w:firstLineChars="95"/>
              <w:jc w:val="left"/>
              <w:rPr>
                <w:rFonts w:asciiTheme="minorHAnsi" w:hAnsiTheme="minorHAnsi" w:eastAsiaTheme="minorEastAsia"/>
                <w:sz w:val="21"/>
              </w:rPr>
            </w:pPr>
            <w:r>
              <w:rPr>
                <w:rFonts w:asciiTheme="minorHAnsi" w:hAnsiTheme="minorHAnsi" w:eastAsiaTheme="minorEastAsia"/>
                <w:sz w:val="21"/>
              </w:rPr>
              <w:t>7.5</w:t>
            </w:r>
            <w:r>
              <w:rPr>
                <w:rFonts w:hint="eastAsia" w:asciiTheme="minorHAnsi" w:hAnsiTheme="minorHAnsi" w:eastAsiaTheme="minorEastAsia"/>
                <w:sz w:val="21"/>
              </w:rPr>
              <w:t>）</w:t>
            </w:r>
          </w:p>
        </w:tc>
        <w:tc>
          <w:tcPr>
            <w:tcW w:w="943" w:type="dxa"/>
            <w:vAlign w:val="center"/>
          </w:tcPr>
          <w:p>
            <w:pPr>
              <w:pStyle w:val="32"/>
              <w:ind w:firstLine="0" w:firstLineChars="0"/>
              <w:rPr>
                <w:rFonts w:asciiTheme="minorHAnsi" w:hAnsiTheme="minorHAnsi" w:eastAsiaTheme="minorEastAsia"/>
                <w:sz w:val="21"/>
              </w:rPr>
            </w:pPr>
            <w:r>
              <w:rPr>
                <w:rFonts w:asciiTheme="minorHAnsi" w:hAnsiTheme="minorHAnsi" w:eastAsiaTheme="minorEastAsia"/>
                <w:sz w:val="21"/>
              </w:rPr>
              <w:t>6</w:t>
            </w:r>
          </w:p>
        </w:tc>
        <w:tc>
          <w:tcPr>
            <w:tcW w:w="1279" w:type="dxa"/>
            <w:vAlign w:val="center"/>
          </w:tcPr>
          <w:p>
            <w:pPr>
              <w:pStyle w:val="32"/>
              <w:ind w:firstLine="0" w:firstLineChars="0"/>
              <w:rPr>
                <w:rFonts w:asciiTheme="minorHAnsi" w:hAnsiTheme="minorHAnsi" w:eastAsiaTheme="minorEastAsia"/>
                <w:sz w:val="21"/>
              </w:rPr>
            </w:pPr>
            <w:r>
              <w:rPr>
                <w:rFonts w:asciiTheme="minorHAnsi" w:hAnsiTheme="minorHAnsi" w:eastAsiaTheme="minorEastAsia"/>
                <w:sz w:val="21"/>
              </w:rPr>
              <w:t>5</w:t>
            </w:r>
          </w:p>
        </w:tc>
        <w:tc>
          <w:tcPr>
            <w:tcW w:w="1262" w:type="dxa"/>
            <w:vAlign w:val="center"/>
          </w:tcPr>
          <w:p>
            <w:pPr>
              <w:pStyle w:val="32"/>
              <w:ind w:firstLine="0" w:firstLineChars="0"/>
              <w:rPr>
                <w:rFonts w:asciiTheme="minorHAnsi" w:hAnsiTheme="minorHAnsi" w:eastAsiaTheme="minorEastAsia"/>
                <w:sz w:val="21"/>
              </w:rPr>
            </w:pPr>
            <w:r>
              <w:rPr>
                <w:rFonts w:asciiTheme="minorHAnsi" w:hAnsiTheme="minorHAnsi" w:eastAsiaTheme="minorEastAsia"/>
                <w:sz w:val="21"/>
              </w:rPr>
              <w:t>3</w:t>
            </w:r>
          </w:p>
        </w:tc>
        <w:tc>
          <w:tcPr>
            <w:tcW w:w="1176" w:type="dxa"/>
            <w:vAlign w:val="center"/>
          </w:tcPr>
          <w:p>
            <w:pPr>
              <w:pStyle w:val="32"/>
              <w:ind w:firstLine="0" w:firstLineChars="0"/>
              <w:rPr>
                <w:rFonts w:asciiTheme="minorHAnsi" w:hAnsiTheme="minorHAnsi" w:eastAsiaTheme="minorEastAsia"/>
                <w:sz w:val="21"/>
              </w:rPr>
            </w:pPr>
            <w:r>
              <w:rPr>
                <w:rFonts w:asciiTheme="minorHAnsi" w:hAnsiTheme="minorHAnsi" w:eastAsiaTheme="minorEastAsia"/>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590"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4</w:t>
            </w:r>
          </w:p>
        </w:tc>
        <w:tc>
          <w:tcPr>
            <w:tcW w:w="2127" w:type="dxa"/>
            <w:vAlign w:val="center"/>
          </w:tcPr>
          <w:p>
            <w:pPr>
              <w:pStyle w:val="32"/>
              <w:spacing w:before="195"/>
              <w:ind w:firstLine="0" w:firstLineChars="0"/>
              <w:rPr>
                <w:rFonts w:asciiTheme="minorHAnsi" w:hAnsiTheme="minorHAnsi" w:eastAsiaTheme="minorEastAsia"/>
                <w:sz w:val="21"/>
              </w:rPr>
            </w:pPr>
            <w:r>
              <w:rPr>
                <w:rFonts w:hint="eastAsia" w:asciiTheme="minorHAnsi" w:hAnsiTheme="minorHAnsi" w:eastAsiaTheme="minorEastAsia"/>
                <w:sz w:val="21"/>
              </w:rPr>
              <w:t>高锰酸钾指数</w:t>
            </w:r>
            <w:r>
              <w:rPr>
                <w:rFonts w:asciiTheme="minorHAnsi" w:hAnsiTheme="minorHAnsi" w:eastAsiaTheme="minorEastAsia"/>
                <w:sz w:val="21"/>
              </w:rPr>
              <w:t>≤</w:t>
            </w:r>
          </w:p>
        </w:tc>
        <w:tc>
          <w:tcPr>
            <w:tcW w:w="984"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2</w:t>
            </w:r>
          </w:p>
        </w:tc>
        <w:tc>
          <w:tcPr>
            <w:tcW w:w="943"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4</w:t>
            </w:r>
          </w:p>
        </w:tc>
        <w:tc>
          <w:tcPr>
            <w:tcW w:w="1279"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6</w:t>
            </w:r>
          </w:p>
        </w:tc>
        <w:tc>
          <w:tcPr>
            <w:tcW w:w="1262" w:type="dxa"/>
            <w:vAlign w:val="center"/>
          </w:tcPr>
          <w:p>
            <w:pPr>
              <w:pStyle w:val="32"/>
              <w:spacing w:before="1"/>
              <w:ind w:right="51" w:firstLine="0" w:firstLineChars="0"/>
              <w:rPr>
                <w:rFonts w:asciiTheme="minorHAnsi" w:hAnsiTheme="minorHAnsi" w:eastAsiaTheme="minorEastAsia"/>
                <w:sz w:val="21"/>
              </w:rPr>
            </w:pPr>
            <w:r>
              <w:rPr>
                <w:rFonts w:asciiTheme="minorHAnsi" w:hAnsiTheme="minorHAnsi" w:eastAsiaTheme="minorEastAsia"/>
                <w:sz w:val="21"/>
              </w:rPr>
              <w:t>10</w:t>
            </w:r>
          </w:p>
        </w:tc>
        <w:tc>
          <w:tcPr>
            <w:tcW w:w="1176" w:type="dxa"/>
            <w:vAlign w:val="center"/>
          </w:tcPr>
          <w:p>
            <w:pPr>
              <w:pStyle w:val="32"/>
              <w:spacing w:before="1"/>
              <w:ind w:right="8" w:firstLine="0" w:firstLineChars="0"/>
              <w:rPr>
                <w:rFonts w:asciiTheme="minorHAnsi" w:hAnsiTheme="minorHAnsi" w:eastAsiaTheme="minorEastAsia"/>
                <w:sz w:val="21"/>
              </w:rPr>
            </w:pPr>
            <w:r>
              <w:rPr>
                <w:rFonts w:asciiTheme="minorHAnsi" w:hAnsiTheme="minorHAnsi" w:eastAsiaTheme="minorEastAsia"/>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590"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5</w:t>
            </w:r>
          </w:p>
        </w:tc>
        <w:tc>
          <w:tcPr>
            <w:tcW w:w="2127" w:type="dxa"/>
            <w:vAlign w:val="center"/>
          </w:tcPr>
          <w:p>
            <w:pPr>
              <w:pStyle w:val="32"/>
              <w:spacing w:before="195"/>
              <w:ind w:firstLine="0" w:firstLineChars="0"/>
              <w:rPr>
                <w:rFonts w:asciiTheme="minorHAnsi" w:hAnsiTheme="minorHAnsi" w:eastAsiaTheme="minorEastAsia"/>
                <w:sz w:val="21"/>
              </w:rPr>
            </w:pPr>
            <w:r>
              <w:rPr>
                <w:rFonts w:hint="eastAsia" w:asciiTheme="minorHAnsi" w:hAnsiTheme="minorHAnsi" w:eastAsiaTheme="minorEastAsia"/>
                <w:sz w:val="21"/>
              </w:rPr>
              <w:t>化学需氧量</w:t>
            </w:r>
            <w:r>
              <w:rPr>
                <w:rFonts w:asciiTheme="minorHAnsi" w:hAnsiTheme="minorHAnsi" w:eastAsiaTheme="minorEastAsia"/>
                <w:sz w:val="21"/>
              </w:rPr>
              <w:t>≤</w:t>
            </w:r>
          </w:p>
        </w:tc>
        <w:tc>
          <w:tcPr>
            <w:tcW w:w="984" w:type="dxa"/>
            <w:vAlign w:val="center"/>
          </w:tcPr>
          <w:p>
            <w:pPr>
              <w:pStyle w:val="32"/>
              <w:spacing w:before="1"/>
              <w:ind w:right="37" w:firstLine="0" w:firstLineChars="0"/>
              <w:rPr>
                <w:rFonts w:asciiTheme="minorHAnsi" w:hAnsiTheme="minorHAnsi" w:eastAsiaTheme="minorEastAsia"/>
                <w:sz w:val="21"/>
              </w:rPr>
            </w:pPr>
            <w:r>
              <w:rPr>
                <w:rFonts w:asciiTheme="minorHAnsi" w:hAnsiTheme="minorHAnsi" w:eastAsiaTheme="minorEastAsia"/>
                <w:sz w:val="21"/>
              </w:rPr>
              <w:t>15</w:t>
            </w:r>
          </w:p>
        </w:tc>
        <w:tc>
          <w:tcPr>
            <w:tcW w:w="943" w:type="dxa"/>
            <w:vAlign w:val="center"/>
          </w:tcPr>
          <w:p>
            <w:pPr>
              <w:pStyle w:val="32"/>
              <w:spacing w:before="1"/>
              <w:ind w:right="232" w:firstLine="0" w:firstLineChars="0"/>
              <w:rPr>
                <w:rFonts w:asciiTheme="minorHAnsi" w:hAnsiTheme="minorHAnsi" w:eastAsiaTheme="minorEastAsia"/>
                <w:sz w:val="21"/>
              </w:rPr>
            </w:pPr>
            <w:r>
              <w:rPr>
                <w:rFonts w:asciiTheme="minorHAnsi" w:hAnsiTheme="minorHAnsi" w:eastAsiaTheme="minorEastAsia"/>
                <w:sz w:val="21"/>
              </w:rPr>
              <w:t>15</w:t>
            </w:r>
          </w:p>
        </w:tc>
        <w:tc>
          <w:tcPr>
            <w:tcW w:w="1279" w:type="dxa"/>
            <w:vAlign w:val="center"/>
          </w:tcPr>
          <w:p>
            <w:pPr>
              <w:pStyle w:val="32"/>
              <w:spacing w:before="1"/>
              <w:ind w:right="58" w:firstLine="0" w:firstLineChars="0"/>
              <w:rPr>
                <w:rFonts w:asciiTheme="minorHAnsi" w:hAnsiTheme="minorHAnsi" w:eastAsiaTheme="minorEastAsia"/>
                <w:sz w:val="21"/>
              </w:rPr>
            </w:pPr>
            <w:r>
              <w:rPr>
                <w:rFonts w:asciiTheme="minorHAnsi" w:hAnsiTheme="minorHAnsi" w:eastAsiaTheme="minorEastAsia"/>
                <w:sz w:val="21"/>
              </w:rPr>
              <w:t>20</w:t>
            </w:r>
          </w:p>
        </w:tc>
        <w:tc>
          <w:tcPr>
            <w:tcW w:w="1262" w:type="dxa"/>
            <w:vAlign w:val="center"/>
          </w:tcPr>
          <w:p>
            <w:pPr>
              <w:pStyle w:val="32"/>
              <w:spacing w:before="1"/>
              <w:ind w:right="51" w:firstLine="0" w:firstLineChars="0"/>
              <w:rPr>
                <w:rFonts w:asciiTheme="minorHAnsi" w:hAnsiTheme="minorHAnsi" w:eastAsiaTheme="minorEastAsia"/>
                <w:sz w:val="21"/>
              </w:rPr>
            </w:pPr>
            <w:r>
              <w:rPr>
                <w:rFonts w:asciiTheme="minorHAnsi" w:hAnsiTheme="minorHAnsi" w:eastAsiaTheme="minorEastAsia"/>
                <w:sz w:val="21"/>
              </w:rPr>
              <w:t>30</w:t>
            </w:r>
          </w:p>
        </w:tc>
        <w:tc>
          <w:tcPr>
            <w:tcW w:w="1176" w:type="dxa"/>
            <w:vAlign w:val="center"/>
          </w:tcPr>
          <w:p>
            <w:pPr>
              <w:pStyle w:val="32"/>
              <w:spacing w:before="1"/>
              <w:ind w:right="8" w:firstLine="0" w:firstLineChars="0"/>
              <w:rPr>
                <w:rFonts w:asciiTheme="minorHAnsi" w:hAnsiTheme="minorHAnsi" w:eastAsiaTheme="minorEastAsia"/>
                <w:sz w:val="21"/>
              </w:rPr>
            </w:pPr>
            <w:r>
              <w:rPr>
                <w:rFonts w:asciiTheme="minorHAnsi" w:hAnsiTheme="minorHAnsi" w:eastAsiaTheme="minorEastAsia"/>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590"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6</w:t>
            </w:r>
          </w:p>
        </w:tc>
        <w:tc>
          <w:tcPr>
            <w:tcW w:w="2127" w:type="dxa"/>
            <w:vAlign w:val="center"/>
          </w:tcPr>
          <w:p>
            <w:pPr>
              <w:pStyle w:val="32"/>
              <w:spacing w:before="195"/>
              <w:ind w:firstLine="0" w:firstLineChars="0"/>
              <w:rPr>
                <w:rFonts w:asciiTheme="minorHAnsi" w:hAnsiTheme="minorHAnsi" w:eastAsiaTheme="minorEastAsia"/>
                <w:sz w:val="21"/>
              </w:rPr>
            </w:pPr>
            <w:r>
              <w:rPr>
                <w:rFonts w:hint="eastAsia" w:asciiTheme="minorHAnsi" w:hAnsiTheme="minorHAnsi" w:eastAsiaTheme="minorEastAsia"/>
                <w:sz w:val="21"/>
              </w:rPr>
              <w:t>五日生化需量</w:t>
            </w:r>
            <w:r>
              <w:rPr>
                <w:rFonts w:asciiTheme="minorHAnsi" w:hAnsiTheme="minorHAnsi" w:eastAsiaTheme="minorEastAsia"/>
                <w:sz w:val="21"/>
              </w:rPr>
              <w:t>≤</w:t>
            </w:r>
          </w:p>
        </w:tc>
        <w:tc>
          <w:tcPr>
            <w:tcW w:w="984"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3</w:t>
            </w:r>
          </w:p>
        </w:tc>
        <w:tc>
          <w:tcPr>
            <w:tcW w:w="943"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3</w:t>
            </w:r>
          </w:p>
        </w:tc>
        <w:tc>
          <w:tcPr>
            <w:tcW w:w="1279"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4</w:t>
            </w:r>
          </w:p>
        </w:tc>
        <w:tc>
          <w:tcPr>
            <w:tcW w:w="1262"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6</w:t>
            </w:r>
          </w:p>
        </w:tc>
        <w:tc>
          <w:tcPr>
            <w:tcW w:w="1176" w:type="dxa"/>
            <w:vAlign w:val="center"/>
          </w:tcPr>
          <w:p>
            <w:pPr>
              <w:pStyle w:val="32"/>
              <w:spacing w:before="1"/>
              <w:ind w:right="8" w:firstLine="0" w:firstLineChars="0"/>
              <w:rPr>
                <w:rFonts w:asciiTheme="minorHAnsi" w:hAnsiTheme="minorHAnsi" w:eastAsiaTheme="minorEastAsia"/>
                <w:sz w:val="21"/>
              </w:rPr>
            </w:pPr>
            <w:r>
              <w:rPr>
                <w:rFonts w:asciiTheme="minorHAnsi" w:hAnsiTheme="minorHAnsi" w:eastAsiaTheme="minorEastAsia"/>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590"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7</w:t>
            </w:r>
          </w:p>
        </w:tc>
        <w:tc>
          <w:tcPr>
            <w:tcW w:w="2127" w:type="dxa"/>
            <w:vAlign w:val="center"/>
          </w:tcPr>
          <w:p>
            <w:pPr>
              <w:pStyle w:val="32"/>
              <w:spacing w:before="195" w:line="267" w:lineRule="exact"/>
              <w:ind w:right="719" w:firstLine="0" w:firstLineChars="0"/>
              <w:rPr>
                <w:rFonts w:asciiTheme="minorHAnsi" w:hAnsiTheme="minorHAnsi" w:eastAsiaTheme="minorEastAsia"/>
                <w:sz w:val="21"/>
              </w:rPr>
            </w:pPr>
            <w:r>
              <w:rPr>
                <w:rFonts w:hint="eastAsia" w:asciiTheme="minorHAnsi" w:hAnsiTheme="minorHAnsi" w:eastAsiaTheme="minorEastAsia"/>
                <w:sz w:val="21"/>
              </w:rPr>
              <w:t>氨氮</w:t>
            </w:r>
            <w:r>
              <w:rPr>
                <w:rFonts w:asciiTheme="minorHAnsi" w:hAnsiTheme="minorHAnsi" w:eastAsiaTheme="minorEastAsia"/>
                <w:sz w:val="21"/>
              </w:rPr>
              <w:t>≤</w:t>
            </w:r>
          </w:p>
        </w:tc>
        <w:tc>
          <w:tcPr>
            <w:tcW w:w="984" w:type="dxa"/>
            <w:vAlign w:val="center"/>
          </w:tcPr>
          <w:p>
            <w:pPr>
              <w:pStyle w:val="32"/>
              <w:spacing w:before="1"/>
              <w:ind w:right="33" w:firstLine="0" w:firstLineChars="0"/>
              <w:rPr>
                <w:rFonts w:asciiTheme="minorHAnsi" w:hAnsiTheme="minorHAnsi" w:eastAsiaTheme="minorEastAsia"/>
                <w:sz w:val="21"/>
              </w:rPr>
            </w:pPr>
            <w:r>
              <w:rPr>
                <w:rFonts w:asciiTheme="minorHAnsi" w:hAnsiTheme="minorHAnsi" w:eastAsiaTheme="minorEastAsia"/>
                <w:sz w:val="21"/>
              </w:rPr>
              <w:t>0.15</w:t>
            </w:r>
          </w:p>
        </w:tc>
        <w:tc>
          <w:tcPr>
            <w:tcW w:w="943" w:type="dxa"/>
            <w:vAlign w:val="center"/>
          </w:tcPr>
          <w:p>
            <w:pPr>
              <w:pStyle w:val="32"/>
              <w:spacing w:before="1"/>
              <w:ind w:right="232" w:firstLine="0" w:firstLineChars="0"/>
              <w:rPr>
                <w:rFonts w:asciiTheme="minorHAnsi" w:hAnsiTheme="minorHAnsi" w:eastAsiaTheme="minorEastAsia"/>
                <w:sz w:val="21"/>
              </w:rPr>
            </w:pPr>
            <w:r>
              <w:rPr>
                <w:rFonts w:asciiTheme="minorHAnsi" w:hAnsiTheme="minorHAnsi" w:eastAsiaTheme="minorEastAsia"/>
                <w:sz w:val="21"/>
              </w:rPr>
              <w:t>0.5</w:t>
            </w:r>
          </w:p>
        </w:tc>
        <w:tc>
          <w:tcPr>
            <w:tcW w:w="1279"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1</w:t>
            </w:r>
          </w:p>
        </w:tc>
        <w:tc>
          <w:tcPr>
            <w:tcW w:w="1262" w:type="dxa"/>
            <w:vAlign w:val="center"/>
          </w:tcPr>
          <w:p>
            <w:pPr>
              <w:pStyle w:val="32"/>
              <w:spacing w:before="1"/>
              <w:ind w:right="51" w:firstLine="0" w:firstLineChars="0"/>
              <w:rPr>
                <w:rFonts w:asciiTheme="minorHAnsi" w:hAnsiTheme="minorHAnsi" w:eastAsiaTheme="minorEastAsia"/>
                <w:sz w:val="21"/>
              </w:rPr>
            </w:pPr>
            <w:r>
              <w:rPr>
                <w:rFonts w:asciiTheme="minorHAnsi" w:hAnsiTheme="minorHAnsi" w:eastAsiaTheme="minorEastAsia"/>
                <w:sz w:val="21"/>
              </w:rPr>
              <w:t>1.5</w:t>
            </w:r>
          </w:p>
        </w:tc>
        <w:tc>
          <w:tcPr>
            <w:tcW w:w="1176"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590" w:type="dxa"/>
            <w:vAlign w:val="center"/>
          </w:tcPr>
          <w:p>
            <w:pPr>
              <w:pStyle w:val="32"/>
              <w:ind w:firstLine="0" w:firstLineChars="0"/>
              <w:rPr>
                <w:rFonts w:asciiTheme="minorHAnsi" w:hAnsiTheme="minorHAnsi" w:eastAsiaTheme="minorEastAsia"/>
                <w:sz w:val="21"/>
              </w:rPr>
            </w:pPr>
            <w:r>
              <w:rPr>
                <w:rFonts w:asciiTheme="minorHAnsi" w:hAnsiTheme="minorHAnsi" w:eastAsiaTheme="minorEastAsia"/>
                <w:sz w:val="21"/>
              </w:rPr>
              <w:t>8</w:t>
            </w:r>
          </w:p>
        </w:tc>
        <w:tc>
          <w:tcPr>
            <w:tcW w:w="2127" w:type="dxa"/>
            <w:vAlign w:val="center"/>
          </w:tcPr>
          <w:p>
            <w:pPr>
              <w:pStyle w:val="32"/>
              <w:ind w:right="719" w:firstLine="0" w:firstLineChars="0"/>
              <w:rPr>
                <w:rFonts w:asciiTheme="minorHAnsi" w:hAnsiTheme="minorHAnsi" w:eastAsiaTheme="minorEastAsia"/>
                <w:sz w:val="21"/>
              </w:rPr>
            </w:pPr>
            <w:r>
              <w:rPr>
                <w:rFonts w:hint="eastAsia" w:asciiTheme="minorHAnsi" w:hAnsiTheme="minorHAnsi" w:eastAsiaTheme="minorEastAsia"/>
                <w:sz w:val="21"/>
              </w:rPr>
              <w:t>总磷</w:t>
            </w:r>
            <w:r>
              <w:rPr>
                <w:rFonts w:asciiTheme="minorHAnsi" w:hAnsiTheme="minorHAnsi" w:eastAsiaTheme="minorEastAsia"/>
                <w:sz w:val="21"/>
              </w:rPr>
              <w:t>≤</w:t>
            </w:r>
          </w:p>
        </w:tc>
        <w:tc>
          <w:tcPr>
            <w:tcW w:w="984" w:type="dxa"/>
            <w:vAlign w:val="center"/>
          </w:tcPr>
          <w:p>
            <w:pPr>
              <w:pStyle w:val="32"/>
              <w:spacing w:before="14" w:line="240" w:lineRule="auto"/>
              <w:ind w:left="69" w:right="-44" w:firstLine="0" w:firstLineChars="0"/>
              <w:rPr>
                <w:rFonts w:asciiTheme="minorHAnsi" w:hAnsiTheme="minorHAnsi" w:eastAsiaTheme="minorEastAsia"/>
                <w:sz w:val="21"/>
              </w:rPr>
            </w:pPr>
            <w:r>
              <w:rPr>
                <w:rFonts w:asciiTheme="minorHAnsi" w:hAnsiTheme="minorHAnsi" w:eastAsiaTheme="minorEastAsia"/>
                <w:sz w:val="21"/>
              </w:rPr>
              <w:t>0.02</w:t>
            </w:r>
            <w:r>
              <w:rPr>
                <w:rFonts w:hint="eastAsia" w:asciiTheme="minorHAnsi" w:hAnsiTheme="minorHAnsi" w:eastAsiaTheme="minorEastAsia"/>
                <w:sz w:val="21"/>
              </w:rPr>
              <w:t>（</w:t>
            </w:r>
            <w:r>
              <w:rPr>
                <w:rFonts w:hint="eastAsia" w:asciiTheme="minorHAnsi" w:hAnsiTheme="minorHAnsi" w:eastAsiaTheme="minorEastAsia"/>
                <w:spacing w:val="-8"/>
                <w:sz w:val="21"/>
              </w:rPr>
              <w:t>湖、</w:t>
            </w:r>
            <w:r>
              <w:rPr>
                <w:rFonts w:hint="eastAsia" w:asciiTheme="minorHAnsi" w:hAnsiTheme="minorHAnsi" w:eastAsiaTheme="minorEastAsia"/>
                <w:spacing w:val="-27"/>
                <w:sz w:val="21"/>
              </w:rPr>
              <w:t xml:space="preserve">库 </w:t>
            </w:r>
            <w:r>
              <w:rPr>
                <w:rFonts w:asciiTheme="minorHAnsi" w:hAnsiTheme="minorHAnsi" w:eastAsiaTheme="minorEastAsia"/>
                <w:sz w:val="21"/>
              </w:rPr>
              <w:t>0.01</w:t>
            </w:r>
            <w:r>
              <w:rPr>
                <w:rFonts w:hint="eastAsia" w:asciiTheme="minorHAnsi" w:hAnsiTheme="minorHAnsi" w:eastAsiaTheme="minorEastAsia"/>
                <w:sz w:val="21"/>
              </w:rPr>
              <w:t>）</w:t>
            </w:r>
          </w:p>
        </w:tc>
        <w:tc>
          <w:tcPr>
            <w:tcW w:w="943" w:type="dxa"/>
            <w:vAlign w:val="center"/>
          </w:tcPr>
          <w:p>
            <w:pPr>
              <w:pStyle w:val="32"/>
              <w:spacing w:before="14" w:line="240" w:lineRule="auto"/>
              <w:ind w:left="14" w:right="-29" w:firstLine="0" w:firstLineChars="0"/>
              <w:rPr>
                <w:rFonts w:asciiTheme="minorHAnsi" w:hAnsiTheme="minorHAnsi" w:eastAsiaTheme="minorEastAsia"/>
                <w:sz w:val="21"/>
              </w:rPr>
            </w:pPr>
            <w:r>
              <w:rPr>
                <w:rFonts w:asciiTheme="minorHAnsi" w:hAnsiTheme="minorHAnsi" w:eastAsiaTheme="minorEastAsia"/>
                <w:sz w:val="21"/>
              </w:rPr>
              <w:t>0.1</w:t>
            </w:r>
            <w:r>
              <w:rPr>
                <w:rFonts w:hint="eastAsia" w:asciiTheme="minorHAnsi" w:hAnsiTheme="minorHAnsi" w:eastAsiaTheme="minorEastAsia"/>
                <w:sz w:val="21"/>
              </w:rPr>
              <w:t>（湖、</w:t>
            </w:r>
            <w:r>
              <w:rPr>
                <w:rFonts w:hint="eastAsia" w:asciiTheme="minorHAnsi" w:hAnsiTheme="minorHAnsi" w:eastAsiaTheme="minorEastAsia"/>
                <w:spacing w:val="-23"/>
                <w:sz w:val="21"/>
              </w:rPr>
              <w:t xml:space="preserve">库 </w:t>
            </w:r>
            <w:r>
              <w:rPr>
                <w:rFonts w:asciiTheme="minorHAnsi" w:hAnsiTheme="minorHAnsi" w:eastAsiaTheme="minorEastAsia"/>
                <w:spacing w:val="-5"/>
                <w:sz w:val="21"/>
              </w:rPr>
              <w:t>0.025</w:t>
            </w:r>
            <w:r>
              <w:rPr>
                <w:rFonts w:hint="eastAsia" w:asciiTheme="minorHAnsi" w:hAnsiTheme="minorHAnsi" w:eastAsiaTheme="minorEastAsia"/>
                <w:spacing w:val="-5"/>
                <w:sz w:val="21"/>
              </w:rPr>
              <w:t>）</w:t>
            </w:r>
          </w:p>
        </w:tc>
        <w:tc>
          <w:tcPr>
            <w:tcW w:w="1279" w:type="dxa"/>
            <w:vAlign w:val="center"/>
          </w:tcPr>
          <w:p>
            <w:pPr>
              <w:pStyle w:val="32"/>
              <w:spacing w:before="15" w:line="240" w:lineRule="auto"/>
              <w:ind w:left="67" w:right="59" w:firstLine="0" w:firstLineChars="0"/>
              <w:rPr>
                <w:rFonts w:asciiTheme="minorHAnsi" w:hAnsiTheme="minorHAnsi" w:eastAsiaTheme="minorEastAsia"/>
                <w:sz w:val="21"/>
              </w:rPr>
            </w:pPr>
            <w:r>
              <w:rPr>
                <w:rFonts w:asciiTheme="minorHAnsi" w:hAnsiTheme="minorHAnsi" w:eastAsiaTheme="minorEastAsia"/>
                <w:sz w:val="21"/>
              </w:rPr>
              <w:t>0.2</w:t>
            </w:r>
            <w:r>
              <w:rPr>
                <w:rFonts w:hint="eastAsia" w:asciiTheme="minorHAnsi" w:hAnsiTheme="minorHAnsi" w:eastAsiaTheme="minorEastAsia"/>
                <w:sz w:val="21"/>
              </w:rPr>
              <w:t>（湖、库</w:t>
            </w:r>
          </w:p>
          <w:p>
            <w:pPr>
              <w:pStyle w:val="32"/>
              <w:spacing w:before="2" w:line="240" w:lineRule="auto"/>
              <w:ind w:left="67" w:right="59" w:firstLine="420"/>
              <w:rPr>
                <w:rFonts w:asciiTheme="minorHAnsi" w:hAnsiTheme="minorHAnsi" w:eastAsiaTheme="minorEastAsia"/>
                <w:sz w:val="21"/>
              </w:rPr>
            </w:pPr>
            <w:r>
              <w:rPr>
                <w:rFonts w:asciiTheme="minorHAnsi" w:hAnsiTheme="minorHAnsi" w:eastAsiaTheme="minorEastAsia"/>
                <w:sz w:val="21"/>
              </w:rPr>
              <w:t>0.05</w:t>
            </w:r>
            <w:r>
              <w:rPr>
                <w:rFonts w:hint="eastAsia" w:asciiTheme="minorHAnsi" w:hAnsiTheme="minorHAnsi" w:eastAsiaTheme="minorEastAsia"/>
                <w:sz w:val="21"/>
              </w:rPr>
              <w:t>）</w:t>
            </w:r>
          </w:p>
        </w:tc>
        <w:tc>
          <w:tcPr>
            <w:tcW w:w="1262" w:type="dxa"/>
            <w:vAlign w:val="center"/>
          </w:tcPr>
          <w:p>
            <w:pPr>
              <w:pStyle w:val="32"/>
              <w:spacing w:before="15" w:line="240" w:lineRule="auto"/>
              <w:ind w:left="58" w:right="51" w:firstLine="0" w:firstLineChars="0"/>
              <w:rPr>
                <w:rFonts w:asciiTheme="minorHAnsi" w:hAnsiTheme="minorHAnsi" w:eastAsiaTheme="minorEastAsia"/>
                <w:sz w:val="21"/>
              </w:rPr>
            </w:pPr>
            <w:r>
              <w:rPr>
                <w:rFonts w:asciiTheme="minorHAnsi" w:hAnsiTheme="minorHAnsi" w:eastAsiaTheme="minorEastAsia"/>
                <w:sz w:val="21"/>
              </w:rPr>
              <w:t>0.3</w:t>
            </w:r>
            <w:r>
              <w:rPr>
                <w:rFonts w:hint="eastAsia" w:asciiTheme="minorHAnsi" w:hAnsiTheme="minorHAnsi" w:eastAsiaTheme="minorEastAsia"/>
                <w:sz w:val="21"/>
              </w:rPr>
              <w:t>（湖、库</w:t>
            </w:r>
          </w:p>
          <w:p>
            <w:pPr>
              <w:pStyle w:val="32"/>
              <w:spacing w:before="2" w:line="240" w:lineRule="auto"/>
              <w:ind w:left="58" w:right="51" w:firstLine="420"/>
              <w:rPr>
                <w:rFonts w:asciiTheme="minorHAnsi" w:hAnsiTheme="minorHAnsi" w:eastAsiaTheme="minorEastAsia"/>
                <w:sz w:val="21"/>
              </w:rPr>
            </w:pPr>
            <w:r>
              <w:rPr>
                <w:rFonts w:asciiTheme="minorHAnsi" w:hAnsiTheme="minorHAnsi" w:eastAsiaTheme="minorEastAsia"/>
                <w:sz w:val="21"/>
              </w:rPr>
              <w:t>0. 1</w:t>
            </w:r>
            <w:r>
              <w:rPr>
                <w:rFonts w:hint="eastAsia" w:asciiTheme="minorHAnsi" w:hAnsiTheme="minorHAnsi" w:eastAsiaTheme="minorEastAsia"/>
                <w:sz w:val="21"/>
              </w:rPr>
              <w:t>）</w:t>
            </w:r>
          </w:p>
        </w:tc>
        <w:tc>
          <w:tcPr>
            <w:tcW w:w="1176" w:type="dxa"/>
            <w:vAlign w:val="center"/>
          </w:tcPr>
          <w:p>
            <w:pPr>
              <w:pStyle w:val="32"/>
              <w:spacing w:before="46" w:line="240" w:lineRule="auto"/>
              <w:ind w:left="15" w:right="8" w:firstLine="0" w:firstLineChars="0"/>
              <w:rPr>
                <w:rFonts w:asciiTheme="minorHAnsi" w:hAnsiTheme="minorHAnsi" w:eastAsiaTheme="minorEastAsia"/>
                <w:sz w:val="21"/>
              </w:rPr>
            </w:pPr>
            <w:r>
              <w:rPr>
                <w:rFonts w:asciiTheme="minorHAnsi" w:hAnsiTheme="minorHAnsi" w:eastAsiaTheme="minorEastAsia"/>
                <w:sz w:val="21"/>
              </w:rPr>
              <w:t>0.4</w:t>
            </w:r>
            <w:r>
              <w:rPr>
                <w:rFonts w:hint="eastAsia" w:asciiTheme="minorHAnsi" w:hAnsiTheme="minorHAnsi" w:eastAsiaTheme="minorEastAsia"/>
                <w:sz w:val="21"/>
              </w:rPr>
              <w:t>（湖、库</w:t>
            </w:r>
          </w:p>
          <w:p>
            <w:pPr>
              <w:pStyle w:val="32"/>
              <w:spacing w:line="240" w:lineRule="auto"/>
              <w:ind w:left="15" w:right="8" w:firstLine="420"/>
              <w:jc w:val="left"/>
              <w:rPr>
                <w:rFonts w:asciiTheme="minorHAnsi" w:hAnsiTheme="minorHAnsi" w:eastAsiaTheme="minorEastAsia"/>
                <w:sz w:val="21"/>
                <w:lang w:eastAsia="zh-CN"/>
              </w:rPr>
            </w:pPr>
            <w:r>
              <w:rPr>
                <w:rFonts w:asciiTheme="minorHAnsi" w:hAnsiTheme="minorHAnsi" w:eastAsiaTheme="minorEastAsia"/>
                <w:sz w:val="21"/>
              </w:rPr>
              <w:t>0.2</w:t>
            </w:r>
            <w:r>
              <w:rPr>
                <w:rFonts w:hint="eastAsia" w:asciiTheme="minorHAnsi" w:hAnsiTheme="minorHAnsi" w:eastAsiaTheme="minorEastAsia"/>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590"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9</w:t>
            </w:r>
          </w:p>
        </w:tc>
        <w:tc>
          <w:tcPr>
            <w:tcW w:w="2127" w:type="dxa"/>
            <w:vAlign w:val="center"/>
          </w:tcPr>
          <w:p>
            <w:pPr>
              <w:pStyle w:val="32"/>
              <w:spacing w:before="195"/>
              <w:ind w:right="719" w:firstLine="0" w:firstLineChars="0"/>
              <w:rPr>
                <w:rFonts w:asciiTheme="minorHAnsi" w:hAnsiTheme="minorHAnsi" w:eastAsiaTheme="minorEastAsia"/>
                <w:sz w:val="21"/>
              </w:rPr>
            </w:pPr>
            <w:r>
              <w:rPr>
                <w:rFonts w:hint="eastAsia" w:asciiTheme="minorHAnsi" w:hAnsiTheme="minorHAnsi" w:eastAsiaTheme="minorEastAsia"/>
                <w:sz w:val="21"/>
              </w:rPr>
              <w:t>铜</w:t>
            </w:r>
            <w:r>
              <w:rPr>
                <w:rFonts w:asciiTheme="minorHAnsi" w:hAnsiTheme="minorHAnsi" w:eastAsiaTheme="minorEastAsia"/>
                <w:sz w:val="21"/>
              </w:rPr>
              <w:t>≤</w:t>
            </w:r>
          </w:p>
        </w:tc>
        <w:tc>
          <w:tcPr>
            <w:tcW w:w="984" w:type="dxa"/>
            <w:vAlign w:val="center"/>
          </w:tcPr>
          <w:p>
            <w:pPr>
              <w:pStyle w:val="32"/>
              <w:spacing w:before="1"/>
              <w:ind w:right="33" w:firstLine="0" w:firstLineChars="0"/>
              <w:rPr>
                <w:rFonts w:asciiTheme="minorHAnsi" w:hAnsiTheme="minorHAnsi" w:eastAsiaTheme="minorEastAsia"/>
                <w:sz w:val="21"/>
              </w:rPr>
            </w:pPr>
            <w:r>
              <w:rPr>
                <w:rFonts w:asciiTheme="minorHAnsi" w:hAnsiTheme="minorHAnsi" w:eastAsiaTheme="minorEastAsia"/>
                <w:sz w:val="21"/>
              </w:rPr>
              <w:t>0.01</w:t>
            </w:r>
          </w:p>
        </w:tc>
        <w:tc>
          <w:tcPr>
            <w:tcW w:w="943"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1</w:t>
            </w:r>
          </w:p>
        </w:tc>
        <w:tc>
          <w:tcPr>
            <w:tcW w:w="1279"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1</w:t>
            </w:r>
          </w:p>
        </w:tc>
        <w:tc>
          <w:tcPr>
            <w:tcW w:w="1262"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1</w:t>
            </w:r>
          </w:p>
        </w:tc>
        <w:tc>
          <w:tcPr>
            <w:tcW w:w="1176"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590" w:type="dxa"/>
            <w:vAlign w:val="center"/>
          </w:tcPr>
          <w:p>
            <w:pPr>
              <w:pStyle w:val="32"/>
              <w:ind w:right="56" w:firstLine="0" w:firstLineChars="0"/>
              <w:rPr>
                <w:rFonts w:asciiTheme="minorHAnsi" w:hAnsiTheme="minorHAnsi" w:eastAsiaTheme="minorEastAsia"/>
                <w:sz w:val="21"/>
              </w:rPr>
            </w:pPr>
            <w:r>
              <w:rPr>
                <w:rFonts w:asciiTheme="minorHAnsi" w:hAnsiTheme="minorHAnsi" w:eastAsiaTheme="minorEastAsia"/>
                <w:sz w:val="21"/>
              </w:rPr>
              <w:t>10</w:t>
            </w:r>
          </w:p>
        </w:tc>
        <w:tc>
          <w:tcPr>
            <w:tcW w:w="2127" w:type="dxa"/>
            <w:vAlign w:val="center"/>
          </w:tcPr>
          <w:p>
            <w:pPr>
              <w:pStyle w:val="32"/>
              <w:spacing w:before="196"/>
              <w:ind w:right="719" w:firstLine="0" w:firstLineChars="0"/>
              <w:rPr>
                <w:rFonts w:asciiTheme="minorHAnsi" w:hAnsiTheme="minorHAnsi" w:eastAsiaTheme="minorEastAsia"/>
                <w:sz w:val="21"/>
              </w:rPr>
            </w:pPr>
            <w:r>
              <w:rPr>
                <w:rFonts w:hint="eastAsia" w:asciiTheme="minorHAnsi" w:hAnsiTheme="minorHAnsi" w:eastAsiaTheme="minorEastAsia"/>
                <w:sz w:val="21"/>
              </w:rPr>
              <w:t>锌</w:t>
            </w:r>
            <w:r>
              <w:rPr>
                <w:rFonts w:asciiTheme="minorHAnsi" w:hAnsiTheme="minorHAnsi" w:eastAsiaTheme="minorEastAsia"/>
                <w:sz w:val="21"/>
              </w:rPr>
              <w:t>≤</w:t>
            </w:r>
          </w:p>
        </w:tc>
        <w:tc>
          <w:tcPr>
            <w:tcW w:w="984" w:type="dxa"/>
            <w:vAlign w:val="center"/>
          </w:tcPr>
          <w:p>
            <w:pPr>
              <w:pStyle w:val="32"/>
              <w:ind w:right="33" w:firstLine="0" w:firstLineChars="0"/>
              <w:rPr>
                <w:rFonts w:asciiTheme="minorHAnsi" w:hAnsiTheme="minorHAnsi" w:eastAsiaTheme="minorEastAsia"/>
                <w:sz w:val="21"/>
              </w:rPr>
            </w:pPr>
            <w:r>
              <w:rPr>
                <w:rFonts w:asciiTheme="minorHAnsi" w:hAnsiTheme="minorHAnsi" w:eastAsiaTheme="minorEastAsia"/>
                <w:sz w:val="21"/>
              </w:rPr>
              <w:t>0.05</w:t>
            </w:r>
          </w:p>
        </w:tc>
        <w:tc>
          <w:tcPr>
            <w:tcW w:w="943" w:type="dxa"/>
            <w:vAlign w:val="center"/>
          </w:tcPr>
          <w:p>
            <w:pPr>
              <w:pStyle w:val="32"/>
              <w:ind w:firstLine="0" w:firstLineChars="0"/>
              <w:rPr>
                <w:rFonts w:asciiTheme="minorHAnsi" w:hAnsiTheme="minorHAnsi" w:eastAsiaTheme="minorEastAsia"/>
                <w:sz w:val="21"/>
              </w:rPr>
            </w:pPr>
            <w:r>
              <w:rPr>
                <w:rFonts w:asciiTheme="minorHAnsi" w:hAnsiTheme="minorHAnsi" w:eastAsiaTheme="minorEastAsia"/>
                <w:sz w:val="21"/>
              </w:rPr>
              <w:t>1</w:t>
            </w:r>
          </w:p>
        </w:tc>
        <w:tc>
          <w:tcPr>
            <w:tcW w:w="1279" w:type="dxa"/>
            <w:vAlign w:val="center"/>
          </w:tcPr>
          <w:p>
            <w:pPr>
              <w:pStyle w:val="32"/>
              <w:ind w:firstLine="0" w:firstLineChars="0"/>
              <w:rPr>
                <w:rFonts w:asciiTheme="minorHAnsi" w:hAnsiTheme="minorHAnsi" w:eastAsiaTheme="minorEastAsia"/>
                <w:sz w:val="21"/>
              </w:rPr>
            </w:pPr>
            <w:r>
              <w:rPr>
                <w:rFonts w:asciiTheme="minorHAnsi" w:hAnsiTheme="minorHAnsi" w:eastAsiaTheme="minorEastAsia"/>
                <w:sz w:val="21"/>
              </w:rPr>
              <w:t>1</w:t>
            </w:r>
          </w:p>
        </w:tc>
        <w:tc>
          <w:tcPr>
            <w:tcW w:w="1262" w:type="dxa"/>
            <w:vAlign w:val="center"/>
          </w:tcPr>
          <w:p>
            <w:pPr>
              <w:pStyle w:val="32"/>
              <w:ind w:firstLine="0" w:firstLineChars="0"/>
              <w:rPr>
                <w:rFonts w:asciiTheme="minorHAnsi" w:hAnsiTheme="minorHAnsi" w:eastAsiaTheme="minorEastAsia"/>
                <w:sz w:val="21"/>
              </w:rPr>
            </w:pPr>
            <w:r>
              <w:rPr>
                <w:rFonts w:asciiTheme="minorHAnsi" w:hAnsiTheme="minorHAnsi" w:eastAsiaTheme="minorEastAsia"/>
                <w:sz w:val="21"/>
              </w:rPr>
              <w:t>2</w:t>
            </w:r>
          </w:p>
        </w:tc>
        <w:tc>
          <w:tcPr>
            <w:tcW w:w="1176" w:type="dxa"/>
            <w:vAlign w:val="center"/>
          </w:tcPr>
          <w:p>
            <w:pPr>
              <w:pStyle w:val="32"/>
              <w:ind w:firstLine="0" w:firstLineChars="0"/>
              <w:rPr>
                <w:rFonts w:asciiTheme="minorHAnsi" w:hAnsiTheme="minorHAnsi" w:eastAsiaTheme="minorEastAsia"/>
                <w:sz w:val="21"/>
              </w:rPr>
            </w:pPr>
            <w:r>
              <w:rPr>
                <w:rFonts w:asciiTheme="minorHAnsi" w:hAnsiTheme="minorHAnsi" w:eastAsiaTheme="minorEastAsia"/>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exact"/>
        </w:trPr>
        <w:tc>
          <w:tcPr>
            <w:tcW w:w="590" w:type="dxa"/>
            <w:vAlign w:val="center"/>
          </w:tcPr>
          <w:p>
            <w:pPr>
              <w:pStyle w:val="32"/>
              <w:ind w:right="56" w:firstLine="0" w:firstLineChars="0"/>
              <w:rPr>
                <w:rFonts w:asciiTheme="minorHAnsi" w:hAnsiTheme="minorHAnsi" w:eastAsiaTheme="minorEastAsia"/>
                <w:sz w:val="21"/>
              </w:rPr>
            </w:pPr>
            <w:r>
              <w:rPr>
                <w:rFonts w:asciiTheme="minorHAnsi" w:hAnsiTheme="minorHAnsi" w:eastAsiaTheme="minorEastAsia"/>
                <w:sz w:val="21"/>
              </w:rPr>
              <w:t>11</w:t>
            </w:r>
          </w:p>
        </w:tc>
        <w:tc>
          <w:tcPr>
            <w:tcW w:w="2127" w:type="dxa"/>
            <w:vAlign w:val="center"/>
          </w:tcPr>
          <w:p>
            <w:pPr>
              <w:pStyle w:val="32"/>
              <w:ind w:right="56" w:firstLine="0" w:firstLineChars="0"/>
              <w:rPr>
                <w:rFonts w:asciiTheme="minorHAnsi" w:hAnsiTheme="minorHAnsi" w:eastAsiaTheme="minorEastAsia"/>
                <w:sz w:val="21"/>
              </w:rPr>
            </w:pPr>
            <w:r>
              <w:rPr>
                <w:rFonts w:hint="eastAsia" w:asciiTheme="minorHAnsi" w:hAnsiTheme="minorHAnsi" w:eastAsiaTheme="minorEastAsia"/>
                <w:sz w:val="21"/>
              </w:rPr>
              <w:t xml:space="preserve">氟化物（以 </w:t>
            </w:r>
            <w:r>
              <w:rPr>
                <w:rFonts w:asciiTheme="minorHAnsi" w:hAnsiTheme="minorHAnsi" w:eastAsiaTheme="minorEastAsia"/>
                <w:sz w:val="21"/>
              </w:rPr>
              <w:t>F</w:t>
            </w:r>
            <w:r>
              <w:rPr>
                <w:rFonts w:hint="eastAsia" w:asciiTheme="minorHAnsi" w:hAnsiTheme="minorHAnsi" w:eastAsiaTheme="minorEastAsia"/>
                <w:sz w:val="21"/>
              </w:rPr>
              <w:t>计）≤</w:t>
            </w:r>
          </w:p>
        </w:tc>
        <w:tc>
          <w:tcPr>
            <w:tcW w:w="984"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1</w:t>
            </w:r>
          </w:p>
        </w:tc>
        <w:tc>
          <w:tcPr>
            <w:tcW w:w="943"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1</w:t>
            </w:r>
          </w:p>
        </w:tc>
        <w:tc>
          <w:tcPr>
            <w:tcW w:w="1279" w:type="dxa"/>
            <w:vAlign w:val="center"/>
          </w:tcPr>
          <w:p>
            <w:pPr>
              <w:pStyle w:val="32"/>
              <w:spacing w:before="1"/>
              <w:ind w:firstLine="0" w:firstLineChars="0"/>
              <w:rPr>
                <w:rFonts w:asciiTheme="minorHAnsi" w:hAnsiTheme="minorHAnsi" w:eastAsiaTheme="minorEastAsia"/>
                <w:sz w:val="21"/>
              </w:rPr>
            </w:pPr>
            <w:r>
              <w:rPr>
                <w:rFonts w:asciiTheme="minorHAnsi" w:hAnsiTheme="minorHAnsi" w:eastAsiaTheme="minorEastAsia"/>
                <w:sz w:val="21"/>
              </w:rPr>
              <w:t>1</w:t>
            </w:r>
          </w:p>
        </w:tc>
        <w:tc>
          <w:tcPr>
            <w:tcW w:w="1262" w:type="dxa"/>
            <w:vAlign w:val="center"/>
          </w:tcPr>
          <w:p>
            <w:pPr>
              <w:pStyle w:val="32"/>
              <w:spacing w:before="1"/>
              <w:ind w:right="51" w:firstLine="0" w:firstLineChars="0"/>
              <w:rPr>
                <w:rFonts w:asciiTheme="minorHAnsi" w:hAnsiTheme="minorHAnsi" w:eastAsiaTheme="minorEastAsia"/>
                <w:sz w:val="21"/>
              </w:rPr>
            </w:pPr>
            <w:r>
              <w:rPr>
                <w:rFonts w:asciiTheme="minorHAnsi" w:hAnsiTheme="minorHAnsi" w:eastAsiaTheme="minorEastAsia"/>
                <w:sz w:val="21"/>
              </w:rPr>
              <w:t>1.5</w:t>
            </w:r>
          </w:p>
        </w:tc>
        <w:tc>
          <w:tcPr>
            <w:tcW w:w="1176" w:type="dxa"/>
            <w:vAlign w:val="center"/>
          </w:tcPr>
          <w:p>
            <w:pPr>
              <w:pStyle w:val="32"/>
              <w:spacing w:before="1"/>
              <w:ind w:right="8" w:firstLine="0" w:firstLineChars="0"/>
              <w:rPr>
                <w:rFonts w:asciiTheme="minorHAnsi" w:hAnsiTheme="minorHAnsi" w:eastAsiaTheme="minorEastAsia"/>
                <w:sz w:val="21"/>
              </w:rPr>
            </w:pPr>
            <w:r>
              <w:rPr>
                <w:rFonts w:asciiTheme="minorHAnsi" w:hAnsiTheme="minorHAnsi" w:eastAsiaTheme="minorEastAsia"/>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590" w:type="dxa"/>
            <w:vAlign w:val="center"/>
          </w:tcPr>
          <w:p>
            <w:pPr>
              <w:pStyle w:val="32"/>
              <w:spacing w:before="1"/>
              <w:ind w:right="56" w:firstLine="0" w:firstLineChars="0"/>
              <w:rPr>
                <w:rFonts w:asciiTheme="minorHAnsi" w:hAnsiTheme="minorHAnsi" w:eastAsiaTheme="minorEastAsia"/>
                <w:sz w:val="21"/>
              </w:rPr>
            </w:pPr>
            <w:r>
              <w:rPr>
                <w:rFonts w:hint="eastAsia" w:asciiTheme="minorHAnsi" w:hAnsiTheme="minorHAnsi" w:eastAsiaTheme="minorEastAsia"/>
                <w:sz w:val="21"/>
                <w:lang w:eastAsia="zh-CN"/>
              </w:rPr>
              <w:t>1</w:t>
            </w:r>
            <w:r>
              <w:rPr>
                <w:rFonts w:asciiTheme="minorHAnsi" w:hAnsiTheme="minorHAnsi" w:eastAsiaTheme="minorEastAsia"/>
                <w:sz w:val="21"/>
              </w:rPr>
              <w:t>2</w:t>
            </w:r>
          </w:p>
        </w:tc>
        <w:tc>
          <w:tcPr>
            <w:tcW w:w="2127" w:type="dxa"/>
            <w:vAlign w:val="center"/>
          </w:tcPr>
          <w:p>
            <w:pPr>
              <w:pStyle w:val="32"/>
              <w:spacing w:before="197" w:line="267" w:lineRule="exact"/>
              <w:ind w:firstLine="0" w:firstLineChars="0"/>
              <w:rPr>
                <w:rFonts w:asciiTheme="minorHAnsi" w:hAnsiTheme="minorHAnsi" w:eastAsiaTheme="minorEastAsia"/>
                <w:sz w:val="21"/>
              </w:rPr>
            </w:pPr>
            <w:r>
              <w:rPr>
                <w:rFonts w:hint="eastAsia" w:asciiTheme="minorHAnsi" w:hAnsiTheme="minorHAnsi" w:eastAsiaTheme="minorEastAsia"/>
                <w:sz w:val="21"/>
              </w:rPr>
              <w:t>粪大肠杆菌</w:t>
            </w:r>
            <w:r>
              <w:rPr>
                <w:rFonts w:asciiTheme="minorHAnsi" w:hAnsiTheme="minorHAnsi" w:eastAsiaTheme="minorEastAsia"/>
                <w:sz w:val="21"/>
              </w:rPr>
              <w:t>≤</w:t>
            </w:r>
          </w:p>
        </w:tc>
        <w:tc>
          <w:tcPr>
            <w:tcW w:w="984" w:type="dxa"/>
            <w:vAlign w:val="center"/>
          </w:tcPr>
          <w:p>
            <w:pPr>
              <w:pStyle w:val="32"/>
              <w:spacing w:before="1"/>
              <w:ind w:right="33" w:firstLine="0" w:firstLineChars="0"/>
              <w:rPr>
                <w:rFonts w:asciiTheme="minorHAnsi" w:hAnsiTheme="minorHAnsi" w:eastAsiaTheme="minorEastAsia"/>
                <w:sz w:val="21"/>
              </w:rPr>
            </w:pPr>
            <w:r>
              <w:rPr>
                <w:rFonts w:asciiTheme="minorHAnsi" w:hAnsiTheme="minorHAnsi" w:eastAsiaTheme="minorEastAsia"/>
                <w:sz w:val="21"/>
              </w:rPr>
              <w:t>200</w:t>
            </w:r>
          </w:p>
        </w:tc>
        <w:tc>
          <w:tcPr>
            <w:tcW w:w="943" w:type="dxa"/>
            <w:vAlign w:val="center"/>
          </w:tcPr>
          <w:p>
            <w:pPr>
              <w:pStyle w:val="32"/>
              <w:spacing w:before="1"/>
              <w:ind w:right="232" w:firstLineChars="0"/>
              <w:rPr>
                <w:rFonts w:asciiTheme="minorHAnsi" w:hAnsiTheme="minorHAnsi" w:eastAsiaTheme="minorEastAsia"/>
                <w:sz w:val="21"/>
              </w:rPr>
            </w:pPr>
            <w:r>
              <w:rPr>
                <w:rFonts w:asciiTheme="minorHAnsi" w:hAnsiTheme="minorHAnsi" w:eastAsiaTheme="minorEastAsia"/>
                <w:sz w:val="21"/>
              </w:rPr>
              <w:t>2000</w:t>
            </w:r>
          </w:p>
        </w:tc>
        <w:tc>
          <w:tcPr>
            <w:tcW w:w="1279" w:type="dxa"/>
            <w:vAlign w:val="center"/>
          </w:tcPr>
          <w:p>
            <w:pPr>
              <w:pStyle w:val="32"/>
              <w:spacing w:before="1"/>
              <w:ind w:right="59" w:firstLine="0" w:firstLineChars="0"/>
              <w:rPr>
                <w:rFonts w:asciiTheme="minorHAnsi" w:hAnsiTheme="minorHAnsi" w:eastAsiaTheme="minorEastAsia"/>
                <w:sz w:val="21"/>
              </w:rPr>
            </w:pPr>
            <w:r>
              <w:rPr>
                <w:rFonts w:asciiTheme="minorHAnsi" w:hAnsiTheme="minorHAnsi" w:eastAsiaTheme="minorEastAsia"/>
                <w:sz w:val="21"/>
              </w:rPr>
              <w:t>10000</w:t>
            </w:r>
          </w:p>
        </w:tc>
        <w:tc>
          <w:tcPr>
            <w:tcW w:w="1262" w:type="dxa"/>
            <w:vAlign w:val="center"/>
          </w:tcPr>
          <w:p>
            <w:pPr>
              <w:pStyle w:val="32"/>
              <w:spacing w:before="1"/>
              <w:ind w:right="51" w:firstLine="0" w:firstLineChars="0"/>
              <w:rPr>
                <w:rFonts w:asciiTheme="minorHAnsi" w:hAnsiTheme="minorHAnsi" w:eastAsiaTheme="minorEastAsia"/>
                <w:sz w:val="21"/>
              </w:rPr>
            </w:pPr>
            <w:r>
              <w:rPr>
                <w:rFonts w:asciiTheme="minorHAnsi" w:hAnsiTheme="minorHAnsi" w:eastAsiaTheme="minorEastAsia"/>
                <w:sz w:val="21"/>
              </w:rPr>
              <w:t>20000</w:t>
            </w:r>
          </w:p>
        </w:tc>
        <w:tc>
          <w:tcPr>
            <w:tcW w:w="1176" w:type="dxa"/>
            <w:vAlign w:val="center"/>
          </w:tcPr>
          <w:p>
            <w:pPr>
              <w:pStyle w:val="32"/>
              <w:spacing w:before="1"/>
              <w:ind w:right="8" w:firstLine="0" w:firstLineChars="0"/>
              <w:rPr>
                <w:rFonts w:asciiTheme="minorHAnsi" w:hAnsiTheme="minorHAnsi" w:eastAsiaTheme="minorEastAsia"/>
                <w:sz w:val="21"/>
              </w:rPr>
            </w:pPr>
            <w:r>
              <w:rPr>
                <w:rFonts w:asciiTheme="minorHAnsi" w:hAnsiTheme="minorHAnsi" w:eastAsiaTheme="minorEastAsia"/>
                <w:sz w:val="21"/>
              </w:rPr>
              <w:t>40000</w:t>
            </w:r>
          </w:p>
        </w:tc>
      </w:tr>
    </w:tbl>
    <w:p>
      <w:pPr>
        <w:ind w:firstLine="0" w:firstLineChars="0"/>
      </w:pPr>
      <w:r>
        <w:rPr>
          <w:rFonts w:hint="eastAsia"/>
        </w:rPr>
        <w:t>（3</w:t>
      </w:r>
      <w:r>
        <w:t>）</w:t>
      </w:r>
      <w:r>
        <w:rPr>
          <w:rFonts w:hint="eastAsia"/>
        </w:rPr>
        <w:t>补充调查监测成果评价</w:t>
      </w:r>
    </w:p>
    <w:p>
      <w:pPr>
        <w:ind w:firstLine="480"/>
      </w:pPr>
      <w:r>
        <w:t>依照《地表水环境质量标准》（</w:t>
      </w:r>
      <w:r>
        <w:rPr>
          <w:rFonts w:eastAsia="Times New Roman"/>
        </w:rPr>
        <w:t>GB3838-2002</w:t>
      </w:r>
      <w:r>
        <w:t xml:space="preserve">），采用单因子评价法对水功能区水质进行评价，各因子具体标准值见表 </w:t>
      </w:r>
      <w:r>
        <w:rPr>
          <w:rFonts w:eastAsia="Times New Roman"/>
        </w:rPr>
        <w:t>3.3-</w:t>
      </w:r>
      <w:r>
        <w:rPr>
          <w:rFonts w:hint="eastAsia" w:eastAsiaTheme="minorEastAsia"/>
        </w:rPr>
        <w:t>7</w:t>
      </w:r>
      <w:r>
        <w:t xml:space="preserve">，评价结果见表 </w:t>
      </w:r>
      <w:r>
        <w:rPr>
          <w:rFonts w:eastAsia="Times New Roman"/>
        </w:rPr>
        <w:t>3.3-</w:t>
      </w:r>
      <w:r>
        <w:rPr>
          <w:rFonts w:hint="eastAsia" w:eastAsiaTheme="minorEastAsia"/>
        </w:rPr>
        <w:t>8</w:t>
      </w:r>
      <w:r>
        <w:t>。</w:t>
      </w:r>
    </w:p>
    <w:p>
      <w:pPr>
        <w:ind w:firstLine="480"/>
      </w:pPr>
      <w:r>
        <w:t>就此次</w:t>
      </w:r>
      <w:r>
        <w:rPr>
          <w:rFonts w:hint="eastAsia"/>
        </w:rPr>
        <w:t>补充</w:t>
      </w:r>
      <w:r>
        <w:t>调查监测结果来看，</w:t>
      </w:r>
      <w:r>
        <w:rPr>
          <w:rFonts w:hint="eastAsia"/>
        </w:rPr>
        <w:t>盖家川</w:t>
      </w:r>
      <w:r>
        <w:t>整体水质较</w:t>
      </w:r>
      <w:r>
        <w:rPr>
          <w:rFonts w:hint="eastAsia"/>
        </w:rPr>
        <w:t>好</w:t>
      </w:r>
      <w:r>
        <w:t>，</w:t>
      </w:r>
      <w:r>
        <w:rPr>
          <w:rFonts w:hint="eastAsia"/>
        </w:rPr>
        <w:t>能够满足</w:t>
      </w:r>
      <w:r>
        <w:rPr>
          <w:rFonts w:hint="eastAsia" w:ascii="宋体" w:hAnsi="宋体"/>
        </w:rPr>
        <w:t>Ⅲ</w:t>
      </w:r>
      <w:r>
        <w:rPr>
          <w:rFonts w:eastAsia="Times New Roman"/>
        </w:rPr>
        <w:t xml:space="preserve"> </w:t>
      </w:r>
      <w:r>
        <w:t>类</w:t>
      </w:r>
      <w:r>
        <w:rPr>
          <w:rFonts w:hint="eastAsia"/>
        </w:rPr>
        <w:t>标准</w:t>
      </w:r>
      <w:r>
        <w:t>。</w:t>
      </w:r>
    </w:p>
    <w:p>
      <w:pPr>
        <w:tabs>
          <w:tab w:val="left" w:pos="3134"/>
        </w:tabs>
        <w:spacing w:line="240" w:lineRule="auto"/>
        <w:ind w:firstLine="0" w:firstLineChars="0"/>
        <w:rPr>
          <w:b/>
          <w:sz w:val="21"/>
        </w:rPr>
        <w:sectPr>
          <w:pgSz w:w="11910" w:h="16840"/>
          <w:pgMar w:top="1661" w:right="1321" w:bottom="1361" w:left="1338" w:header="1086" w:footer="1164" w:gutter="0"/>
          <w:cols w:space="720" w:num="1"/>
        </w:sectPr>
      </w:pPr>
    </w:p>
    <w:p>
      <w:pPr>
        <w:tabs>
          <w:tab w:val="left" w:pos="3134"/>
        </w:tabs>
        <w:spacing w:line="240" w:lineRule="auto"/>
        <w:ind w:firstLine="0" w:firstLineChars="0"/>
        <w:rPr>
          <w:b/>
          <w:sz w:val="21"/>
        </w:rPr>
      </w:pPr>
    </w:p>
    <w:p>
      <w:pPr>
        <w:tabs>
          <w:tab w:val="left" w:pos="3134"/>
        </w:tabs>
        <w:spacing w:line="240" w:lineRule="auto"/>
        <w:ind w:firstLine="0" w:firstLineChars="0"/>
        <w:jc w:val="center"/>
        <w:rPr>
          <w:b/>
          <w:sz w:val="21"/>
        </w:rPr>
      </w:pPr>
      <w:r>
        <w:rPr>
          <w:b/>
          <w:sz w:val="21"/>
        </w:rPr>
        <w:t>表</w:t>
      </w:r>
      <w:r>
        <w:rPr>
          <w:b/>
          <w:spacing w:val="-52"/>
          <w:sz w:val="21"/>
        </w:rPr>
        <w:t xml:space="preserve"> </w:t>
      </w:r>
      <w:r>
        <w:rPr>
          <w:rFonts w:eastAsia="Times New Roman"/>
          <w:b/>
          <w:sz w:val="21"/>
        </w:rPr>
        <w:t>3.3-</w:t>
      </w:r>
      <w:r>
        <w:rPr>
          <w:rFonts w:hint="eastAsia" w:eastAsiaTheme="minorEastAsia"/>
          <w:b/>
          <w:sz w:val="21"/>
        </w:rPr>
        <w:t xml:space="preserve">8    </w:t>
      </w:r>
      <w:r>
        <w:rPr>
          <w:b/>
          <w:sz w:val="21"/>
        </w:rPr>
        <w:t>地表水环境质量标</w:t>
      </w:r>
      <w:r>
        <w:rPr>
          <w:b/>
          <w:spacing w:val="-3"/>
          <w:sz w:val="21"/>
        </w:rPr>
        <w:t>准</w:t>
      </w:r>
      <w:r>
        <w:rPr>
          <w:b/>
          <w:sz w:val="21"/>
        </w:rPr>
        <w:t>基本项目补充监测</w:t>
      </w:r>
      <w:r>
        <w:rPr>
          <w:b/>
          <w:spacing w:val="-3"/>
          <w:sz w:val="21"/>
        </w:rPr>
        <w:t>结</w:t>
      </w:r>
      <w:r>
        <w:rPr>
          <w:b/>
          <w:sz w:val="21"/>
        </w:rPr>
        <w:t>果</w:t>
      </w:r>
    </w:p>
    <w:p>
      <w:pPr>
        <w:pStyle w:val="7"/>
        <w:spacing w:before="6"/>
        <w:ind w:firstLine="161"/>
        <w:rPr>
          <w:b/>
          <w:sz w:val="8"/>
        </w:rPr>
      </w:pPr>
    </w:p>
    <w:tbl>
      <w:tblPr>
        <w:tblStyle w:val="31"/>
        <w:tblW w:w="86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6"/>
        <w:gridCol w:w="709"/>
        <w:gridCol w:w="1134"/>
        <w:gridCol w:w="1134"/>
        <w:gridCol w:w="709"/>
        <w:gridCol w:w="1134"/>
        <w:gridCol w:w="708"/>
        <w:gridCol w:w="1134"/>
        <w:gridCol w:w="7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1296" w:type="dxa"/>
            <w:vMerge w:val="restart"/>
            <w:vAlign w:val="center"/>
          </w:tcPr>
          <w:p>
            <w:pPr>
              <w:pStyle w:val="32"/>
              <w:spacing w:before="152" w:line="240" w:lineRule="auto"/>
              <w:ind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监测项目</w:t>
            </w:r>
          </w:p>
        </w:tc>
        <w:tc>
          <w:tcPr>
            <w:tcW w:w="709" w:type="dxa"/>
            <w:vMerge w:val="restart"/>
            <w:vAlign w:val="center"/>
          </w:tcPr>
          <w:p>
            <w:pPr>
              <w:pStyle w:val="32"/>
              <w:spacing w:before="152" w:line="240" w:lineRule="auto"/>
              <w:ind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单位</w:t>
            </w:r>
          </w:p>
        </w:tc>
        <w:tc>
          <w:tcPr>
            <w:tcW w:w="1134" w:type="dxa"/>
            <w:vMerge w:val="restart"/>
            <w:vAlign w:val="center"/>
          </w:tcPr>
          <w:p>
            <w:pPr>
              <w:pStyle w:val="32"/>
              <w:spacing w:before="174" w:line="240" w:lineRule="auto"/>
              <w:ind w:left="19" w:right="1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标准限值</w:t>
            </w:r>
          </w:p>
          <w:p>
            <w:pPr>
              <w:pStyle w:val="32"/>
              <w:spacing w:line="240" w:lineRule="auto"/>
              <w:ind w:right="11" w:firstLine="0" w:firstLineChars="0"/>
              <w:rPr>
                <w:rFonts w:cs="Times New Roman" w:asciiTheme="minorHAnsi" w:hAnsiTheme="minorHAnsi" w:eastAsiaTheme="minorEastAsia"/>
                <w:sz w:val="21"/>
              </w:rPr>
            </w:pPr>
            <w:r>
              <w:rPr>
                <w:rFonts w:cs="Times New Roman" w:asciiTheme="minorHAnsi" w:hAnsiTheme="minorHAnsi" w:eastAsiaTheme="minorEastAsia"/>
                <w:position w:val="1"/>
                <w:sz w:val="21"/>
              </w:rPr>
              <w:t>(</w:t>
            </w:r>
            <w:r>
              <w:rPr>
                <w:rFonts w:hint="eastAsia" w:ascii="宋体" w:hAnsi="宋体" w:eastAsiaTheme="minorEastAsia"/>
                <w:szCs w:val="24"/>
              </w:rPr>
              <w:t>Ⅲ</w:t>
            </w:r>
            <w:r>
              <w:rPr>
                <w:rFonts w:cs="Times New Roman" w:asciiTheme="minorHAnsi" w:hAnsiTheme="minorHAnsi" w:eastAsiaTheme="minorEastAsia"/>
                <w:sz w:val="21"/>
              </w:rPr>
              <w:t>类</w:t>
            </w:r>
            <w:r>
              <w:rPr>
                <w:rFonts w:cs="Times New Roman" w:asciiTheme="minorHAnsi" w:hAnsiTheme="minorHAnsi" w:eastAsiaTheme="minorEastAsia"/>
                <w:position w:val="1"/>
                <w:sz w:val="21"/>
              </w:rPr>
              <w:t>)</w:t>
            </w:r>
          </w:p>
        </w:tc>
        <w:tc>
          <w:tcPr>
            <w:tcW w:w="5528" w:type="dxa"/>
            <w:gridSpan w:val="6"/>
            <w:vAlign w:val="center"/>
          </w:tcPr>
          <w:p>
            <w:pPr>
              <w:pStyle w:val="32"/>
              <w:spacing w:before="135" w:line="240" w:lineRule="auto"/>
              <w:ind w:firstLine="228" w:firstLineChars="95"/>
              <w:rPr>
                <w:rFonts w:cs="Times New Roman" w:asciiTheme="minorHAnsi" w:hAnsiTheme="minorHAnsi" w:eastAsiaTheme="minorEastAsia"/>
                <w:position w:val="1"/>
                <w:sz w:val="21"/>
              </w:rPr>
            </w:pPr>
            <w:r>
              <w:rPr>
                <w:rFonts w:cs="Times New Roman" w:asciiTheme="minorHAnsi" w:hAnsiTheme="minorHAnsi" w:eastAsiaTheme="minorEastAsia"/>
                <w:color w:val="000000"/>
                <w:szCs w:val="21"/>
              </w:rPr>
              <w:t>项目上游500m处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1296" w:type="dxa"/>
            <w:vMerge w:val="continue"/>
            <w:vAlign w:val="center"/>
          </w:tcPr>
          <w:p>
            <w:pPr>
              <w:pStyle w:val="32"/>
              <w:spacing w:line="240" w:lineRule="auto"/>
              <w:ind w:firstLine="402"/>
              <w:rPr>
                <w:rFonts w:cs="Times New Roman" w:asciiTheme="minorHAnsi" w:hAnsiTheme="minorHAnsi" w:eastAsiaTheme="minorEastAsia"/>
                <w:b/>
                <w:sz w:val="20"/>
                <w:lang w:eastAsia="zh-CN"/>
              </w:rPr>
            </w:pPr>
          </w:p>
        </w:tc>
        <w:tc>
          <w:tcPr>
            <w:tcW w:w="709" w:type="dxa"/>
            <w:vMerge w:val="continue"/>
            <w:vAlign w:val="center"/>
          </w:tcPr>
          <w:p>
            <w:pPr>
              <w:pStyle w:val="32"/>
              <w:spacing w:line="240" w:lineRule="auto"/>
              <w:ind w:firstLine="0" w:firstLineChars="0"/>
              <w:rPr>
                <w:rFonts w:cs="Times New Roman" w:asciiTheme="minorHAnsi" w:hAnsiTheme="minorHAnsi" w:eastAsiaTheme="minorEastAsia"/>
                <w:b/>
                <w:sz w:val="20"/>
                <w:lang w:eastAsia="zh-CN"/>
              </w:rPr>
            </w:pPr>
          </w:p>
        </w:tc>
        <w:tc>
          <w:tcPr>
            <w:tcW w:w="1134" w:type="dxa"/>
            <w:vMerge w:val="continue"/>
            <w:vAlign w:val="center"/>
          </w:tcPr>
          <w:p>
            <w:pPr>
              <w:pStyle w:val="32"/>
              <w:spacing w:before="174" w:line="240" w:lineRule="auto"/>
              <w:ind w:left="19" w:right="11" w:firstLine="0" w:firstLineChars="0"/>
              <w:rPr>
                <w:rFonts w:cs="Times New Roman" w:asciiTheme="minorHAnsi" w:hAnsiTheme="minorHAnsi" w:eastAsiaTheme="minorEastAsia"/>
                <w:sz w:val="21"/>
              </w:rPr>
            </w:pPr>
          </w:p>
        </w:tc>
        <w:tc>
          <w:tcPr>
            <w:tcW w:w="1843" w:type="dxa"/>
            <w:gridSpan w:val="2"/>
            <w:vAlign w:val="center"/>
          </w:tcPr>
          <w:p>
            <w:pPr>
              <w:pStyle w:val="32"/>
              <w:spacing w:before="135" w:line="240" w:lineRule="auto"/>
              <w:ind w:firstLine="199" w:firstLineChars="95"/>
              <w:rPr>
                <w:rFonts w:cs="Times New Roman" w:asciiTheme="minorHAnsi" w:hAnsiTheme="minorHAnsi" w:eastAsiaTheme="minorEastAsia"/>
                <w:sz w:val="21"/>
              </w:rPr>
            </w:pPr>
            <w:r>
              <w:rPr>
                <w:rFonts w:cs="Times New Roman" w:asciiTheme="minorHAnsi" w:hAnsiTheme="minorHAnsi" w:eastAsiaTheme="minorEastAsia"/>
                <w:position w:val="1"/>
                <w:sz w:val="21"/>
              </w:rPr>
              <w:t>20</w:t>
            </w:r>
            <w:r>
              <w:rPr>
                <w:rFonts w:cs="Times New Roman" w:asciiTheme="minorHAnsi" w:hAnsiTheme="minorHAnsi" w:eastAsiaTheme="minorEastAsia"/>
                <w:position w:val="1"/>
                <w:sz w:val="21"/>
                <w:lang w:eastAsia="zh-CN"/>
              </w:rPr>
              <w:t>18</w:t>
            </w:r>
            <w:r>
              <w:rPr>
                <w:rFonts w:cs="Times New Roman" w:asciiTheme="minorHAnsi" w:hAnsiTheme="minorHAnsi" w:eastAsiaTheme="minorEastAsia"/>
                <w:sz w:val="21"/>
              </w:rPr>
              <w:t>年</w:t>
            </w:r>
            <w:r>
              <w:rPr>
                <w:rFonts w:cs="Times New Roman" w:asciiTheme="minorHAnsi" w:hAnsiTheme="minorHAnsi" w:eastAsiaTheme="minorEastAsia"/>
                <w:position w:val="1"/>
                <w:sz w:val="21"/>
                <w:lang w:eastAsia="zh-CN"/>
              </w:rPr>
              <w:t>5</w:t>
            </w:r>
            <w:r>
              <w:rPr>
                <w:rFonts w:cs="Times New Roman" w:asciiTheme="minorHAnsi" w:hAnsiTheme="minorHAnsi" w:eastAsiaTheme="minorEastAsia"/>
                <w:sz w:val="21"/>
              </w:rPr>
              <w:t>月</w:t>
            </w:r>
            <w:r>
              <w:rPr>
                <w:rFonts w:cs="Times New Roman" w:asciiTheme="minorHAnsi" w:hAnsiTheme="minorHAnsi" w:eastAsiaTheme="minorEastAsia"/>
                <w:position w:val="1"/>
                <w:sz w:val="21"/>
                <w:lang w:eastAsia="zh-CN"/>
              </w:rPr>
              <w:t>30</w:t>
            </w:r>
            <w:r>
              <w:rPr>
                <w:rFonts w:cs="Times New Roman" w:asciiTheme="minorHAnsi" w:hAnsiTheme="minorHAnsi" w:eastAsiaTheme="minorEastAsia"/>
                <w:sz w:val="21"/>
              </w:rPr>
              <w:t>日</w:t>
            </w:r>
          </w:p>
        </w:tc>
        <w:tc>
          <w:tcPr>
            <w:tcW w:w="1842" w:type="dxa"/>
            <w:gridSpan w:val="2"/>
            <w:vAlign w:val="center"/>
          </w:tcPr>
          <w:p>
            <w:pPr>
              <w:pStyle w:val="32"/>
              <w:spacing w:before="135" w:line="240" w:lineRule="auto"/>
              <w:ind w:firstLine="199" w:firstLineChars="95"/>
              <w:rPr>
                <w:rFonts w:cs="Times New Roman" w:asciiTheme="minorHAnsi" w:hAnsiTheme="minorHAnsi" w:eastAsiaTheme="minorEastAsia"/>
                <w:sz w:val="21"/>
              </w:rPr>
            </w:pPr>
            <w:r>
              <w:rPr>
                <w:rFonts w:cs="Times New Roman" w:asciiTheme="minorHAnsi" w:hAnsiTheme="minorHAnsi" w:eastAsiaTheme="minorEastAsia"/>
                <w:position w:val="1"/>
                <w:sz w:val="21"/>
              </w:rPr>
              <w:t>20</w:t>
            </w:r>
            <w:r>
              <w:rPr>
                <w:rFonts w:cs="Times New Roman" w:asciiTheme="minorHAnsi" w:hAnsiTheme="minorHAnsi" w:eastAsiaTheme="minorEastAsia"/>
                <w:position w:val="1"/>
                <w:sz w:val="21"/>
                <w:lang w:eastAsia="zh-CN"/>
              </w:rPr>
              <w:t>18</w:t>
            </w:r>
            <w:r>
              <w:rPr>
                <w:rFonts w:cs="Times New Roman" w:asciiTheme="minorHAnsi" w:hAnsiTheme="minorHAnsi" w:eastAsiaTheme="minorEastAsia"/>
                <w:sz w:val="21"/>
              </w:rPr>
              <w:t>年</w:t>
            </w:r>
            <w:r>
              <w:rPr>
                <w:rFonts w:cs="Times New Roman" w:asciiTheme="minorHAnsi" w:hAnsiTheme="minorHAnsi" w:eastAsiaTheme="minorEastAsia"/>
                <w:position w:val="1"/>
                <w:sz w:val="21"/>
                <w:lang w:eastAsia="zh-CN"/>
              </w:rPr>
              <w:t>5</w:t>
            </w:r>
            <w:r>
              <w:rPr>
                <w:rFonts w:cs="Times New Roman" w:asciiTheme="minorHAnsi" w:hAnsiTheme="minorHAnsi" w:eastAsiaTheme="minorEastAsia"/>
                <w:sz w:val="21"/>
              </w:rPr>
              <w:t>月</w:t>
            </w:r>
            <w:r>
              <w:rPr>
                <w:rFonts w:cs="Times New Roman" w:asciiTheme="minorHAnsi" w:hAnsiTheme="minorHAnsi" w:eastAsiaTheme="minorEastAsia"/>
                <w:position w:val="1"/>
                <w:sz w:val="21"/>
                <w:lang w:eastAsia="zh-CN"/>
              </w:rPr>
              <w:t>31</w:t>
            </w:r>
            <w:r>
              <w:rPr>
                <w:rFonts w:cs="Times New Roman" w:asciiTheme="minorHAnsi" w:hAnsiTheme="minorHAnsi" w:eastAsiaTheme="minorEastAsia"/>
                <w:sz w:val="21"/>
              </w:rPr>
              <w:t>日</w:t>
            </w:r>
          </w:p>
        </w:tc>
        <w:tc>
          <w:tcPr>
            <w:tcW w:w="1843" w:type="dxa"/>
            <w:gridSpan w:val="2"/>
            <w:vAlign w:val="center"/>
          </w:tcPr>
          <w:p>
            <w:pPr>
              <w:pStyle w:val="32"/>
              <w:spacing w:before="135" w:line="240" w:lineRule="auto"/>
              <w:ind w:firstLine="199" w:firstLineChars="95"/>
              <w:rPr>
                <w:rFonts w:cs="Times New Roman" w:asciiTheme="minorHAnsi" w:hAnsiTheme="minorHAnsi" w:eastAsiaTheme="minorEastAsia"/>
                <w:position w:val="1"/>
                <w:sz w:val="21"/>
              </w:rPr>
            </w:pPr>
            <w:r>
              <w:rPr>
                <w:rFonts w:cs="Times New Roman" w:asciiTheme="minorHAnsi" w:hAnsiTheme="minorHAnsi" w:eastAsiaTheme="minorEastAsia"/>
                <w:position w:val="1"/>
                <w:sz w:val="21"/>
              </w:rPr>
              <w:t>20</w:t>
            </w:r>
            <w:r>
              <w:rPr>
                <w:rFonts w:cs="Times New Roman" w:asciiTheme="minorHAnsi" w:hAnsiTheme="minorHAnsi" w:eastAsiaTheme="minorEastAsia"/>
                <w:position w:val="1"/>
                <w:sz w:val="21"/>
                <w:lang w:eastAsia="zh-CN"/>
              </w:rPr>
              <w:t>18</w:t>
            </w:r>
            <w:r>
              <w:rPr>
                <w:rFonts w:cs="Times New Roman" w:asciiTheme="minorHAnsi" w:hAnsiTheme="minorHAnsi" w:eastAsiaTheme="minorEastAsia"/>
                <w:position w:val="1"/>
                <w:sz w:val="21"/>
              </w:rPr>
              <w:t>年</w:t>
            </w:r>
            <w:r>
              <w:rPr>
                <w:rFonts w:cs="Times New Roman" w:asciiTheme="minorHAnsi" w:hAnsiTheme="minorHAnsi" w:eastAsiaTheme="minorEastAsia"/>
                <w:position w:val="1"/>
                <w:sz w:val="21"/>
                <w:lang w:eastAsia="zh-CN"/>
              </w:rPr>
              <w:t>6</w:t>
            </w:r>
            <w:r>
              <w:rPr>
                <w:rFonts w:cs="Times New Roman" w:asciiTheme="minorHAnsi" w:hAnsiTheme="minorHAnsi" w:eastAsiaTheme="minorEastAsia"/>
                <w:position w:val="1"/>
                <w:sz w:val="21"/>
              </w:rPr>
              <w:t>月</w:t>
            </w:r>
            <w:r>
              <w:rPr>
                <w:rFonts w:cs="Times New Roman" w:asciiTheme="minorHAnsi" w:hAnsiTheme="minorHAnsi" w:eastAsiaTheme="minorEastAsia"/>
                <w:position w:val="1"/>
                <w:sz w:val="21"/>
                <w:lang w:eastAsia="zh-CN"/>
              </w:rPr>
              <w:t>1</w:t>
            </w:r>
            <w:r>
              <w:rPr>
                <w:rFonts w:cs="Times New Roman" w:asciiTheme="minorHAnsi" w:hAnsiTheme="minorHAnsi" w:eastAsiaTheme="minorEastAsia"/>
                <w:position w:val="1"/>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1296" w:type="dxa"/>
            <w:vMerge w:val="continue"/>
            <w:tcBorders>
              <w:top w:val="nil"/>
            </w:tcBorders>
            <w:vAlign w:val="center"/>
          </w:tcPr>
          <w:p>
            <w:pPr>
              <w:spacing w:line="240" w:lineRule="auto"/>
              <w:ind w:firstLine="40"/>
              <w:jc w:val="center"/>
              <w:rPr>
                <w:rFonts w:cs="Times New Roman" w:asciiTheme="minorHAnsi" w:hAnsiTheme="minorHAnsi" w:eastAsiaTheme="minorEastAsia"/>
                <w:sz w:val="2"/>
                <w:szCs w:val="2"/>
                <w:lang w:eastAsia="en-US"/>
              </w:rPr>
            </w:pPr>
          </w:p>
        </w:tc>
        <w:tc>
          <w:tcPr>
            <w:tcW w:w="709" w:type="dxa"/>
            <w:vMerge w:val="continue"/>
            <w:tcBorders>
              <w:top w:val="nil"/>
            </w:tcBorders>
            <w:vAlign w:val="center"/>
          </w:tcPr>
          <w:p>
            <w:pPr>
              <w:spacing w:line="240" w:lineRule="auto"/>
              <w:ind w:firstLine="40"/>
              <w:jc w:val="center"/>
              <w:rPr>
                <w:rFonts w:cs="Times New Roman" w:asciiTheme="minorHAnsi" w:hAnsiTheme="minorHAnsi" w:eastAsiaTheme="minorEastAsia"/>
                <w:sz w:val="2"/>
                <w:szCs w:val="2"/>
                <w:lang w:eastAsia="en-US"/>
              </w:rPr>
            </w:pPr>
          </w:p>
        </w:tc>
        <w:tc>
          <w:tcPr>
            <w:tcW w:w="1134" w:type="dxa"/>
            <w:vMerge w:val="continue"/>
            <w:tcBorders>
              <w:top w:val="nil"/>
            </w:tcBorders>
            <w:vAlign w:val="center"/>
          </w:tcPr>
          <w:p>
            <w:pPr>
              <w:spacing w:line="240" w:lineRule="auto"/>
              <w:ind w:firstLine="40"/>
              <w:jc w:val="center"/>
              <w:rPr>
                <w:rFonts w:cs="Times New Roman" w:asciiTheme="minorHAnsi" w:hAnsiTheme="minorHAnsi" w:eastAsiaTheme="minorEastAsia"/>
                <w:sz w:val="2"/>
                <w:szCs w:val="2"/>
                <w:lang w:eastAsia="en-US"/>
              </w:rPr>
            </w:pPr>
          </w:p>
        </w:tc>
        <w:tc>
          <w:tcPr>
            <w:tcW w:w="1134" w:type="dxa"/>
            <w:vAlign w:val="center"/>
          </w:tcPr>
          <w:p>
            <w:pPr>
              <w:pStyle w:val="32"/>
              <w:spacing w:before="145" w:line="240" w:lineRule="auto"/>
              <w:ind w:left="40" w:right="36"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rPr>
              <w:t>实测数据</w:t>
            </w:r>
          </w:p>
          <w:p>
            <w:pPr>
              <w:pStyle w:val="32"/>
              <w:spacing w:before="145" w:line="240" w:lineRule="auto"/>
              <w:ind w:left="40" w:right="36"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w:t>
            </w:r>
            <w:r>
              <w:rPr>
                <w:rFonts w:cs="Times New Roman" w:asciiTheme="minorHAnsi" w:hAnsiTheme="minorHAnsi" w:eastAsiaTheme="minorEastAsia"/>
                <w:position w:val="1"/>
                <w:sz w:val="21"/>
              </w:rPr>
              <w:t>mg/L</w:t>
            </w:r>
            <w:r>
              <w:rPr>
                <w:rFonts w:cs="Times New Roman" w:asciiTheme="minorHAnsi" w:hAnsiTheme="minorHAnsi" w:eastAsiaTheme="minorEastAsia"/>
                <w:sz w:val="21"/>
              </w:rPr>
              <w:t>）</w:t>
            </w:r>
          </w:p>
        </w:tc>
        <w:tc>
          <w:tcPr>
            <w:tcW w:w="709" w:type="dxa"/>
            <w:vAlign w:val="center"/>
          </w:tcPr>
          <w:p>
            <w:pPr>
              <w:pStyle w:val="32"/>
              <w:spacing w:before="145" w:line="240" w:lineRule="auto"/>
              <w:ind w:left="11" w:right="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类别</w:t>
            </w:r>
          </w:p>
        </w:tc>
        <w:tc>
          <w:tcPr>
            <w:tcW w:w="1134" w:type="dxa"/>
            <w:vAlign w:val="center"/>
          </w:tcPr>
          <w:p>
            <w:pPr>
              <w:pStyle w:val="32"/>
              <w:spacing w:before="145" w:line="240" w:lineRule="auto"/>
              <w:ind w:left="43" w:right="36"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rPr>
              <w:t>实测数据</w:t>
            </w:r>
          </w:p>
          <w:p>
            <w:pPr>
              <w:pStyle w:val="32"/>
              <w:spacing w:before="145" w:line="240" w:lineRule="auto"/>
              <w:ind w:left="43" w:right="36"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w:t>
            </w:r>
            <w:r>
              <w:rPr>
                <w:rFonts w:cs="Times New Roman" w:asciiTheme="minorHAnsi" w:hAnsiTheme="minorHAnsi" w:eastAsiaTheme="minorEastAsia"/>
                <w:position w:val="1"/>
                <w:sz w:val="21"/>
              </w:rPr>
              <w:t>mg/L</w:t>
            </w:r>
            <w:r>
              <w:rPr>
                <w:rFonts w:cs="Times New Roman" w:asciiTheme="minorHAnsi" w:hAnsiTheme="minorHAnsi" w:eastAsiaTheme="minorEastAsia"/>
                <w:sz w:val="21"/>
              </w:rPr>
              <w:t>）</w:t>
            </w:r>
          </w:p>
        </w:tc>
        <w:tc>
          <w:tcPr>
            <w:tcW w:w="708" w:type="dxa"/>
            <w:vAlign w:val="center"/>
          </w:tcPr>
          <w:p>
            <w:pPr>
              <w:pStyle w:val="32"/>
              <w:spacing w:before="145" w:line="240" w:lineRule="auto"/>
              <w:ind w:left="13"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类别</w:t>
            </w:r>
          </w:p>
        </w:tc>
        <w:tc>
          <w:tcPr>
            <w:tcW w:w="1134" w:type="dxa"/>
            <w:vAlign w:val="center"/>
          </w:tcPr>
          <w:p>
            <w:pPr>
              <w:pStyle w:val="32"/>
              <w:spacing w:before="145" w:line="240" w:lineRule="auto"/>
              <w:ind w:left="13" w:right="5"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实测数据</w:t>
            </w:r>
          </w:p>
          <w:p>
            <w:pPr>
              <w:pStyle w:val="32"/>
              <w:spacing w:before="145" w:line="240" w:lineRule="auto"/>
              <w:ind w:left="13" w:right="5"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（mg/L）</w:t>
            </w:r>
          </w:p>
        </w:tc>
        <w:tc>
          <w:tcPr>
            <w:tcW w:w="709" w:type="dxa"/>
            <w:vAlign w:val="center"/>
          </w:tcPr>
          <w:p>
            <w:pPr>
              <w:pStyle w:val="32"/>
              <w:spacing w:before="145" w:line="240" w:lineRule="auto"/>
              <w:ind w:left="13" w:right="5"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1296" w:type="dxa"/>
            <w:vAlign w:val="center"/>
          </w:tcPr>
          <w:p>
            <w:pPr>
              <w:pStyle w:val="32"/>
              <w:spacing w:before="136"/>
              <w:ind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水温</w:t>
            </w:r>
          </w:p>
        </w:tc>
        <w:tc>
          <w:tcPr>
            <w:tcW w:w="709" w:type="dxa"/>
            <w:vAlign w:val="center"/>
          </w:tcPr>
          <w:p>
            <w:pPr>
              <w:pStyle w:val="32"/>
              <w:spacing w:before="133"/>
              <w:ind w:firstLine="0" w:firstLineChars="0"/>
              <w:rPr>
                <w:rFonts w:cs="Times New Roman" w:asciiTheme="minorHAnsi" w:hAnsiTheme="minorHAnsi" w:eastAsiaTheme="minorEastAsia"/>
                <w:sz w:val="21"/>
              </w:rPr>
            </w:pPr>
            <w:r>
              <w:rPr>
                <w:rFonts w:hint="eastAsia" w:ascii="宋体" w:hAnsi="宋体" w:eastAsiaTheme="minorEastAsia"/>
                <w:sz w:val="21"/>
              </w:rPr>
              <w:t>℃</w:t>
            </w:r>
          </w:p>
        </w:tc>
        <w:tc>
          <w:tcPr>
            <w:tcW w:w="1134" w:type="dxa"/>
            <w:vAlign w:val="center"/>
          </w:tcPr>
          <w:p>
            <w:pPr>
              <w:pStyle w:val="32"/>
              <w:spacing w:before="147"/>
              <w:ind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w:t>
            </w:r>
          </w:p>
        </w:tc>
        <w:tc>
          <w:tcPr>
            <w:tcW w:w="1134" w:type="dxa"/>
            <w:vAlign w:val="center"/>
          </w:tcPr>
          <w:p>
            <w:pPr>
              <w:pStyle w:val="32"/>
              <w:spacing w:before="147"/>
              <w:ind w:right="3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16.2</w:t>
            </w:r>
          </w:p>
        </w:tc>
        <w:tc>
          <w:tcPr>
            <w:tcW w:w="709" w:type="dxa"/>
            <w:vAlign w:val="center"/>
          </w:tcPr>
          <w:p>
            <w:pPr>
              <w:pStyle w:val="32"/>
              <w:spacing w:before="147"/>
              <w:ind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w:t>
            </w:r>
          </w:p>
        </w:tc>
        <w:tc>
          <w:tcPr>
            <w:tcW w:w="1134" w:type="dxa"/>
            <w:vAlign w:val="center"/>
          </w:tcPr>
          <w:p>
            <w:pPr>
              <w:pStyle w:val="32"/>
              <w:spacing w:before="147"/>
              <w:ind w:right="32"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15.3</w:t>
            </w:r>
          </w:p>
        </w:tc>
        <w:tc>
          <w:tcPr>
            <w:tcW w:w="708" w:type="dxa"/>
            <w:vAlign w:val="center"/>
          </w:tcPr>
          <w:p>
            <w:pPr>
              <w:pStyle w:val="32"/>
              <w:spacing w:before="147"/>
              <w:ind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w:t>
            </w:r>
          </w:p>
        </w:tc>
        <w:tc>
          <w:tcPr>
            <w:tcW w:w="1134" w:type="dxa"/>
            <w:vAlign w:val="center"/>
          </w:tcPr>
          <w:p>
            <w:pPr>
              <w:pStyle w:val="32"/>
              <w:spacing w:before="147"/>
              <w:ind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17.3</w:t>
            </w:r>
          </w:p>
        </w:tc>
        <w:tc>
          <w:tcPr>
            <w:tcW w:w="709" w:type="dxa"/>
            <w:vAlign w:val="center"/>
          </w:tcPr>
          <w:p>
            <w:pPr>
              <w:pStyle w:val="32"/>
              <w:spacing w:before="147"/>
              <w:ind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296" w:type="dxa"/>
            <w:vAlign w:val="center"/>
          </w:tcPr>
          <w:p>
            <w:pPr>
              <w:pStyle w:val="32"/>
              <w:spacing w:before="135"/>
              <w:ind w:right="2" w:firstLine="0" w:firstLineChars="0"/>
              <w:rPr>
                <w:rFonts w:cs="Times New Roman" w:asciiTheme="minorHAnsi" w:hAnsiTheme="minorHAnsi" w:eastAsiaTheme="minorEastAsia"/>
                <w:sz w:val="21"/>
              </w:rPr>
            </w:pPr>
            <w:r>
              <w:rPr>
                <w:rFonts w:cs="Times New Roman" w:asciiTheme="minorHAnsi" w:hAnsiTheme="minorHAnsi" w:eastAsiaTheme="minorEastAsia"/>
                <w:position w:val="1"/>
                <w:sz w:val="21"/>
              </w:rPr>
              <w:t xml:space="preserve">pH </w:t>
            </w:r>
            <w:r>
              <w:rPr>
                <w:rFonts w:cs="Times New Roman" w:asciiTheme="minorHAnsi" w:hAnsiTheme="minorHAnsi" w:eastAsiaTheme="minorEastAsia"/>
                <w:sz w:val="21"/>
              </w:rPr>
              <w:t>值</w:t>
            </w:r>
          </w:p>
        </w:tc>
        <w:tc>
          <w:tcPr>
            <w:tcW w:w="709" w:type="dxa"/>
            <w:vAlign w:val="center"/>
          </w:tcPr>
          <w:p>
            <w:pPr>
              <w:pStyle w:val="32"/>
              <w:spacing w:before="147"/>
              <w:ind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w:t>
            </w:r>
          </w:p>
        </w:tc>
        <w:tc>
          <w:tcPr>
            <w:tcW w:w="1134" w:type="dxa"/>
            <w:vAlign w:val="center"/>
          </w:tcPr>
          <w:p>
            <w:pPr>
              <w:pStyle w:val="32"/>
              <w:spacing w:before="135"/>
              <w:ind w:right="11" w:firstLine="0" w:firstLineChars="0"/>
              <w:rPr>
                <w:rFonts w:cs="Times New Roman" w:asciiTheme="minorHAnsi" w:hAnsiTheme="minorHAnsi" w:eastAsiaTheme="minorEastAsia"/>
                <w:sz w:val="21"/>
              </w:rPr>
            </w:pPr>
            <w:r>
              <w:rPr>
                <w:rFonts w:cs="Times New Roman" w:asciiTheme="minorHAnsi" w:hAnsiTheme="minorHAnsi" w:eastAsiaTheme="minorEastAsia"/>
                <w:position w:val="1"/>
                <w:sz w:val="21"/>
              </w:rPr>
              <w:t>6</w:t>
            </w:r>
            <w:r>
              <w:rPr>
                <w:rFonts w:cs="Times New Roman" w:asciiTheme="minorHAnsi" w:hAnsiTheme="minorHAnsi" w:eastAsiaTheme="minorEastAsia"/>
                <w:sz w:val="21"/>
              </w:rPr>
              <w:t>～</w:t>
            </w:r>
            <w:r>
              <w:rPr>
                <w:rFonts w:cs="Times New Roman" w:asciiTheme="minorHAnsi" w:hAnsiTheme="minorHAnsi" w:eastAsiaTheme="minorEastAsia"/>
                <w:position w:val="1"/>
                <w:sz w:val="21"/>
              </w:rPr>
              <w:t>9</w:t>
            </w:r>
          </w:p>
        </w:tc>
        <w:tc>
          <w:tcPr>
            <w:tcW w:w="1134" w:type="dxa"/>
            <w:vAlign w:val="center"/>
          </w:tcPr>
          <w:p>
            <w:pPr>
              <w:pStyle w:val="32"/>
              <w:spacing w:before="147"/>
              <w:ind w:right="3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7.71</w:t>
            </w:r>
          </w:p>
        </w:tc>
        <w:tc>
          <w:tcPr>
            <w:tcW w:w="709" w:type="dxa"/>
            <w:vAlign w:val="center"/>
          </w:tcPr>
          <w:p>
            <w:pPr>
              <w:pStyle w:val="32"/>
              <w:spacing w:before="135"/>
              <w:ind w:left="11" w:right="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47"/>
              <w:ind w:right="32"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7.73</w:t>
            </w:r>
          </w:p>
        </w:tc>
        <w:tc>
          <w:tcPr>
            <w:tcW w:w="708" w:type="dxa"/>
            <w:vAlign w:val="center"/>
          </w:tcPr>
          <w:p>
            <w:pPr>
              <w:pStyle w:val="32"/>
              <w:spacing w:before="135"/>
              <w:ind w:left="13"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35"/>
              <w:ind w:right="5"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7.75</w:t>
            </w:r>
          </w:p>
        </w:tc>
        <w:tc>
          <w:tcPr>
            <w:tcW w:w="709" w:type="dxa"/>
            <w:vAlign w:val="center"/>
          </w:tcPr>
          <w:p>
            <w:pPr>
              <w:ind w:firstLine="0" w:firstLineChars="0"/>
              <w:jc w:val="center"/>
              <w:rPr>
                <w:rFonts w:cs="Times New Roman" w:asciiTheme="minorHAnsi" w:hAnsiTheme="minorHAnsi" w:eastAsiaTheme="minorEastAsia"/>
                <w:sz w:val="21"/>
                <w:szCs w:val="21"/>
                <w:lang w:eastAsia="en-US"/>
              </w:rPr>
            </w:pPr>
            <w:r>
              <w:rPr>
                <w:rFonts w:cs="Times New Roman" w:asciiTheme="minorHAnsi" w:hAnsiTheme="minorHAnsi" w:eastAsiaTheme="minorEastAsia"/>
                <w:sz w:val="21"/>
                <w:szCs w:val="21"/>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1296" w:type="dxa"/>
            <w:vAlign w:val="center"/>
          </w:tcPr>
          <w:p>
            <w:pPr>
              <w:pStyle w:val="32"/>
              <w:spacing w:before="135"/>
              <w:ind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溶解氧</w:t>
            </w:r>
          </w:p>
        </w:tc>
        <w:tc>
          <w:tcPr>
            <w:tcW w:w="709" w:type="dxa"/>
            <w:vAlign w:val="center"/>
          </w:tcPr>
          <w:p>
            <w:pPr>
              <w:pStyle w:val="32"/>
              <w:spacing w:before="147"/>
              <w:ind w:right="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mg/L</w:t>
            </w:r>
          </w:p>
        </w:tc>
        <w:tc>
          <w:tcPr>
            <w:tcW w:w="1134" w:type="dxa"/>
            <w:vAlign w:val="center"/>
          </w:tcPr>
          <w:p>
            <w:pPr>
              <w:pStyle w:val="32"/>
              <w:spacing w:before="147"/>
              <w:ind w:right="1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≥5</w:t>
            </w:r>
          </w:p>
        </w:tc>
        <w:tc>
          <w:tcPr>
            <w:tcW w:w="1134" w:type="dxa"/>
            <w:vAlign w:val="center"/>
          </w:tcPr>
          <w:p>
            <w:pPr>
              <w:pStyle w:val="32"/>
              <w:spacing w:before="147"/>
              <w:ind w:right="3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9.6</w:t>
            </w:r>
          </w:p>
        </w:tc>
        <w:tc>
          <w:tcPr>
            <w:tcW w:w="709" w:type="dxa"/>
            <w:vAlign w:val="center"/>
          </w:tcPr>
          <w:p>
            <w:pPr>
              <w:pStyle w:val="32"/>
              <w:spacing w:before="135"/>
              <w:ind w:left="11" w:right="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47"/>
              <w:ind w:right="32"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8.6</w:t>
            </w:r>
          </w:p>
        </w:tc>
        <w:tc>
          <w:tcPr>
            <w:tcW w:w="708" w:type="dxa"/>
            <w:vAlign w:val="center"/>
          </w:tcPr>
          <w:p>
            <w:pPr>
              <w:pStyle w:val="32"/>
              <w:spacing w:before="135"/>
              <w:ind w:left="13"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35"/>
              <w:ind w:right="5"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9.1</w:t>
            </w:r>
          </w:p>
        </w:tc>
        <w:tc>
          <w:tcPr>
            <w:tcW w:w="709" w:type="dxa"/>
            <w:vAlign w:val="center"/>
          </w:tcPr>
          <w:p>
            <w:pPr>
              <w:ind w:firstLine="0" w:firstLineChars="0"/>
              <w:jc w:val="center"/>
              <w:rPr>
                <w:rFonts w:cs="Times New Roman" w:asciiTheme="minorHAnsi" w:hAnsiTheme="minorHAnsi" w:eastAsiaTheme="minorEastAsia"/>
                <w:sz w:val="21"/>
                <w:szCs w:val="21"/>
                <w:lang w:eastAsia="en-US"/>
              </w:rPr>
            </w:pPr>
            <w:r>
              <w:rPr>
                <w:rFonts w:cs="Times New Roman" w:asciiTheme="minorHAnsi" w:hAnsiTheme="minorHAnsi" w:eastAsiaTheme="minorEastAsia"/>
                <w:sz w:val="21"/>
                <w:szCs w:val="21"/>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1296" w:type="dxa"/>
            <w:vAlign w:val="center"/>
          </w:tcPr>
          <w:p>
            <w:pPr>
              <w:pStyle w:val="32"/>
              <w:spacing w:before="135"/>
              <w:ind w:left="14"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高锰酸盐指数</w:t>
            </w:r>
          </w:p>
        </w:tc>
        <w:tc>
          <w:tcPr>
            <w:tcW w:w="709" w:type="dxa"/>
            <w:vAlign w:val="center"/>
          </w:tcPr>
          <w:p>
            <w:pPr>
              <w:pStyle w:val="32"/>
              <w:spacing w:before="147"/>
              <w:ind w:left="5" w:right="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mg/L</w:t>
            </w:r>
          </w:p>
        </w:tc>
        <w:tc>
          <w:tcPr>
            <w:tcW w:w="1134" w:type="dxa"/>
            <w:vAlign w:val="center"/>
          </w:tcPr>
          <w:p>
            <w:pPr>
              <w:pStyle w:val="32"/>
              <w:spacing w:before="147"/>
              <w:ind w:right="1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rPr>
              <w:t>≤</w:t>
            </w:r>
            <w:r>
              <w:rPr>
                <w:rFonts w:cs="Times New Roman" w:asciiTheme="minorHAnsi" w:hAnsiTheme="minorHAnsi" w:eastAsiaTheme="minorEastAsia"/>
                <w:sz w:val="21"/>
                <w:lang w:eastAsia="zh-CN"/>
              </w:rPr>
              <w:t>6</w:t>
            </w:r>
          </w:p>
        </w:tc>
        <w:tc>
          <w:tcPr>
            <w:tcW w:w="1134" w:type="dxa"/>
            <w:vAlign w:val="center"/>
          </w:tcPr>
          <w:p>
            <w:pPr>
              <w:pStyle w:val="32"/>
              <w:spacing w:before="147"/>
              <w:ind w:right="3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2.4</w:t>
            </w:r>
          </w:p>
        </w:tc>
        <w:tc>
          <w:tcPr>
            <w:tcW w:w="709" w:type="dxa"/>
            <w:vAlign w:val="center"/>
          </w:tcPr>
          <w:p>
            <w:pPr>
              <w:pStyle w:val="32"/>
              <w:spacing w:before="135"/>
              <w:ind w:left="11" w:right="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47"/>
              <w:ind w:right="32"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2.1</w:t>
            </w:r>
          </w:p>
        </w:tc>
        <w:tc>
          <w:tcPr>
            <w:tcW w:w="708" w:type="dxa"/>
            <w:vAlign w:val="center"/>
          </w:tcPr>
          <w:p>
            <w:pPr>
              <w:pStyle w:val="32"/>
              <w:spacing w:before="135"/>
              <w:ind w:left="13"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35"/>
              <w:ind w:right="5"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2.2</w:t>
            </w:r>
          </w:p>
        </w:tc>
        <w:tc>
          <w:tcPr>
            <w:tcW w:w="709" w:type="dxa"/>
            <w:vAlign w:val="center"/>
          </w:tcPr>
          <w:p>
            <w:pPr>
              <w:ind w:firstLine="0" w:firstLineChars="0"/>
              <w:jc w:val="center"/>
              <w:rPr>
                <w:rFonts w:cs="Times New Roman" w:asciiTheme="minorHAnsi" w:hAnsiTheme="minorHAnsi" w:eastAsiaTheme="minorEastAsia"/>
                <w:sz w:val="21"/>
                <w:szCs w:val="21"/>
                <w:lang w:eastAsia="en-US"/>
              </w:rPr>
            </w:pPr>
            <w:r>
              <w:rPr>
                <w:rFonts w:cs="Times New Roman" w:asciiTheme="minorHAnsi" w:hAnsiTheme="minorHAnsi" w:eastAsiaTheme="minorEastAsia"/>
                <w:sz w:val="21"/>
                <w:szCs w:val="21"/>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296" w:type="dxa"/>
            <w:vAlign w:val="center"/>
          </w:tcPr>
          <w:p>
            <w:pPr>
              <w:pStyle w:val="32"/>
              <w:spacing w:before="135"/>
              <w:ind w:left="14" w:right="5"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化学需氧量（</w:t>
            </w:r>
            <w:r>
              <w:rPr>
                <w:rFonts w:cs="Times New Roman" w:asciiTheme="minorHAnsi" w:hAnsiTheme="minorHAnsi" w:eastAsiaTheme="minorEastAsia"/>
                <w:position w:val="1"/>
                <w:sz w:val="21"/>
                <w:lang w:eastAsia="zh-CN"/>
              </w:rPr>
              <w:t>COD</w:t>
            </w:r>
            <w:r>
              <w:rPr>
                <w:rFonts w:cs="Times New Roman" w:asciiTheme="minorHAnsi" w:hAnsiTheme="minorHAnsi" w:eastAsiaTheme="minorEastAsia"/>
                <w:sz w:val="21"/>
                <w:lang w:eastAsia="zh-CN"/>
              </w:rPr>
              <w:t>）</w:t>
            </w:r>
          </w:p>
        </w:tc>
        <w:tc>
          <w:tcPr>
            <w:tcW w:w="709" w:type="dxa"/>
            <w:vAlign w:val="center"/>
          </w:tcPr>
          <w:p>
            <w:pPr>
              <w:pStyle w:val="32"/>
              <w:spacing w:before="147"/>
              <w:ind w:left="5" w:right="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mg/L</w:t>
            </w:r>
          </w:p>
        </w:tc>
        <w:tc>
          <w:tcPr>
            <w:tcW w:w="1134" w:type="dxa"/>
            <w:vAlign w:val="center"/>
          </w:tcPr>
          <w:p>
            <w:pPr>
              <w:pStyle w:val="32"/>
              <w:spacing w:before="147"/>
              <w:ind w:right="1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rPr>
              <w:t>≤</w:t>
            </w:r>
            <w:r>
              <w:rPr>
                <w:rFonts w:cs="Times New Roman" w:asciiTheme="minorHAnsi" w:hAnsiTheme="minorHAnsi" w:eastAsiaTheme="minorEastAsia"/>
                <w:sz w:val="21"/>
                <w:lang w:eastAsia="zh-CN"/>
              </w:rPr>
              <w:t>20</w:t>
            </w:r>
          </w:p>
        </w:tc>
        <w:tc>
          <w:tcPr>
            <w:tcW w:w="1134" w:type="dxa"/>
            <w:vAlign w:val="center"/>
          </w:tcPr>
          <w:p>
            <w:pPr>
              <w:pStyle w:val="32"/>
              <w:spacing w:before="147"/>
              <w:ind w:right="36"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10</w:t>
            </w:r>
          </w:p>
        </w:tc>
        <w:tc>
          <w:tcPr>
            <w:tcW w:w="709" w:type="dxa"/>
            <w:vAlign w:val="center"/>
          </w:tcPr>
          <w:p>
            <w:pPr>
              <w:pStyle w:val="32"/>
              <w:spacing w:before="135"/>
              <w:ind w:left="11" w:right="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47"/>
              <w:ind w:right="36"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10</w:t>
            </w:r>
          </w:p>
        </w:tc>
        <w:tc>
          <w:tcPr>
            <w:tcW w:w="708" w:type="dxa"/>
            <w:vAlign w:val="center"/>
          </w:tcPr>
          <w:p>
            <w:pPr>
              <w:pStyle w:val="32"/>
              <w:spacing w:before="135"/>
              <w:ind w:left="13"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35"/>
              <w:ind w:right="5"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8</w:t>
            </w:r>
          </w:p>
        </w:tc>
        <w:tc>
          <w:tcPr>
            <w:tcW w:w="709" w:type="dxa"/>
            <w:vAlign w:val="center"/>
          </w:tcPr>
          <w:p>
            <w:pPr>
              <w:ind w:firstLine="0" w:firstLineChars="0"/>
              <w:jc w:val="center"/>
              <w:rPr>
                <w:rFonts w:cs="Times New Roman" w:asciiTheme="minorHAnsi" w:hAnsiTheme="minorHAnsi" w:eastAsiaTheme="minorEastAsia"/>
                <w:sz w:val="21"/>
                <w:szCs w:val="21"/>
                <w:lang w:eastAsia="en-US"/>
              </w:rPr>
            </w:pPr>
            <w:r>
              <w:rPr>
                <w:rFonts w:cs="Times New Roman" w:asciiTheme="minorHAnsi" w:hAnsiTheme="minorHAnsi" w:eastAsiaTheme="minorEastAsia"/>
                <w:sz w:val="21"/>
                <w:szCs w:val="21"/>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1296" w:type="dxa"/>
            <w:vAlign w:val="center"/>
          </w:tcPr>
          <w:p>
            <w:pPr>
              <w:pStyle w:val="32"/>
              <w:spacing w:before="138"/>
              <w:ind w:left="14" w:right="-15" w:firstLine="0" w:firstLineChars="0"/>
              <w:rPr>
                <w:rFonts w:cs="Times New Roman" w:asciiTheme="minorHAnsi" w:hAnsiTheme="minorHAnsi" w:eastAsiaTheme="minorEastAsia"/>
                <w:sz w:val="21"/>
              </w:rPr>
            </w:pPr>
            <w:r>
              <w:rPr>
                <w:rFonts w:cs="Times New Roman" w:asciiTheme="minorHAnsi" w:hAnsiTheme="minorHAnsi" w:eastAsiaTheme="minorEastAsia"/>
                <w:spacing w:val="-3"/>
                <w:sz w:val="21"/>
              </w:rPr>
              <w:t>五日生化需氧</w:t>
            </w:r>
            <w:r>
              <w:rPr>
                <w:rFonts w:cs="Times New Roman" w:asciiTheme="minorHAnsi" w:hAnsiTheme="minorHAnsi" w:eastAsiaTheme="minorEastAsia"/>
                <w:spacing w:val="-1"/>
                <w:sz w:val="21"/>
              </w:rPr>
              <w:t>（</w:t>
            </w:r>
            <w:r>
              <w:rPr>
                <w:rFonts w:cs="Times New Roman" w:asciiTheme="minorHAnsi" w:hAnsiTheme="minorHAnsi" w:eastAsiaTheme="minorEastAsia"/>
                <w:spacing w:val="-1"/>
                <w:position w:val="1"/>
                <w:sz w:val="21"/>
              </w:rPr>
              <w:t>BOD5</w:t>
            </w:r>
            <w:r>
              <w:rPr>
                <w:rFonts w:cs="Times New Roman" w:asciiTheme="minorHAnsi" w:hAnsiTheme="minorHAnsi" w:eastAsiaTheme="minorEastAsia"/>
                <w:spacing w:val="-1"/>
                <w:sz w:val="21"/>
              </w:rPr>
              <w:t>）</w:t>
            </w:r>
          </w:p>
        </w:tc>
        <w:tc>
          <w:tcPr>
            <w:tcW w:w="709" w:type="dxa"/>
            <w:vAlign w:val="center"/>
          </w:tcPr>
          <w:p>
            <w:pPr>
              <w:pStyle w:val="32"/>
              <w:spacing w:before="149"/>
              <w:ind w:left="5" w:right="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mg/L</w:t>
            </w:r>
          </w:p>
        </w:tc>
        <w:tc>
          <w:tcPr>
            <w:tcW w:w="1134" w:type="dxa"/>
            <w:vAlign w:val="center"/>
          </w:tcPr>
          <w:p>
            <w:pPr>
              <w:pStyle w:val="32"/>
              <w:spacing w:before="149"/>
              <w:ind w:right="1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rPr>
              <w:t>≤</w:t>
            </w:r>
            <w:r>
              <w:rPr>
                <w:rFonts w:cs="Times New Roman" w:asciiTheme="minorHAnsi" w:hAnsiTheme="minorHAnsi" w:eastAsiaTheme="minorEastAsia"/>
                <w:sz w:val="21"/>
                <w:lang w:eastAsia="zh-CN"/>
              </w:rPr>
              <w:t>4</w:t>
            </w:r>
          </w:p>
        </w:tc>
        <w:tc>
          <w:tcPr>
            <w:tcW w:w="1134" w:type="dxa"/>
            <w:vAlign w:val="center"/>
          </w:tcPr>
          <w:p>
            <w:pPr>
              <w:pStyle w:val="32"/>
              <w:spacing w:before="149"/>
              <w:ind w:right="36"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1.6</w:t>
            </w:r>
          </w:p>
        </w:tc>
        <w:tc>
          <w:tcPr>
            <w:tcW w:w="709" w:type="dxa"/>
            <w:vAlign w:val="center"/>
          </w:tcPr>
          <w:p>
            <w:pPr>
              <w:pStyle w:val="32"/>
              <w:spacing w:before="138"/>
              <w:ind w:left="11" w:right="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49"/>
              <w:ind w:right="32"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1.6</w:t>
            </w:r>
          </w:p>
        </w:tc>
        <w:tc>
          <w:tcPr>
            <w:tcW w:w="708" w:type="dxa"/>
            <w:vAlign w:val="center"/>
          </w:tcPr>
          <w:p>
            <w:pPr>
              <w:pStyle w:val="32"/>
              <w:spacing w:before="138"/>
              <w:ind w:left="13"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38"/>
              <w:ind w:right="5"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1.6</w:t>
            </w:r>
          </w:p>
        </w:tc>
        <w:tc>
          <w:tcPr>
            <w:tcW w:w="709" w:type="dxa"/>
            <w:vAlign w:val="center"/>
          </w:tcPr>
          <w:p>
            <w:pPr>
              <w:ind w:firstLine="0" w:firstLineChars="0"/>
              <w:jc w:val="center"/>
              <w:rPr>
                <w:rFonts w:cs="Times New Roman" w:asciiTheme="minorHAnsi" w:hAnsiTheme="minorHAnsi" w:eastAsiaTheme="minorEastAsia"/>
                <w:sz w:val="21"/>
                <w:szCs w:val="21"/>
                <w:lang w:eastAsia="en-US"/>
              </w:rPr>
            </w:pPr>
            <w:r>
              <w:rPr>
                <w:rFonts w:cs="Times New Roman" w:asciiTheme="minorHAnsi" w:hAnsiTheme="minorHAnsi" w:eastAsiaTheme="minorEastAsia"/>
                <w:sz w:val="21"/>
                <w:szCs w:val="21"/>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296" w:type="dxa"/>
            <w:vAlign w:val="center"/>
          </w:tcPr>
          <w:p>
            <w:pPr>
              <w:pStyle w:val="32"/>
              <w:spacing w:before="135"/>
              <w:ind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氨氮</w:t>
            </w:r>
          </w:p>
        </w:tc>
        <w:tc>
          <w:tcPr>
            <w:tcW w:w="709" w:type="dxa"/>
            <w:vAlign w:val="center"/>
          </w:tcPr>
          <w:p>
            <w:pPr>
              <w:pStyle w:val="32"/>
              <w:spacing w:before="147"/>
              <w:ind w:left="5" w:right="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mg/L</w:t>
            </w:r>
          </w:p>
        </w:tc>
        <w:tc>
          <w:tcPr>
            <w:tcW w:w="1134" w:type="dxa"/>
            <w:vAlign w:val="center"/>
          </w:tcPr>
          <w:p>
            <w:pPr>
              <w:pStyle w:val="32"/>
              <w:spacing w:before="147"/>
              <w:ind w:right="1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≤1</w:t>
            </w:r>
          </w:p>
        </w:tc>
        <w:tc>
          <w:tcPr>
            <w:tcW w:w="1134" w:type="dxa"/>
            <w:vAlign w:val="center"/>
          </w:tcPr>
          <w:p>
            <w:pPr>
              <w:pStyle w:val="32"/>
              <w:spacing w:before="147"/>
              <w:ind w:right="3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0.41</w:t>
            </w:r>
          </w:p>
        </w:tc>
        <w:tc>
          <w:tcPr>
            <w:tcW w:w="709" w:type="dxa"/>
            <w:vAlign w:val="center"/>
          </w:tcPr>
          <w:p>
            <w:pPr>
              <w:pStyle w:val="32"/>
              <w:spacing w:before="135"/>
              <w:ind w:right="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47"/>
              <w:ind w:right="36"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0.40</w:t>
            </w:r>
          </w:p>
        </w:tc>
        <w:tc>
          <w:tcPr>
            <w:tcW w:w="708" w:type="dxa"/>
            <w:vAlign w:val="center"/>
          </w:tcPr>
          <w:p>
            <w:pPr>
              <w:pStyle w:val="32"/>
              <w:spacing w:before="135"/>
              <w:ind w:left="13"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35"/>
              <w:ind w:right="5"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0.42</w:t>
            </w:r>
          </w:p>
        </w:tc>
        <w:tc>
          <w:tcPr>
            <w:tcW w:w="709" w:type="dxa"/>
            <w:vAlign w:val="center"/>
          </w:tcPr>
          <w:p>
            <w:pPr>
              <w:ind w:firstLine="0" w:firstLineChars="0"/>
              <w:jc w:val="center"/>
              <w:rPr>
                <w:rFonts w:cs="Times New Roman" w:asciiTheme="minorHAnsi" w:hAnsiTheme="minorHAnsi" w:eastAsiaTheme="minorEastAsia"/>
                <w:sz w:val="21"/>
                <w:szCs w:val="21"/>
                <w:lang w:eastAsia="en-US"/>
              </w:rPr>
            </w:pPr>
            <w:r>
              <w:rPr>
                <w:rFonts w:cs="Times New Roman" w:asciiTheme="minorHAnsi" w:hAnsiTheme="minorHAnsi" w:eastAsiaTheme="minorEastAsia"/>
                <w:sz w:val="21"/>
                <w:szCs w:val="21"/>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1296" w:type="dxa"/>
            <w:vAlign w:val="center"/>
          </w:tcPr>
          <w:p>
            <w:pPr>
              <w:pStyle w:val="32"/>
              <w:spacing w:before="135"/>
              <w:ind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总磷</w:t>
            </w:r>
          </w:p>
        </w:tc>
        <w:tc>
          <w:tcPr>
            <w:tcW w:w="709" w:type="dxa"/>
            <w:vAlign w:val="center"/>
          </w:tcPr>
          <w:p>
            <w:pPr>
              <w:pStyle w:val="32"/>
              <w:spacing w:before="147"/>
              <w:ind w:right="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mg/L</w:t>
            </w:r>
          </w:p>
        </w:tc>
        <w:tc>
          <w:tcPr>
            <w:tcW w:w="1134" w:type="dxa"/>
            <w:vAlign w:val="center"/>
          </w:tcPr>
          <w:p>
            <w:pPr>
              <w:pStyle w:val="32"/>
              <w:spacing w:before="147"/>
              <w:ind w:right="1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rPr>
              <w:t>≤0.</w:t>
            </w:r>
            <w:r>
              <w:rPr>
                <w:rFonts w:cs="Times New Roman" w:asciiTheme="minorHAnsi" w:hAnsiTheme="minorHAnsi" w:eastAsiaTheme="minorEastAsia"/>
                <w:sz w:val="21"/>
                <w:lang w:eastAsia="zh-CN"/>
              </w:rPr>
              <w:t>2</w:t>
            </w:r>
          </w:p>
        </w:tc>
        <w:tc>
          <w:tcPr>
            <w:tcW w:w="1134" w:type="dxa"/>
            <w:vAlign w:val="center"/>
          </w:tcPr>
          <w:p>
            <w:pPr>
              <w:pStyle w:val="32"/>
              <w:spacing w:before="147"/>
              <w:ind w:right="3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0.01</w:t>
            </w:r>
          </w:p>
        </w:tc>
        <w:tc>
          <w:tcPr>
            <w:tcW w:w="709" w:type="dxa"/>
            <w:vAlign w:val="center"/>
          </w:tcPr>
          <w:p>
            <w:pPr>
              <w:pStyle w:val="32"/>
              <w:spacing w:before="135"/>
              <w:ind w:left="11" w:right="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47"/>
              <w:ind w:right="32"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0.01</w:t>
            </w:r>
          </w:p>
        </w:tc>
        <w:tc>
          <w:tcPr>
            <w:tcW w:w="708" w:type="dxa"/>
            <w:vAlign w:val="center"/>
          </w:tcPr>
          <w:p>
            <w:pPr>
              <w:pStyle w:val="32"/>
              <w:spacing w:before="135"/>
              <w:ind w:left="13"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35"/>
              <w:ind w:right="5"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0.01</w:t>
            </w:r>
          </w:p>
        </w:tc>
        <w:tc>
          <w:tcPr>
            <w:tcW w:w="709" w:type="dxa"/>
            <w:vAlign w:val="center"/>
          </w:tcPr>
          <w:p>
            <w:pPr>
              <w:ind w:firstLine="0" w:firstLineChars="0"/>
              <w:jc w:val="center"/>
              <w:rPr>
                <w:rFonts w:cs="Times New Roman" w:asciiTheme="minorHAnsi" w:hAnsiTheme="minorHAnsi" w:eastAsiaTheme="minorEastAsia"/>
                <w:sz w:val="21"/>
                <w:szCs w:val="21"/>
                <w:lang w:eastAsia="en-US"/>
              </w:rPr>
            </w:pPr>
            <w:r>
              <w:rPr>
                <w:rFonts w:cs="Times New Roman" w:asciiTheme="minorHAnsi" w:hAnsiTheme="minorHAnsi" w:eastAsiaTheme="minorEastAsia"/>
                <w:sz w:val="21"/>
                <w:szCs w:val="21"/>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1296" w:type="dxa"/>
            <w:vAlign w:val="center"/>
          </w:tcPr>
          <w:p>
            <w:pPr>
              <w:pStyle w:val="32"/>
              <w:spacing w:before="135"/>
              <w:ind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铜</w:t>
            </w:r>
          </w:p>
        </w:tc>
        <w:tc>
          <w:tcPr>
            <w:tcW w:w="709" w:type="dxa"/>
            <w:vAlign w:val="center"/>
          </w:tcPr>
          <w:p>
            <w:pPr>
              <w:pStyle w:val="32"/>
              <w:spacing w:before="147"/>
              <w:ind w:left="5" w:right="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mg/L</w:t>
            </w:r>
          </w:p>
        </w:tc>
        <w:tc>
          <w:tcPr>
            <w:tcW w:w="1134" w:type="dxa"/>
            <w:vAlign w:val="center"/>
          </w:tcPr>
          <w:p>
            <w:pPr>
              <w:pStyle w:val="32"/>
              <w:spacing w:before="147"/>
              <w:ind w:right="1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≤1.0</w:t>
            </w:r>
          </w:p>
        </w:tc>
        <w:tc>
          <w:tcPr>
            <w:tcW w:w="1134" w:type="dxa"/>
            <w:vAlign w:val="center"/>
          </w:tcPr>
          <w:p>
            <w:pPr>
              <w:pStyle w:val="32"/>
              <w:spacing w:before="147"/>
              <w:ind w:right="34"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0.001L</w:t>
            </w:r>
          </w:p>
        </w:tc>
        <w:tc>
          <w:tcPr>
            <w:tcW w:w="709" w:type="dxa"/>
            <w:vAlign w:val="center"/>
          </w:tcPr>
          <w:p>
            <w:pPr>
              <w:pStyle w:val="32"/>
              <w:spacing w:before="135"/>
              <w:ind w:left="11" w:right="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47"/>
              <w:ind w:right="34" w:firstLine="0" w:firstLineChars="0"/>
              <w:rPr>
                <w:rFonts w:cs="Times New Roman" w:asciiTheme="minorHAnsi" w:hAnsiTheme="minorHAnsi" w:eastAsiaTheme="minorEastAsia"/>
                <w:sz w:val="21"/>
              </w:rPr>
            </w:pPr>
            <w:r>
              <w:rPr>
                <w:rFonts w:cs="Times New Roman" w:asciiTheme="minorHAnsi" w:hAnsiTheme="minorHAnsi" w:eastAsiaTheme="minorEastAsia"/>
                <w:sz w:val="21"/>
                <w:lang w:eastAsia="zh-CN"/>
              </w:rPr>
              <w:t>0.001L</w:t>
            </w:r>
          </w:p>
        </w:tc>
        <w:tc>
          <w:tcPr>
            <w:tcW w:w="708" w:type="dxa"/>
            <w:vAlign w:val="center"/>
          </w:tcPr>
          <w:p>
            <w:pPr>
              <w:pStyle w:val="32"/>
              <w:spacing w:before="135"/>
              <w:ind w:left="13"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35"/>
              <w:ind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lang w:eastAsia="zh-CN"/>
              </w:rPr>
              <w:t>0.001L</w:t>
            </w:r>
          </w:p>
        </w:tc>
        <w:tc>
          <w:tcPr>
            <w:tcW w:w="709" w:type="dxa"/>
            <w:vAlign w:val="center"/>
          </w:tcPr>
          <w:p>
            <w:pPr>
              <w:ind w:firstLine="0" w:firstLineChars="0"/>
              <w:jc w:val="center"/>
              <w:rPr>
                <w:rFonts w:cs="Times New Roman" w:asciiTheme="minorHAnsi" w:hAnsiTheme="minorHAnsi" w:eastAsiaTheme="minorEastAsia"/>
                <w:sz w:val="21"/>
                <w:szCs w:val="21"/>
                <w:lang w:eastAsia="en-US"/>
              </w:rPr>
            </w:pPr>
            <w:r>
              <w:rPr>
                <w:rFonts w:cs="Times New Roman" w:asciiTheme="minorHAnsi" w:hAnsiTheme="minorHAnsi" w:eastAsiaTheme="minorEastAsia"/>
                <w:sz w:val="21"/>
                <w:szCs w:val="21"/>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1296" w:type="dxa"/>
            <w:vAlign w:val="center"/>
          </w:tcPr>
          <w:p>
            <w:pPr>
              <w:pStyle w:val="32"/>
              <w:spacing w:before="135"/>
              <w:ind w:left="14" w:right="5" w:firstLine="0" w:firstLineChars="0"/>
              <w:rPr>
                <w:rFonts w:cs="Times New Roman" w:asciiTheme="minorHAnsi" w:hAnsiTheme="minorHAnsi" w:eastAsiaTheme="minorEastAsia"/>
                <w:sz w:val="21"/>
              </w:rPr>
            </w:pPr>
            <w:r>
              <w:rPr>
                <w:rFonts w:cs="Times New Roman" w:asciiTheme="minorHAnsi" w:hAnsiTheme="minorHAnsi" w:eastAsiaTheme="minorEastAsia"/>
                <w:spacing w:val="-1"/>
                <w:sz w:val="21"/>
              </w:rPr>
              <w:t>氟化物</w:t>
            </w:r>
            <w:r>
              <w:rPr>
                <w:rFonts w:cs="Times New Roman" w:asciiTheme="minorHAnsi" w:hAnsiTheme="minorHAnsi" w:eastAsiaTheme="minorEastAsia"/>
                <w:spacing w:val="-3"/>
                <w:sz w:val="21"/>
              </w:rPr>
              <w:t>（</w:t>
            </w:r>
            <w:r>
              <w:rPr>
                <w:rFonts w:cs="Times New Roman" w:asciiTheme="minorHAnsi" w:hAnsiTheme="minorHAnsi" w:eastAsiaTheme="minorEastAsia"/>
                <w:spacing w:val="52"/>
                <w:sz w:val="21"/>
              </w:rPr>
              <w:t>以</w:t>
            </w:r>
            <w:r>
              <w:rPr>
                <w:rFonts w:cs="Times New Roman" w:asciiTheme="minorHAnsi" w:hAnsiTheme="minorHAnsi" w:eastAsiaTheme="minorEastAsia"/>
                <w:spacing w:val="-4"/>
                <w:position w:val="1"/>
                <w:sz w:val="21"/>
              </w:rPr>
              <w:t>F-</w:t>
            </w:r>
            <w:r>
              <w:rPr>
                <w:rFonts w:cs="Times New Roman" w:asciiTheme="minorHAnsi" w:hAnsiTheme="minorHAnsi" w:eastAsiaTheme="minorEastAsia"/>
                <w:sz w:val="21"/>
              </w:rPr>
              <w:t>计）</w:t>
            </w:r>
          </w:p>
        </w:tc>
        <w:tc>
          <w:tcPr>
            <w:tcW w:w="709" w:type="dxa"/>
            <w:vAlign w:val="center"/>
          </w:tcPr>
          <w:p>
            <w:pPr>
              <w:pStyle w:val="32"/>
              <w:spacing w:before="147"/>
              <w:ind w:left="5" w:right="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mg/L</w:t>
            </w:r>
          </w:p>
        </w:tc>
        <w:tc>
          <w:tcPr>
            <w:tcW w:w="1134" w:type="dxa"/>
            <w:vAlign w:val="center"/>
          </w:tcPr>
          <w:p>
            <w:pPr>
              <w:pStyle w:val="32"/>
              <w:spacing w:before="147"/>
              <w:ind w:right="1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rPr>
              <w:t>≤1.</w:t>
            </w:r>
            <w:r>
              <w:rPr>
                <w:rFonts w:cs="Times New Roman" w:asciiTheme="minorHAnsi" w:hAnsiTheme="minorHAnsi" w:eastAsiaTheme="minorEastAsia"/>
                <w:sz w:val="21"/>
                <w:lang w:eastAsia="zh-CN"/>
              </w:rPr>
              <w:t>0</w:t>
            </w:r>
          </w:p>
        </w:tc>
        <w:tc>
          <w:tcPr>
            <w:tcW w:w="1134" w:type="dxa"/>
            <w:vAlign w:val="center"/>
          </w:tcPr>
          <w:p>
            <w:pPr>
              <w:pStyle w:val="32"/>
              <w:spacing w:before="147"/>
              <w:ind w:right="3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0.50</w:t>
            </w:r>
          </w:p>
        </w:tc>
        <w:tc>
          <w:tcPr>
            <w:tcW w:w="709" w:type="dxa"/>
            <w:vAlign w:val="center"/>
          </w:tcPr>
          <w:p>
            <w:pPr>
              <w:pStyle w:val="32"/>
              <w:spacing w:before="135"/>
              <w:ind w:left="11" w:right="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47"/>
              <w:ind w:right="32"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0.52</w:t>
            </w:r>
          </w:p>
        </w:tc>
        <w:tc>
          <w:tcPr>
            <w:tcW w:w="708" w:type="dxa"/>
            <w:vAlign w:val="center"/>
          </w:tcPr>
          <w:p>
            <w:pPr>
              <w:pStyle w:val="32"/>
              <w:spacing w:before="135"/>
              <w:ind w:left="13"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35"/>
              <w:ind w:right="5"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0.50</w:t>
            </w:r>
          </w:p>
        </w:tc>
        <w:tc>
          <w:tcPr>
            <w:tcW w:w="709" w:type="dxa"/>
            <w:vAlign w:val="center"/>
          </w:tcPr>
          <w:p>
            <w:pPr>
              <w:ind w:firstLine="0" w:firstLineChars="0"/>
              <w:jc w:val="center"/>
              <w:rPr>
                <w:rFonts w:cs="Times New Roman" w:asciiTheme="minorHAnsi" w:hAnsiTheme="minorHAnsi" w:eastAsiaTheme="minorEastAsia"/>
                <w:lang w:eastAsia="en-US"/>
              </w:rPr>
            </w:pPr>
            <w:r>
              <w:rPr>
                <w:rFonts w:cs="Times New Roman" w:asciiTheme="minorHAnsi" w:hAnsiTheme="minorHAnsi" w:eastAsiaTheme="minorEastAsia"/>
                <w:lang w:eastAsia="en-US"/>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jc w:val="center"/>
        </w:trPr>
        <w:tc>
          <w:tcPr>
            <w:tcW w:w="1296" w:type="dxa"/>
            <w:vAlign w:val="center"/>
          </w:tcPr>
          <w:p>
            <w:pPr>
              <w:pStyle w:val="32"/>
              <w:spacing w:before="140"/>
              <w:ind w:left="14" w:right="2"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粪大肠菌群</w:t>
            </w:r>
          </w:p>
        </w:tc>
        <w:tc>
          <w:tcPr>
            <w:tcW w:w="709" w:type="dxa"/>
            <w:vAlign w:val="center"/>
          </w:tcPr>
          <w:p>
            <w:pPr>
              <w:pStyle w:val="32"/>
              <w:spacing w:before="140"/>
              <w:ind w:left="8"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个</w:t>
            </w:r>
            <w:r>
              <w:rPr>
                <w:rFonts w:cs="Times New Roman" w:asciiTheme="minorHAnsi" w:hAnsiTheme="minorHAnsi" w:eastAsiaTheme="minorEastAsia"/>
                <w:position w:val="1"/>
                <w:sz w:val="21"/>
              </w:rPr>
              <w:t>/L</w:t>
            </w:r>
          </w:p>
        </w:tc>
        <w:tc>
          <w:tcPr>
            <w:tcW w:w="1134" w:type="dxa"/>
            <w:vAlign w:val="center"/>
          </w:tcPr>
          <w:p>
            <w:pPr>
              <w:pStyle w:val="32"/>
              <w:spacing w:before="151"/>
              <w:ind w:right="1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w:t>
            </w:r>
            <w:r>
              <w:rPr>
                <w:rFonts w:cs="Times New Roman" w:asciiTheme="minorHAnsi" w:hAnsiTheme="minorHAnsi" w:eastAsiaTheme="minorEastAsia"/>
                <w:sz w:val="21"/>
                <w:lang w:eastAsia="zh-CN"/>
              </w:rPr>
              <w:t>1</w:t>
            </w:r>
            <w:r>
              <w:rPr>
                <w:rFonts w:cs="Times New Roman" w:asciiTheme="minorHAnsi" w:hAnsiTheme="minorHAnsi" w:eastAsiaTheme="minorEastAsia"/>
                <w:sz w:val="21"/>
              </w:rPr>
              <w:t>0000</w:t>
            </w:r>
          </w:p>
        </w:tc>
        <w:tc>
          <w:tcPr>
            <w:tcW w:w="1134" w:type="dxa"/>
            <w:vAlign w:val="center"/>
          </w:tcPr>
          <w:p>
            <w:pPr>
              <w:pStyle w:val="32"/>
              <w:spacing w:before="151"/>
              <w:ind w:right="31"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790</w:t>
            </w:r>
          </w:p>
        </w:tc>
        <w:tc>
          <w:tcPr>
            <w:tcW w:w="709" w:type="dxa"/>
            <w:vAlign w:val="center"/>
          </w:tcPr>
          <w:p>
            <w:pPr>
              <w:pStyle w:val="32"/>
              <w:spacing w:before="140"/>
              <w:ind w:left="11" w:right="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51"/>
              <w:ind w:right="32"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490</w:t>
            </w:r>
          </w:p>
        </w:tc>
        <w:tc>
          <w:tcPr>
            <w:tcW w:w="708" w:type="dxa"/>
            <w:vAlign w:val="center"/>
          </w:tcPr>
          <w:p>
            <w:pPr>
              <w:pStyle w:val="32"/>
              <w:spacing w:before="140"/>
              <w:ind w:left="13" w:right="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符合</w:t>
            </w:r>
          </w:p>
        </w:tc>
        <w:tc>
          <w:tcPr>
            <w:tcW w:w="1134" w:type="dxa"/>
            <w:vAlign w:val="center"/>
          </w:tcPr>
          <w:p>
            <w:pPr>
              <w:pStyle w:val="32"/>
              <w:spacing w:before="140"/>
              <w:ind w:right="5" w:firstLine="0" w:firstLineChars="0"/>
              <w:rPr>
                <w:rFonts w:cs="Times New Roman" w:asciiTheme="minorHAnsi" w:hAnsiTheme="minorHAnsi" w:eastAsiaTheme="minorEastAsia"/>
                <w:sz w:val="21"/>
                <w:lang w:eastAsia="zh-CN"/>
              </w:rPr>
            </w:pPr>
            <w:r>
              <w:rPr>
                <w:rFonts w:cs="Times New Roman" w:asciiTheme="minorHAnsi" w:hAnsiTheme="minorHAnsi" w:eastAsiaTheme="minorEastAsia"/>
                <w:sz w:val="21"/>
                <w:lang w:eastAsia="zh-CN"/>
              </w:rPr>
              <w:t>1300</w:t>
            </w:r>
          </w:p>
        </w:tc>
        <w:tc>
          <w:tcPr>
            <w:tcW w:w="709" w:type="dxa"/>
            <w:vAlign w:val="center"/>
          </w:tcPr>
          <w:p>
            <w:pPr>
              <w:ind w:firstLine="0" w:firstLineChars="0"/>
              <w:jc w:val="center"/>
              <w:rPr>
                <w:rFonts w:cs="Times New Roman" w:asciiTheme="minorHAnsi" w:hAnsiTheme="minorHAnsi" w:eastAsiaTheme="minorEastAsia"/>
                <w:lang w:eastAsia="en-US"/>
              </w:rPr>
            </w:pPr>
            <w:r>
              <w:rPr>
                <w:rFonts w:cs="Times New Roman" w:asciiTheme="minorHAnsi" w:hAnsiTheme="minorHAnsi" w:eastAsiaTheme="minorEastAsia"/>
                <w:lang w:eastAsia="en-US"/>
              </w:rPr>
              <w:t>符合</w:t>
            </w:r>
          </w:p>
        </w:tc>
      </w:tr>
    </w:tbl>
    <w:p>
      <w:pPr>
        <w:pStyle w:val="3"/>
      </w:pPr>
      <w:bookmarkStart w:id="15" w:name="_Toc57964356"/>
      <w:r>
        <w:rPr>
          <w:rFonts w:hint="eastAsia"/>
        </w:rPr>
        <w:t>3.4 小结</w:t>
      </w:r>
      <w:bookmarkEnd w:id="15"/>
    </w:p>
    <w:p>
      <w:pPr>
        <w:ind w:firstLine="480"/>
        <w:rPr>
          <w:color w:val="FF0000"/>
        </w:rPr>
      </w:pPr>
      <w:r>
        <w:rPr>
          <w:rFonts w:hint="eastAsia"/>
        </w:rPr>
        <w:t>合水县何家畔镇何家畔村截污控源项目入河排污口位于甘肃省黄河流域泾河水系二级水功能区</w:t>
      </w:r>
      <w:r>
        <w:t>—马莲河环县、庆城、合水、宁县工业、农业用水区</w:t>
      </w:r>
      <w:r>
        <w:rPr>
          <w:rFonts w:hint="eastAsia"/>
        </w:rPr>
        <w:t>。</w:t>
      </w:r>
      <w:r>
        <w:rPr>
          <w:rFonts w:hint="eastAsia"/>
          <w:color w:val="000000" w:themeColor="text1"/>
        </w:rPr>
        <w:t>该论证范围内无取水口设置</w:t>
      </w:r>
      <w:r>
        <w:rPr>
          <w:rFonts w:hint="eastAsia"/>
        </w:rPr>
        <w:t>。</w:t>
      </w:r>
    </w:p>
    <w:p>
      <w:pPr>
        <w:ind w:firstLine="480"/>
      </w:pPr>
      <w:r>
        <w:rPr>
          <w:rFonts w:hint="eastAsia"/>
        </w:rPr>
        <w:t>由补充监测结果可知，盖家川河水水质较好，为</w:t>
      </w:r>
      <w:r>
        <w:rPr>
          <w:rFonts w:hint="eastAsia" w:ascii="宋体" w:hAnsi="宋体"/>
        </w:rPr>
        <w:t>Ⅲ类。</w:t>
      </w:r>
    </w:p>
    <w:p>
      <w:pPr>
        <w:widowControl/>
        <w:autoSpaceDE/>
        <w:autoSpaceDN/>
        <w:spacing w:line="370" w:lineRule="auto"/>
        <w:ind w:firstLine="480"/>
      </w:pPr>
    </w:p>
    <w:p>
      <w:pPr>
        <w:widowControl/>
        <w:autoSpaceDE/>
        <w:autoSpaceDN/>
        <w:ind w:firstLine="480"/>
      </w:pPr>
      <w:r>
        <w:br w:type="page"/>
      </w:r>
    </w:p>
    <w:p>
      <w:pPr>
        <w:pStyle w:val="2"/>
      </w:pPr>
      <w:bookmarkStart w:id="16" w:name="_Toc57964357"/>
      <w:r>
        <w:t>4</w:t>
      </w:r>
      <w:r>
        <w:rPr>
          <w:rFonts w:hint="eastAsia"/>
        </w:rPr>
        <w:t xml:space="preserve"> 拟建入河排污口情况</w:t>
      </w:r>
      <w:bookmarkEnd w:id="16"/>
    </w:p>
    <w:p>
      <w:pPr>
        <w:pStyle w:val="3"/>
      </w:pPr>
      <w:bookmarkStart w:id="17" w:name="_Toc57964358"/>
      <w:r>
        <w:rPr>
          <w:rFonts w:hint="eastAsia"/>
        </w:rPr>
        <w:t>4.1</w:t>
      </w:r>
      <w:r>
        <w:t>废污水来源及构成</w:t>
      </w:r>
      <w:bookmarkEnd w:id="17"/>
    </w:p>
    <w:p>
      <w:pPr>
        <w:pStyle w:val="4"/>
      </w:pPr>
      <w:r>
        <w:rPr>
          <w:rFonts w:hint="eastAsia"/>
        </w:rPr>
        <w:t>4.1.1废污水来源</w:t>
      </w:r>
    </w:p>
    <w:p>
      <w:pPr>
        <w:ind w:firstLine="480"/>
      </w:pPr>
      <w:r>
        <w:t>根据现场调研，</w:t>
      </w:r>
      <w:r>
        <w:rPr>
          <w:rFonts w:hint="eastAsia"/>
        </w:rPr>
        <w:t>合水县何家畔镇何家畔村截污控源</w:t>
      </w:r>
      <w:r>
        <w:t>工程目前接纳的主要</w:t>
      </w:r>
      <w:r>
        <w:rPr>
          <w:rFonts w:hint="eastAsia"/>
        </w:rPr>
        <w:t>何家畔</w:t>
      </w:r>
      <w:r>
        <w:t>镇区生活污水，主要污染物包括 COD、氨氮、SS、总磷、总氮和粪大肠菌群等。</w:t>
      </w:r>
    </w:p>
    <w:p>
      <w:pPr>
        <w:pStyle w:val="4"/>
      </w:pPr>
      <w:r>
        <w:rPr>
          <w:rFonts w:hint="eastAsia"/>
        </w:rPr>
        <w:t>4.1.2</w:t>
      </w:r>
      <w:r>
        <w:t>废污水处理量</w:t>
      </w:r>
    </w:p>
    <w:p>
      <w:pPr>
        <w:ind w:firstLine="0" w:firstLineChars="0"/>
      </w:pPr>
      <w:r>
        <w:rPr>
          <w:rFonts w:hint="eastAsia"/>
        </w:rPr>
        <w:t>（1）合水县何家畔镇何家畔村截污控源工</w:t>
      </w:r>
      <w:r>
        <w:rPr>
          <w:rFonts w:hint="eastAsia"/>
          <w:color w:val="000000" w:themeColor="text1"/>
        </w:rPr>
        <w:t>程</w:t>
      </w:r>
      <w:r>
        <w:rPr>
          <w:rFonts w:hint="eastAsia"/>
        </w:rPr>
        <w:t>计算成果</w:t>
      </w:r>
    </w:p>
    <w:p>
      <w:pPr>
        <w:ind w:firstLine="480"/>
      </w:pPr>
      <w:r>
        <w:rPr>
          <w:rFonts w:hint="eastAsia"/>
        </w:rPr>
        <w:t>1、居民生活污水量预测</w:t>
      </w:r>
    </w:p>
    <w:p>
      <w:pPr>
        <w:ind w:firstLine="480"/>
      </w:pPr>
      <w:r>
        <w:rPr>
          <w:rFonts w:hint="eastAsia"/>
        </w:rPr>
        <w:t>根据《室外排水设计规范》（GB50014-2006）、《村镇排水工程技术规程》、《甘肃省行业用水定额（2017）》，合水县属于三类地区，同时结合合水县乡镇居民生活用水设施情况、综合发展状况及污水实际收集情况，确定合水县何家畔镇综合生活用水定额（平均日）近期为70L/人•d，远期为80L/人•d。</w:t>
      </w:r>
    </w:p>
    <w:p>
      <w:pPr>
        <w:ind w:firstLine="480"/>
      </w:pPr>
      <w:r>
        <w:rPr>
          <w:rFonts w:hint="eastAsia"/>
        </w:rPr>
        <w:t>本次采用的近期用水定额为70L/人•d，生活污水量标准按生活用水量的80%计。远期用水定额为80L/人•d。生活污水量标准按生活用水量的80%计。</w:t>
      </w:r>
    </w:p>
    <w:p>
      <w:pPr>
        <w:ind w:firstLine="480"/>
      </w:pPr>
      <w:r>
        <w:rPr>
          <w:rFonts w:hint="eastAsia"/>
        </w:rPr>
        <w:t>根据《村镇供水工程设计规范》（SL687-2014），由活污水设计流量计算公式：</w:t>
      </w:r>
    </w:p>
    <w:p>
      <w:pPr>
        <w:ind w:firstLine="0" w:firstLineChars="0"/>
      </w:pPr>
      <w:r>
        <w:rPr>
          <w:sz w:val="28"/>
          <w:szCs w:val="28"/>
        </w:rPr>
        <w:t>Qd=n×N×K/1000</w:t>
      </w:r>
      <w:r>
        <w:rPr>
          <w:rFonts w:hint="eastAsia"/>
          <w:sz w:val="28"/>
          <w:szCs w:val="28"/>
        </w:rPr>
        <w:t>，</w:t>
      </w:r>
      <w:r>
        <w:rPr>
          <w:rFonts w:hint="eastAsia"/>
        </w:rPr>
        <w:t>可以得到近期污水量为149.05m³/d，远期污水量为175.36 m³/d，考虑一定的余量，此次的建设规模按照200 m³/d进行。</w:t>
      </w:r>
    </w:p>
    <w:p>
      <w:pPr>
        <w:pStyle w:val="3"/>
      </w:pPr>
      <w:bookmarkStart w:id="18" w:name="_Toc57964359"/>
      <w:r>
        <w:rPr>
          <w:rFonts w:hint="eastAsia"/>
        </w:rPr>
        <w:t xml:space="preserve">4.2 </w:t>
      </w:r>
      <w:r>
        <w:t>废污水所含主要污染物种类及其排放浓度、总量</w:t>
      </w:r>
      <w:bookmarkEnd w:id="18"/>
    </w:p>
    <w:p>
      <w:pPr>
        <w:pStyle w:val="4"/>
      </w:pPr>
      <w:r>
        <w:rPr>
          <w:rFonts w:hint="eastAsia"/>
        </w:rPr>
        <w:t>4.2.1 污水出厂</w:t>
      </w:r>
      <w:r>
        <w:t>排放浓度</w:t>
      </w:r>
    </w:p>
    <w:p>
      <w:pPr>
        <w:ind w:firstLine="480"/>
      </w:pPr>
      <w:r>
        <w:t>污水处理站出水水质按《城镇污水处理厂污染物排放标准》（GB18918-2002）表</w:t>
      </w:r>
      <w:r>
        <w:rPr>
          <w:rFonts w:hint="eastAsia"/>
        </w:rPr>
        <w:t>4.2-</w:t>
      </w:r>
      <w:r>
        <w:t>1中一级 A 标准执行。据此确定出站水水质指标见表：</w:t>
      </w:r>
    </w:p>
    <w:p>
      <w:pPr>
        <w:tabs>
          <w:tab w:val="left" w:pos="3134"/>
        </w:tabs>
        <w:spacing w:line="240" w:lineRule="auto"/>
        <w:ind w:firstLine="0" w:firstLineChars="0"/>
        <w:jc w:val="center"/>
        <w:rPr>
          <w:b/>
          <w:sz w:val="21"/>
        </w:rPr>
      </w:pPr>
      <w:r>
        <w:rPr>
          <w:rFonts w:hint="eastAsia"/>
          <w:b/>
          <w:sz w:val="21"/>
        </w:rPr>
        <w:t xml:space="preserve">表4.2-1  </w:t>
      </w:r>
      <w:r>
        <w:rPr>
          <w:b/>
          <w:sz w:val="21"/>
        </w:rPr>
        <w:t>《城镇污水处理厂污染物排放标准》一级 A 标准</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71"/>
        <w:gridCol w:w="2571"/>
        <w:gridCol w:w="25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序号</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名称</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1</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CODcr</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 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2</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BOD5</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 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 w:hRule="atLeast"/>
          <w:jc w:val="center"/>
        </w:trPr>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3</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SS</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4</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NH3-N</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5</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TN</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6</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TP</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 w:hRule="atLeast"/>
          <w:jc w:val="center"/>
        </w:trPr>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7</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pH</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8</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石油类</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 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9</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阴离子表面活性剂</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 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10</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动植物油</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 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11</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色度</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 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71" w:type="dxa"/>
            <w:vAlign w:val="center"/>
          </w:tcPr>
          <w:p>
            <w:pPr>
              <w:spacing w:line="240" w:lineRule="auto"/>
              <w:ind w:firstLine="0" w:firstLineChars="0"/>
              <w:jc w:val="center"/>
              <w:rPr>
                <w:rFonts w:asciiTheme="minorEastAsia" w:hAnsiTheme="minorEastAsia" w:eastAsiaTheme="minorEastAsia"/>
                <w:szCs w:val="24"/>
              </w:rPr>
            </w:pPr>
            <w:r>
              <w:rPr>
                <w:rFonts w:hint="eastAsia" w:asciiTheme="minorEastAsia" w:hAnsiTheme="minorEastAsia" w:eastAsiaTheme="minorEastAsia"/>
                <w:szCs w:val="24"/>
              </w:rPr>
              <w:t>12</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粪大肠菌群数</w:t>
            </w:r>
          </w:p>
        </w:tc>
        <w:tc>
          <w:tcPr>
            <w:tcW w:w="2571" w:type="dxa"/>
            <w:vAlign w:val="center"/>
          </w:tcPr>
          <w:p>
            <w:pPr>
              <w:spacing w:line="240" w:lineRule="auto"/>
              <w:ind w:firstLine="0" w:firstLineChars="0"/>
              <w:jc w:val="center"/>
              <w:rPr>
                <w:rFonts w:asciiTheme="minorEastAsia" w:hAnsiTheme="minorEastAsia" w:eastAsiaTheme="minorEastAsia"/>
                <w:szCs w:val="24"/>
              </w:rPr>
            </w:pPr>
            <w:r>
              <w:rPr>
                <w:rFonts w:asciiTheme="minorEastAsia" w:hAnsiTheme="minorEastAsia" w:eastAsiaTheme="minorEastAsia"/>
                <w:szCs w:val="24"/>
              </w:rPr>
              <w:t>≤ 1000</w:t>
            </w:r>
          </w:p>
        </w:tc>
      </w:tr>
    </w:tbl>
    <w:p>
      <w:pPr>
        <w:ind w:firstLine="480"/>
      </w:pPr>
      <w:r>
        <w:t>注：括号内数值为水温</w:t>
      </w:r>
      <w:r>
        <w:rPr>
          <w:rFonts w:eastAsia="Times New Roman"/>
        </w:rPr>
        <w:t>&gt;15</w:t>
      </w:r>
      <w:r>
        <w:t>°</w:t>
      </w:r>
      <w:r>
        <w:rPr>
          <w:rFonts w:eastAsia="Times New Roman"/>
        </w:rPr>
        <w:t xml:space="preserve">C </w:t>
      </w:r>
      <w:r>
        <w:t>时的控制指标，括号外数值为水温≤</w:t>
      </w:r>
      <w:r>
        <w:rPr>
          <w:rFonts w:eastAsia="Times New Roman"/>
        </w:rPr>
        <w:t>15</w:t>
      </w:r>
      <w:r>
        <w:t>°</w:t>
      </w:r>
      <w:r>
        <w:rPr>
          <w:rFonts w:eastAsia="Times New Roman"/>
        </w:rPr>
        <w:t xml:space="preserve">C </w:t>
      </w:r>
      <w:r>
        <w:t>时的控制指标。</w:t>
      </w:r>
    </w:p>
    <w:p>
      <w:pPr>
        <w:pStyle w:val="4"/>
      </w:pPr>
      <w:r>
        <w:rPr>
          <w:rFonts w:hint="eastAsia"/>
        </w:rPr>
        <w:t>4.2.2 外排污水总量</w:t>
      </w:r>
    </w:p>
    <w:p>
      <w:pPr>
        <w:ind w:firstLine="480"/>
      </w:pPr>
      <w:r>
        <w:t>根据《</w:t>
      </w:r>
      <w:r>
        <w:rPr>
          <w:rFonts w:hint="eastAsia"/>
        </w:rPr>
        <w:t>合水县六乡镇截污控源工程可行性研究报告</w:t>
      </w:r>
      <w:r>
        <w:t>》相关内容</w:t>
      </w:r>
      <w:r>
        <w:rPr>
          <w:rFonts w:hint="eastAsia"/>
        </w:rPr>
        <w:t>，设计近期处理规模为200</w:t>
      </w:r>
      <w:r>
        <w:t>m</w:t>
      </w:r>
      <w:r>
        <w:rPr>
          <w:vertAlign w:val="superscript"/>
        </w:rPr>
        <w:t>3</w:t>
      </w:r>
      <w:r>
        <w:t>/d。</w:t>
      </w:r>
    </w:p>
    <w:p>
      <w:pPr>
        <w:pStyle w:val="3"/>
      </w:pPr>
      <w:bookmarkStart w:id="19" w:name="_Toc57964360"/>
      <w:r>
        <w:rPr>
          <w:rFonts w:hint="eastAsia"/>
        </w:rPr>
        <w:t xml:space="preserve">4.3 </w:t>
      </w:r>
      <w:r>
        <w:t>污水</w:t>
      </w:r>
      <w:r>
        <w:rPr>
          <w:rFonts w:hint="eastAsia"/>
        </w:rPr>
        <w:t>产生关键环节分析</w:t>
      </w:r>
      <w:bookmarkEnd w:id="19"/>
    </w:p>
    <w:p>
      <w:pPr>
        <w:ind w:firstLine="480"/>
      </w:pPr>
      <w:r>
        <w:rPr>
          <w:rFonts w:hint="eastAsia"/>
        </w:rPr>
        <w:t>关于合水县六乡镇截污控源工程可行性研究报告仅对进水量（处理量）、出水量进行统计，为论证安全，本论证以工程出水量作为外排量。</w:t>
      </w:r>
    </w:p>
    <w:p>
      <w:pPr>
        <w:pStyle w:val="4"/>
      </w:pPr>
      <w:r>
        <w:rPr>
          <w:rFonts w:hint="eastAsia"/>
        </w:rPr>
        <w:t>4.3.1污水处理工程进水分析</w:t>
      </w:r>
    </w:p>
    <w:p>
      <w:pPr>
        <w:pStyle w:val="5"/>
      </w:pPr>
      <w:r>
        <w:rPr>
          <w:rFonts w:hint="eastAsia"/>
        </w:rPr>
        <w:t>4.3.1.1 进水量</w:t>
      </w:r>
    </w:p>
    <w:p>
      <w:pPr>
        <w:ind w:firstLine="480"/>
      </w:pPr>
      <w:r>
        <w:rPr>
          <w:rFonts w:hint="eastAsia"/>
        </w:rPr>
        <w:t>根据《合水县六乡镇截污控源工程可行性研究报告》相关数据资料，该污水处理厂进水量为200</w:t>
      </w:r>
      <w:r>
        <w:t xml:space="preserve"> m</w:t>
      </w:r>
      <w:r>
        <w:rPr>
          <w:vertAlign w:val="superscript"/>
        </w:rPr>
        <w:t>3</w:t>
      </w:r>
      <w:r>
        <w:t>/d</w:t>
      </w:r>
      <w:r>
        <w:rPr>
          <w:rFonts w:hint="eastAsia"/>
        </w:rPr>
        <w:t>。</w:t>
      </w:r>
    </w:p>
    <w:p>
      <w:pPr>
        <w:pStyle w:val="5"/>
      </w:pPr>
      <w:r>
        <w:rPr>
          <w:rFonts w:hint="eastAsia"/>
        </w:rPr>
        <w:t>4.3.1.2 进水水质</w:t>
      </w:r>
    </w:p>
    <w:p>
      <w:pPr>
        <w:ind w:firstLine="480"/>
      </w:pPr>
      <w:r>
        <w:rPr>
          <w:rFonts w:hint="eastAsia"/>
        </w:rPr>
        <w:t>根据《给水排水设计手册》（第五册）建议典型的生活污水水质及《西北地区农村生活污水处理技术指南》，确定污水处理站进水水质指标见表4.3-1</w:t>
      </w:r>
      <w:r>
        <w:t>。</w:t>
      </w:r>
    </w:p>
    <w:p>
      <w:pPr>
        <w:tabs>
          <w:tab w:val="left" w:pos="3134"/>
        </w:tabs>
        <w:ind w:left="220" w:firstLine="422"/>
        <w:jc w:val="center"/>
        <w:rPr>
          <w:b/>
          <w:sz w:val="21"/>
        </w:rPr>
      </w:pPr>
      <w:r>
        <w:rPr>
          <w:b/>
          <w:sz w:val="21"/>
        </w:rPr>
        <w:t>表</w:t>
      </w:r>
      <w:r>
        <w:rPr>
          <w:rFonts w:hint="eastAsia"/>
          <w:b/>
          <w:sz w:val="21"/>
        </w:rPr>
        <w:t>4.3-1</w:t>
      </w:r>
      <w:r>
        <w:rPr>
          <w:b/>
          <w:sz w:val="21"/>
        </w:rPr>
        <w:t xml:space="preserve">  </w:t>
      </w:r>
      <w:r>
        <w:rPr>
          <w:rFonts w:hint="eastAsia"/>
          <w:b/>
          <w:sz w:val="21"/>
        </w:rPr>
        <w:t>进水水质指标</w:t>
      </w:r>
      <w:r>
        <w:rPr>
          <w:b/>
          <w:sz w:val="21"/>
        </w:rPr>
        <w:t xml:space="preserve">     单位：mg/L</w:t>
      </w:r>
    </w:p>
    <w:tbl>
      <w:tblPr>
        <w:tblStyle w:val="17"/>
        <w:tblW w:w="457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29"/>
        <w:gridCol w:w="3765"/>
        <w:gridCol w:w="27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exact"/>
          <w:jc w:val="center"/>
        </w:trPr>
        <w:tc>
          <w:tcPr>
            <w:tcW w:w="1230" w:type="pct"/>
            <w:vAlign w:val="center"/>
          </w:tcPr>
          <w:p>
            <w:pPr>
              <w:ind w:firstLine="480"/>
              <w:jc w:val="center"/>
            </w:pPr>
            <w:r>
              <w:t>序号</w:t>
            </w:r>
          </w:p>
        </w:tc>
        <w:tc>
          <w:tcPr>
            <w:tcW w:w="2175" w:type="pct"/>
            <w:vAlign w:val="center"/>
          </w:tcPr>
          <w:p>
            <w:pPr>
              <w:ind w:firstLine="480"/>
              <w:jc w:val="center"/>
            </w:pPr>
            <w:r>
              <w:t>名称</w:t>
            </w:r>
          </w:p>
        </w:tc>
        <w:tc>
          <w:tcPr>
            <w:tcW w:w="1595" w:type="pct"/>
            <w:vAlign w:val="center"/>
          </w:tcPr>
          <w:p>
            <w:pPr>
              <w:ind w:firstLine="480"/>
              <w:jc w:val="center"/>
            </w:pPr>
            <w:r>
              <w:t>设计进水浓度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exact"/>
          <w:jc w:val="center"/>
        </w:trPr>
        <w:tc>
          <w:tcPr>
            <w:tcW w:w="1230" w:type="pct"/>
            <w:vAlign w:val="center"/>
          </w:tcPr>
          <w:p>
            <w:pPr>
              <w:ind w:firstLine="480"/>
              <w:jc w:val="center"/>
            </w:pPr>
            <w:r>
              <w:t>1</w:t>
            </w:r>
          </w:p>
        </w:tc>
        <w:tc>
          <w:tcPr>
            <w:tcW w:w="2175" w:type="pct"/>
            <w:vAlign w:val="center"/>
          </w:tcPr>
          <w:p>
            <w:pPr>
              <w:ind w:firstLine="480"/>
              <w:jc w:val="center"/>
            </w:pPr>
            <w:r>
              <w:t>CODcr（mg/L）</w:t>
            </w:r>
          </w:p>
        </w:tc>
        <w:tc>
          <w:tcPr>
            <w:tcW w:w="1595" w:type="pct"/>
            <w:vAlign w:val="center"/>
          </w:tcPr>
          <w:p>
            <w:pPr>
              <w:ind w:firstLine="480"/>
              <w:jc w:val="center"/>
            </w:pPr>
            <w:r>
              <w:rPr>
                <w:rFonts w:hint="eastAsia"/>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exact"/>
          <w:jc w:val="center"/>
        </w:trPr>
        <w:tc>
          <w:tcPr>
            <w:tcW w:w="1230" w:type="pct"/>
            <w:vAlign w:val="center"/>
          </w:tcPr>
          <w:p>
            <w:pPr>
              <w:ind w:firstLine="480"/>
              <w:jc w:val="center"/>
            </w:pPr>
            <w:r>
              <w:t>2</w:t>
            </w:r>
          </w:p>
        </w:tc>
        <w:tc>
          <w:tcPr>
            <w:tcW w:w="2175" w:type="pct"/>
            <w:vAlign w:val="center"/>
          </w:tcPr>
          <w:p>
            <w:pPr>
              <w:ind w:firstLine="480"/>
              <w:jc w:val="center"/>
            </w:pPr>
            <w:r>
              <w:t>BOD</w:t>
            </w:r>
            <w:r>
              <w:rPr>
                <w:vertAlign w:val="subscript"/>
              </w:rPr>
              <w:t>5</w:t>
            </w:r>
            <w:r>
              <w:t>（mg/L）</w:t>
            </w:r>
          </w:p>
        </w:tc>
        <w:tc>
          <w:tcPr>
            <w:tcW w:w="1595" w:type="pct"/>
            <w:vAlign w:val="center"/>
          </w:tcPr>
          <w:p>
            <w:pPr>
              <w:ind w:firstLine="480"/>
              <w:jc w:val="center"/>
            </w:pPr>
            <w:r>
              <w:rPr>
                <w:rFonts w:hint="eastAsia"/>
              </w:rPr>
              <w:t>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exact"/>
          <w:jc w:val="center"/>
        </w:trPr>
        <w:tc>
          <w:tcPr>
            <w:tcW w:w="1230" w:type="pct"/>
            <w:vAlign w:val="center"/>
          </w:tcPr>
          <w:p>
            <w:pPr>
              <w:ind w:firstLine="480"/>
              <w:jc w:val="center"/>
            </w:pPr>
            <w:r>
              <w:t>3</w:t>
            </w:r>
          </w:p>
        </w:tc>
        <w:tc>
          <w:tcPr>
            <w:tcW w:w="2175" w:type="pct"/>
            <w:vAlign w:val="center"/>
          </w:tcPr>
          <w:p>
            <w:pPr>
              <w:ind w:firstLine="480"/>
              <w:jc w:val="center"/>
            </w:pPr>
            <w:r>
              <w:t>TP（总磷）（mg/L）</w:t>
            </w:r>
          </w:p>
        </w:tc>
        <w:tc>
          <w:tcPr>
            <w:tcW w:w="1595" w:type="pct"/>
            <w:vAlign w:val="center"/>
          </w:tcPr>
          <w:p>
            <w:pPr>
              <w:ind w:firstLine="480"/>
              <w:jc w:val="center"/>
            </w:pPr>
            <w:r>
              <w:rPr>
                <w:rFonts w:hint="eastAsia"/>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exact"/>
          <w:jc w:val="center"/>
        </w:trPr>
        <w:tc>
          <w:tcPr>
            <w:tcW w:w="1230" w:type="pct"/>
            <w:vAlign w:val="center"/>
          </w:tcPr>
          <w:p>
            <w:pPr>
              <w:ind w:firstLine="480"/>
              <w:jc w:val="center"/>
            </w:pPr>
            <w:r>
              <w:t>4</w:t>
            </w:r>
          </w:p>
        </w:tc>
        <w:tc>
          <w:tcPr>
            <w:tcW w:w="2175" w:type="pct"/>
            <w:vAlign w:val="center"/>
          </w:tcPr>
          <w:p>
            <w:pPr>
              <w:ind w:firstLine="480"/>
              <w:jc w:val="center"/>
            </w:pPr>
            <w:r>
              <w:t>SS（mg/L）</w:t>
            </w:r>
          </w:p>
        </w:tc>
        <w:tc>
          <w:tcPr>
            <w:tcW w:w="1595" w:type="pct"/>
            <w:vAlign w:val="center"/>
          </w:tcPr>
          <w:p>
            <w:pPr>
              <w:ind w:firstLine="480"/>
              <w:jc w:val="center"/>
            </w:pPr>
            <w:r>
              <w:rPr>
                <w:rFonts w:hint="eastAsia"/>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exact"/>
          <w:jc w:val="center"/>
        </w:trPr>
        <w:tc>
          <w:tcPr>
            <w:tcW w:w="1230" w:type="pct"/>
            <w:vAlign w:val="center"/>
          </w:tcPr>
          <w:p>
            <w:pPr>
              <w:ind w:firstLine="480"/>
              <w:jc w:val="center"/>
            </w:pPr>
            <w:r>
              <w:t>5</w:t>
            </w:r>
          </w:p>
        </w:tc>
        <w:tc>
          <w:tcPr>
            <w:tcW w:w="2175" w:type="pct"/>
            <w:vAlign w:val="center"/>
          </w:tcPr>
          <w:p>
            <w:pPr>
              <w:ind w:firstLine="480"/>
              <w:jc w:val="center"/>
            </w:pPr>
            <w:r>
              <w:t>总氮</w:t>
            </w:r>
          </w:p>
        </w:tc>
        <w:tc>
          <w:tcPr>
            <w:tcW w:w="1595" w:type="pct"/>
            <w:vAlign w:val="center"/>
          </w:tcPr>
          <w:p>
            <w:pPr>
              <w:ind w:firstLine="480"/>
              <w:jc w:val="center"/>
            </w:pPr>
            <w:r>
              <w:rPr>
                <w:rFonts w:hint="eastAsia"/>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exact"/>
          <w:jc w:val="center"/>
        </w:trPr>
        <w:tc>
          <w:tcPr>
            <w:tcW w:w="1230" w:type="pct"/>
            <w:vAlign w:val="center"/>
          </w:tcPr>
          <w:p>
            <w:pPr>
              <w:ind w:firstLine="480"/>
              <w:jc w:val="center"/>
            </w:pPr>
            <w:r>
              <w:t>6</w:t>
            </w:r>
          </w:p>
        </w:tc>
        <w:tc>
          <w:tcPr>
            <w:tcW w:w="2175" w:type="pct"/>
            <w:vAlign w:val="center"/>
          </w:tcPr>
          <w:p>
            <w:pPr>
              <w:ind w:firstLine="480"/>
              <w:jc w:val="center"/>
            </w:pPr>
            <w:r>
              <w:t>氨氮（mg/L）</w:t>
            </w:r>
          </w:p>
        </w:tc>
        <w:tc>
          <w:tcPr>
            <w:tcW w:w="1595" w:type="pct"/>
            <w:vAlign w:val="center"/>
          </w:tcPr>
          <w:p>
            <w:pPr>
              <w:ind w:firstLine="480"/>
              <w:jc w:val="center"/>
            </w:pPr>
            <w:r>
              <w:rPr>
                <w:rFonts w:hint="eastAsia"/>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exact"/>
          <w:jc w:val="center"/>
        </w:trPr>
        <w:tc>
          <w:tcPr>
            <w:tcW w:w="1230" w:type="pct"/>
            <w:vAlign w:val="center"/>
          </w:tcPr>
          <w:p>
            <w:pPr>
              <w:ind w:firstLine="480"/>
              <w:jc w:val="center"/>
            </w:pPr>
            <w:r>
              <w:t>7</w:t>
            </w:r>
          </w:p>
        </w:tc>
        <w:tc>
          <w:tcPr>
            <w:tcW w:w="2175" w:type="pct"/>
            <w:vAlign w:val="center"/>
          </w:tcPr>
          <w:p>
            <w:pPr>
              <w:ind w:firstLine="480"/>
              <w:jc w:val="center"/>
            </w:pPr>
            <w:r>
              <w:t>pH（无纲量）</w:t>
            </w:r>
          </w:p>
        </w:tc>
        <w:tc>
          <w:tcPr>
            <w:tcW w:w="1595" w:type="pct"/>
            <w:vAlign w:val="center"/>
          </w:tcPr>
          <w:p>
            <w:pPr>
              <w:ind w:firstLine="480"/>
              <w:jc w:val="center"/>
            </w:pPr>
            <w:r>
              <w:t>6～9</w:t>
            </w:r>
          </w:p>
        </w:tc>
      </w:tr>
    </w:tbl>
    <w:p>
      <w:pPr>
        <w:pStyle w:val="4"/>
      </w:pPr>
      <w:r>
        <w:t>4.3.</w:t>
      </w:r>
      <w:r>
        <w:rPr>
          <w:rFonts w:hint="eastAsia"/>
        </w:rPr>
        <w:t xml:space="preserve">2 </w:t>
      </w:r>
      <w:r>
        <w:t>污水处理工程</w:t>
      </w:r>
      <w:r>
        <w:rPr>
          <w:rFonts w:hint="eastAsia"/>
        </w:rPr>
        <w:t>出</w:t>
      </w:r>
      <w:r>
        <w:t>水分析</w:t>
      </w:r>
    </w:p>
    <w:p>
      <w:pPr>
        <w:pStyle w:val="5"/>
      </w:pPr>
      <w:r>
        <w:t>4.3.</w:t>
      </w:r>
      <w:r>
        <w:rPr>
          <w:rFonts w:hint="eastAsia"/>
        </w:rPr>
        <w:t>2</w:t>
      </w:r>
      <w:r>
        <w:t xml:space="preserve">.1 </w:t>
      </w:r>
      <w:r>
        <w:rPr>
          <w:rFonts w:hint="eastAsia"/>
        </w:rPr>
        <w:t>出</w:t>
      </w:r>
      <w:r>
        <w:t>水量</w:t>
      </w:r>
    </w:p>
    <w:p>
      <w:pPr>
        <w:ind w:firstLine="480"/>
      </w:pPr>
      <w:r>
        <w:rPr>
          <w:rFonts w:hint="eastAsia"/>
        </w:rPr>
        <w:t>由于该污水处理厂没有回用水，污水处理后全部外排，因此出水量为200</w:t>
      </w:r>
      <w:r>
        <w:t xml:space="preserve"> m</w:t>
      </w:r>
      <w:r>
        <w:rPr>
          <w:vertAlign w:val="superscript"/>
        </w:rPr>
        <w:t>3</w:t>
      </w:r>
      <w:r>
        <w:t>/d</w:t>
      </w:r>
      <w:r>
        <w:rPr>
          <w:rFonts w:hint="eastAsia"/>
        </w:rPr>
        <w:t>。</w:t>
      </w:r>
    </w:p>
    <w:p>
      <w:pPr>
        <w:pStyle w:val="5"/>
      </w:pPr>
      <w:r>
        <w:t>4.3.</w:t>
      </w:r>
      <w:r>
        <w:rPr>
          <w:rFonts w:hint="eastAsia"/>
        </w:rPr>
        <w:t>2</w:t>
      </w:r>
      <w:r>
        <w:t>.</w:t>
      </w:r>
      <w:r>
        <w:rPr>
          <w:rFonts w:hint="eastAsia"/>
        </w:rPr>
        <w:t>2</w:t>
      </w:r>
      <w:r>
        <w:t xml:space="preserve"> </w:t>
      </w:r>
      <w:r>
        <w:rPr>
          <w:rFonts w:hint="eastAsia"/>
        </w:rPr>
        <w:t>出</w:t>
      </w:r>
      <w:r>
        <w:t>水</w:t>
      </w:r>
      <w:r>
        <w:rPr>
          <w:rFonts w:hint="eastAsia"/>
        </w:rPr>
        <w:t>水质</w:t>
      </w:r>
    </w:p>
    <w:p>
      <w:pPr>
        <w:ind w:firstLine="480"/>
      </w:pPr>
      <w:r>
        <w:rPr>
          <w:rFonts w:hint="eastAsia"/>
        </w:rPr>
        <w:t>由于该污水处理厂没有正常运行，因此出水水质按照设计标准进行预测，具体数据见下表4.3-2。</w:t>
      </w:r>
    </w:p>
    <w:p>
      <w:pPr>
        <w:tabs>
          <w:tab w:val="left" w:pos="3134"/>
        </w:tabs>
        <w:ind w:left="220" w:firstLine="422"/>
        <w:jc w:val="center"/>
        <w:rPr>
          <w:b/>
          <w:sz w:val="21"/>
        </w:rPr>
      </w:pPr>
      <w:r>
        <w:rPr>
          <w:b/>
          <w:sz w:val="21"/>
        </w:rPr>
        <w:t>表</w:t>
      </w:r>
      <w:r>
        <w:rPr>
          <w:rFonts w:hint="eastAsia"/>
          <w:b/>
          <w:sz w:val="21"/>
        </w:rPr>
        <w:t>4.3-2</w:t>
      </w:r>
      <w:r>
        <w:rPr>
          <w:b/>
          <w:sz w:val="21"/>
        </w:rPr>
        <w:t xml:space="preserve">   污水处理站设计出水指标</w:t>
      </w:r>
    </w:p>
    <w:tbl>
      <w:tblPr>
        <w:tblStyle w:val="17"/>
        <w:tblW w:w="458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3"/>
        <w:gridCol w:w="4525"/>
        <w:gridCol w:w="29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88" w:type="pct"/>
            <w:vAlign w:val="center"/>
          </w:tcPr>
          <w:p>
            <w:pPr>
              <w:ind w:firstLine="0" w:firstLineChars="0"/>
              <w:jc w:val="center"/>
              <w:rPr>
                <w:szCs w:val="21"/>
              </w:rPr>
            </w:pPr>
            <w:r>
              <w:rPr>
                <w:szCs w:val="21"/>
              </w:rPr>
              <w:t>序号</w:t>
            </w:r>
          </w:p>
        </w:tc>
        <w:tc>
          <w:tcPr>
            <w:tcW w:w="2609" w:type="pct"/>
            <w:vAlign w:val="center"/>
          </w:tcPr>
          <w:p>
            <w:pPr>
              <w:ind w:firstLine="0" w:firstLineChars="0"/>
              <w:jc w:val="center"/>
              <w:rPr>
                <w:szCs w:val="21"/>
              </w:rPr>
            </w:pPr>
            <w:r>
              <w:rPr>
                <w:szCs w:val="21"/>
              </w:rPr>
              <w:t>名称</w:t>
            </w:r>
          </w:p>
        </w:tc>
        <w:tc>
          <w:tcPr>
            <w:tcW w:w="1703" w:type="pct"/>
            <w:vAlign w:val="center"/>
          </w:tcPr>
          <w:p>
            <w:pPr>
              <w:ind w:firstLine="0" w:firstLineChars="0"/>
              <w:jc w:val="center"/>
              <w:rPr>
                <w:szCs w:val="21"/>
              </w:rPr>
            </w:pPr>
            <w:r>
              <w:rPr>
                <w:szCs w:val="21"/>
              </w:rPr>
              <w:t>出水水质指标浓度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88" w:type="pct"/>
            <w:vAlign w:val="center"/>
          </w:tcPr>
          <w:p>
            <w:pPr>
              <w:ind w:firstLine="0" w:firstLineChars="0"/>
              <w:jc w:val="center"/>
              <w:rPr>
                <w:szCs w:val="21"/>
              </w:rPr>
            </w:pPr>
            <w:r>
              <w:rPr>
                <w:szCs w:val="21"/>
              </w:rPr>
              <w:t>1</w:t>
            </w:r>
          </w:p>
        </w:tc>
        <w:tc>
          <w:tcPr>
            <w:tcW w:w="2609" w:type="pct"/>
            <w:vAlign w:val="center"/>
          </w:tcPr>
          <w:p>
            <w:pPr>
              <w:ind w:firstLine="0" w:firstLineChars="0"/>
              <w:jc w:val="center"/>
              <w:rPr>
                <w:szCs w:val="21"/>
              </w:rPr>
            </w:pPr>
            <w:r>
              <w:rPr>
                <w:szCs w:val="21"/>
              </w:rPr>
              <w:t>CODcr（mg/L）</w:t>
            </w:r>
          </w:p>
        </w:tc>
        <w:tc>
          <w:tcPr>
            <w:tcW w:w="1703" w:type="pct"/>
            <w:vAlign w:val="center"/>
          </w:tcPr>
          <w:p>
            <w:pPr>
              <w:ind w:firstLine="0" w:firstLineChars="0"/>
              <w:jc w:val="center"/>
              <w:rPr>
                <w:szCs w:val="21"/>
              </w:rPr>
            </w:pPr>
            <w:r>
              <w:rPr>
                <w:rFonts w:hint="eastAsia"/>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88" w:type="pct"/>
            <w:vAlign w:val="center"/>
          </w:tcPr>
          <w:p>
            <w:pPr>
              <w:ind w:firstLine="0" w:firstLineChars="0"/>
              <w:jc w:val="center"/>
              <w:rPr>
                <w:szCs w:val="21"/>
              </w:rPr>
            </w:pPr>
            <w:r>
              <w:rPr>
                <w:szCs w:val="21"/>
              </w:rPr>
              <w:t>2</w:t>
            </w:r>
          </w:p>
        </w:tc>
        <w:tc>
          <w:tcPr>
            <w:tcW w:w="2609" w:type="pct"/>
            <w:vAlign w:val="center"/>
          </w:tcPr>
          <w:p>
            <w:pPr>
              <w:ind w:firstLine="0" w:firstLineChars="0"/>
              <w:jc w:val="center"/>
              <w:rPr>
                <w:szCs w:val="21"/>
              </w:rPr>
            </w:pPr>
            <w:r>
              <w:rPr>
                <w:szCs w:val="21"/>
              </w:rPr>
              <w:t>BOD</w:t>
            </w:r>
            <w:r>
              <w:rPr>
                <w:szCs w:val="21"/>
                <w:vertAlign w:val="subscript"/>
              </w:rPr>
              <w:t>5</w:t>
            </w:r>
            <w:r>
              <w:rPr>
                <w:szCs w:val="21"/>
              </w:rPr>
              <w:t>（mg/L）</w:t>
            </w:r>
          </w:p>
        </w:tc>
        <w:tc>
          <w:tcPr>
            <w:tcW w:w="1703" w:type="pct"/>
            <w:vAlign w:val="center"/>
          </w:tcPr>
          <w:p>
            <w:pPr>
              <w:ind w:firstLine="0" w:firstLineChars="0"/>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88" w:type="pct"/>
            <w:vAlign w:val="center"/>
          </w:tcPr>
          <w:p>
            <w:pPr>
              <w:ind w:firstLine="0" w:firstLineChars="0"/>
              <w:jc w:val="center"/>
              <w:rPr>
                <w:szCs w:val="21"/>
              </w:rPr>
            </w:pPr>
            <w:r>
              <w:rPr>
                <w:szCs w:val="21"/>
              </w:rPr>
              <w:t>3</w:t>
            </w:r>
          </w:p>
        </w:tc>
        <w:tc>
          <w:tcPr>
            <w:tcW w:w="2609" w:type="pct"/>
            <w:vAlign w:val="center"/>
          </w:tcPr>
          <w:p>
            <w:pPr>
              <w:ind w:firstLine="0" w:firstLineChars="0"/>
              <w:jc w:val="center"/>
              <w:rPr>
                <w:szCs w:val="21"/>
              </w:rPr>
            </w:pPr>
            <w:r>
              <w:rPr>
                <w:szCs w:val="21"/>
              </w:rPr>
              <w:t>TP（总磷）（mg/L）</w:t>
            </w:r>
          </w:p>
        </w:tc>
        <w:tc>
          <w:tcPr>
            <w:tcW w:w="1703" w:type="pct"/>
            <w:vAlign w:val="center"/>
          </w:tcPr>
          <w:p>
            <w:pPr>
              <w:ind w:firstLine="0" w:firstLineChars="0"/>
              <w:jc w:val="center"/>
              <w:rPr>
                <w:szCs w:val="21"/>
              </w:rPr>
            </w:pPr>
            <w:r>
              <w:rPr>
                <w:rFonts w:hint="eastAsia"/>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88" w:type="pct"/>
            <w:vAlign w:val="center"/>
          </w:tcPr>
          <w:p>
            <w:pPr>
              <w:ind w:firstLine="0" w:firstLineChars="0"/>
              <w:jc w:val="center"/>
              <w:rPr>
                <w:szCs w:val="21"/>
              </w:rPr>
            </w:pPr>
            <w:r>
              <w:rPr>
                <w:szCs w:val="21"/>
              </w:rPr>
              <w:t>4</w:t>
            </w:r>
          </w:p>
        </w:tc>
        <w:tc>
          <w:tcPr>
            <w:tcW w:w="2609" w:type="pct"/>
            <w:vAlign w:val="center"/>
          </w:tcPr>
          <w:p>
            <w:pPr>
              <w:ind w:firstLine="0" w:firstLineChars="0"/>
              <w:jc w:val="center"/>
              <w:rPr>
                <w:szCs w:val="21"/>
              </w:rPr>
            </w:pPr>
            <w:r>
              <w:rPr>
                <w:szCs w:val="21"/>
              </w:rPr>
              <w:t>SS（mg/L）</w:t>
            </w:r>
          </w:p>
        </w:tc>
        <w:tc>
          <w:tcPr>
            <w:tcW w:w="1703" w:type="pct"/>
            <w:vAlign w:val="center"/>
          </w:tcPr>
          <w:p>
            <w:pPr>
              <w:ind w:firstLine="0" w:firstLineChars="0"/>
              <w:jc w:val="center"/>
              <w:rPr>
                <w:szCs w:val="21"/>
              </w:rPr>
            </w:pP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88" w:type="pct"/>
            <w:vAlign w:val="center"/>
          </w:tcPr>
          <w:p>
            <w:pPr>
              <w:ind w:firstLine="0" w:firstLineChars="0"/>
              <w:jc w:val="center"/>
              <w:rPr>
                <w:szCs w:val="21"/>
              </w:rPr>
            </w:pPr>
            <w:r>
              <w:rPr>
                <w:szCs w:val="21"/>
              </w:rPr>
              <w:t>5</w:t>
            </w:r>
          </w:p>
        </w:tc>
        <w:tc>
          <w:tcPr>
            <w:tcW w:w="2609" w:type="pct"/>
            <w:vAlign w:val="center"/>
          </w:tcPr>
          <w:p>
            <w:pPr>
              <w:ind w:firstLine="0" w:firstLineChars="0"/>
              <w:jc w:val="center"/>
              <w:rPr>
                <w:szCs w:val="21"/>
              </w:rPr>
            </w:pPr>
            <w:r>
              <w:rPr>
                <w:szCs w:val="21"/>
              </w:rPr>
              <w:t>总氮</w:t>
            </w:r>
          </w:p>
        </w:tc>
        <w:tc>
          <w:tcPr>
            <w:tcW w:w="1703" w:type="pct"/>
            <w:vAlign w:val="center"/>
          </w:tcPr>
          <w:p>
            <w:pPr>
              <w:ind w:firstLine="0" w:firstLineChars="0"/>
              <w:jc w:val="center"/>
              <w:rPr>
                <w:szCs w:val="21"/>
              </w:rPr>
            </w:pPr>
            <w:r>
              <w:rPr>
                <w:rFonts w:hint="eastAsia"/>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88" w:type="pct"/>
            <w:vAlign w:val="center"/>
          </w:tcPr>
          <w:p>
            <w:pPr>
              <w:ind w:firstLine="0" w:firstLineChars="0"/>
              <w:jc w:val="center"/>
              <w:rPr>
                <w:szCs w:val="21"/>
              </w:rPr>
            </w:pPr>
            <w:r>
              <w:rPr>
                <w:szCs w:val="21"/>
              </w:rPr>
              <w:t>6</w:t>
            </w:r>
          </w:p>
        </w:tc>
        <w:tc>
          <w:tcPr>
            <w:tcW w:w="2609" w:type="pct"/>
            <w:vAlign w:val="center"/>
          </w:tcPr>
          <w:p>
            <w:pPr>
              <w:ind w:firstLine="0" w:firstLineChars="0"/>
              <w:jc w:val="center"/>
              <w:rPr>
                <w:szCs w:val="21"/>
              </w:rPr>
            </w:pPr>
            <w:r>
              <w:rPr>
                <w:szCs w:val="21"/>
              </w:rPr>
              <w:t>氨氮（mg/L）</w:t>
            </w:r>
          </w:p>
        </w:tc>
        <w:tc>
          <w:tcPr>
            <w:tcW w:w="1703" w:type="pct"/>
            <w:vAlign w:val="center"/>
          </w:tcPr>
          <w:p>
            <w:pPr>
              <w:ind w:firstLine="0" w:firstLineChars="0"/>
              <w:jc w:val="center"/>
              <w:rPr>
                <w:szCs w:val="21"/>
              </w:rPr>
            </w:pPr>
            <w:r>
              <w:rPr>
                <w:rFonts w:hint="eastAsia"/>
                <w:szCs w:val="21"/>
              </w:rPr>
              <w:t>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88" w:type="pct"/>
            <w:vAlign w:val="center"/>
          </w:tcPr>
          <w:p>
            <w:pPr>
              <w:ind w:firstLine="0" w:firstLineChars="0"/>
              <w:jc w:val="center"/>
              <w:rPr>
                <w:szCs w:val="21"/>
              </w:rPr>
            </w:pPr>
            <w:r>
              <w:rPr>
                <w:szCs w:val="21"/>
              </w:rPr>
              <w:t>7</w:t>
            </w:r>
          </w:p>
        </w:tc>
        <w:tc>
          <w:tcPr>
            <w:tcW w:w="2609" w:type="pct"/>
            <w:vAlign w:val="center"/>
          </w:tcPr>
          <w:p>
            <w:pPr>
              <w:ind w:firstLine="0" w:firstLineChars="0"/>
              <w:jc w:val="center"/>
              <w:rPr>
                <w:szCs w:val="21"/>
              </w:rPr>
            </w:pPr>
            <w:r>
              <w:rPr>
                <w:szCs w:val="21"/>
              </w:rPr>
              <w:t>pH（无纲量）</w:t>
            </w:r>
          </w:p>
        </w:tc>
        <w:tc>
          <w:tcPr>
            <w:tcW w:w="1703" w:type="pct"/>
            <w:vAlign w:val="center"/>
          </w:tcPr>
          <w:p>
            <w:pPr>
              <w:ind w:firstLine="0" w:firstLineChars="0"/>
              <w:jc w:val="center"/>
              <w:rPr>
                <w:szCs w:val="21"/>
              </w:rPr>
            </w:pPr>
            <w:r>
              <w:rPr>
                <w:szCs w:val="21"/>
              </w:rPr>
              <w:t>6～9</w:t>
            </w:r>
          </w:p>
        </w:tc>
      </w:tr>
    </w:tbl>
    <w:p>
      <w:pPr>
        <w:pStyle w:val="5"/>
      </w:pPr>
      <w:r>
        <w:t>4.3.2.</w:t>
      </w:r>
      <w:r>
        <w:rPr>
          <w:rFonts w:hint="eastAsia"/>
        </w:rPr>
        <w:t>3</w:t>
      </w:r>
      <w:r>
        <w:t xml:space="preserve"> </w:t>
      </w:r>
      <w:r>
        <w:rPr>
          <w:rFonts w:hint="eastAsia"/>
        </w:rPr>
        <w:t>工程减排效果分析</w:t>
      </w:r>
    </w:p>
    <w:p>
      <w:pPr>
        <w:ind w:firstLine="476"/>
      </w:pPr>
      <w:r>
        <w:rPr>
          <w:spacing w:val="-1"/>
        </w:rPr>
        <w:t>根据污水处理站设计方案，经预处理、</w:t>
      </w:r>
      <w:r>
        <w:rPr>
          <w:rFonts w:hint="eastAsia"/>
          <w:spacing w:val="-1"/>
        </w:rPr>
        <w:t>多级生物接触氧化</w:t>
      </w:r>
      <w:r>
        <w:rPr>
          <w:spacing w:val="-1"/>
        </w:rPr>
        <w:t>处理及深度处理后，使原污水中</w:t>
      </w:r>
      <w:r>
        <w:t>污染物指标大幅度下降。近期设计处理规模为</w:t>
      </w:r>
      <w:r>
        <w:rPr>
          <w:rFonts w:hint="eastAsia" w:eastAsiaTheme="minorEastAsia"/>
        </w:rPr>
        <w:t>200</w:t>
      </w:r>
      <w:r>
        <w:rPr>
          <w:rFonts w:eastAsia="Times New Roman"/>
          <w:spacing w:val="-4"/>
        </w:rPr>
        <w:t>m</w:t>
      </w:r>
      <w:r>
        <w:rPr>
          <w:rFonts w:eastAsia="Times New Roman"/>
          <w:spacing w:val="-4"/>
          <w:vertAlign w:val="superscript"/>
        </w:rPr>
        <w:t>3</w:t>
      </w:r>
      <w:r>
        <w:rPr>
          <w:rFonts w:eastAsia="Times New Roman"/>
          <w:spacing w:val="-4"/>
        </w:rPr>
        <w:t>/d</w:t>
      </w:r>
      <w:r>
        <w:rPr>
          <w:spacing w:val="-3"/>
        </w:rPr>
        <w:t>，不计其进入污水处理厂</w:t>
      </w:r>
      <w:r>
        <w:rPr>
          <w:rFonts w:hint="eastAsia"/>
          <w:spacing w:val="-3"/>
        </w:rPr>
        <w:t>的损失，</w:t>
      </w:r>
      <w:r>
        <w:rPr>
          <w:rFonts w:hint="eastAsia"/>
        </w:rPr>
        <w:t>污染物的减排量如下：每年可减排</w:t>
      </w:r>
      <w:r>
        <w:t xml:space="preserve"> COD、BOD</w:t>
      </w:r>
      <w:r>
        <w:rPr>
          <w:vertAlign w:val="subscript"/>
        </w:rPr>
        <w:t>5</w:t>
      </w:r>
      <w:r>
        <w:t>、SS、氨氮、总磷，分别为</w:t>
      </w:r>
      <w:r>
        <w:rPr>
          <w:color w:val="FF0000"/>
        </w:rPr>
        <w:t xml:space="preserve"> </w:t>
      </w:r>
      <w:r>
        <w:rPr>
          <w:rFonts w:hint="eastAsia"/>
          <w:color w:val="000000" w:themeColor="text1"/>
        </w:rPr>
        <w:t>32.85</w:t>
      </w:r>
      <w:r>
        <w:rPr>
          <w:color w:val="000000" w:themeColor="text1"/>
        </w:rPr>
        <w:t>t、</w:t>
      </w:r>
      <w:r>
        <w:rPr>
          <w:rFonts w:hint="eastAsia"/>
          <w:color w:val="000000" w:themeColor="text1"/>
        </w:rPr>
        <w:t>13.14</w:t>
      </w:r>
      <w:r>
        <w:rPr>
          <w:color w:val="000000" w:themeColor="text1"/>
        </w:rPr>
        <w:t>t、</w:t>
      </w:r>
      <w:r>
        <w:rPr>
          <w:rFonts w:hint="eastAsia"/>
          <w:color w:val="000000" w:themeColor="text1"/>
        </w:rPr>
        <w:t>13.87</w:t>
      </w:r>
      <w:r>
        <w:rPr>
          <w:color w:val="000000" w:themeColor="text1"/>
        </w:rPr>
        <w:t>t、</w:t>
      </w:r>
      <w:r>
        <w:rPr>
          <w:rFonts w:hint="eastAsia"/>
          <w:color w:val="000000" w:themeColor="text1"/>
        </w:rPr>
        <w:t>2.555</w:t>
      </w:r>
      <w:r>
        <w:rPr>
          <w:color w:val="000000" w:themeColor="text1"/>
        </w:rPr>
        <w:t>t、</w:t>
      </w:r>
      <w:r>
        <w:rPr>
          <w:rFonts w:hint="eastAsia"/>
          <w:color w:val="000000" w:themeColor="text1"/>
        </w:rPr>
        <w:t>0.2555</w:t>
      </w:r>
      <w:r>
        <w:rPr>
          <w:color w:val="000000" w:themeColor="text1"/>
        </w:rPr>
        <w:t>t</w:t>
      </w:r>
      <w:r>
        <w:t>。</w:t>
      </w:r>
    </w:p>
    <w:p>
      <w:pPr>
        <w:ind w:firstLine="480"/>
      </w:pPr>
      <w:r>
        <w:t>因此，本工程不仅能减轻论证河段现有水污染负荷，改善河流的水生态环境，从而更好的保障论证河段及下游的用水安全。具体</w:t>
      </w:r>
      <w:r>
        <w:rPr>
          <w:rFonts w:hint="eastAsia"/>
        </w:rPr>
        <w:t>见</w:t>
      </w:r>
      <w:r>
        <w:t>表 4.</w:t>
      </w:r>
      <w:r>
        <w:rPr>
          <w:rFonts w:hint="eastAsia"/>
        </w:rPr>
        <w:t>3</w:t>
      </w:r>
      <w:r>
        <w:t>-</w:t>
      </w:r>
      <w:r>
        <w:rPr>
          <w:rFonts w:hint="eastAsia"/>
        </w:rPr>
        <w:t>3。</w:t>
      </w:r>
    </w:p>
    <w:p>
      <w:pPr>
        <w:tabs>
          <w:tab w:val="left" w:pos="3240"/>
        </w:tabs>
        <w:ind w:left="220" w:firstLine="422"/>
        <w:jc w:val="center"/>
        <w:rPr>
          <w:b/>
          <w:sz w:val="21"/>
        </w:rPr>
      </w:pPr>
      <w:r>
        <w:rPr>
          <w:b/>
          <w:sz w:val="21"/>
        </w:rPr>
        <w:t>表</w:t>
      </w:r>
      <w:r>
        <w:rPr>
          <w:b/>
          <w:spacing w:val="-52"/>
          <w:sz w:val="21"/>
        </w:rPr>
        <w:t xml:space="preserve"> </w:t>
      </w:r>
      <w:r>
        <w:rPr>
          <w:rFonts w:eastAsia="Times New Roman"/>
          <w:b/>
          <w:sz w:val="21"/>
        </w:rPr>
        <w:t>4.</w:t>
      </w:r>
      <w:r>
        <w:rPr>
          <w:rFonts w:hint="eastAsia" w:eastAsiaTheme="minorEastAsia"/>
          <w:b/>
          <w:sz w:val="21"/>
        </w:rPr>
        <w:t>3</w:t>
      </w:r>
      <w:r>
        <w:rPr>
          <w:rFonts w:eastAsia="Times New Roman"/>
          <w:b/>
          <w:sz w:val="21"/>
        </w:rPr>
        <w:t>-</w:t>
      </w:r>
      <w:r>
        <w:rPr>
          <w:rFonts w:hint="eastAsia" w:eastAsiaTheme="minorEastAsia"/>
          <w:b/>
          <w:sz w:val="21"/>
        </w:rPr>
        <w:t xml:space="preserve">3   </w:t>
      </w:r>
      <w:r>
        <w:rPr>
          <w:b/>
          <w:sz w:val="21"/>
        </w:rPr>
        <w:t>设计排放规模条</w:t>
      </w:r>
      <w:r>
        <w:rPr>
          <w:b/>
          <w:spacing w:val="-3"/>
          <w:sz w:val="21"/>
        </w:rPr>
        <w:t>件</w:t>
      </w:r>
      <w:r>
        <w:rPr>
          <w:b/>
          <w:sz w:val="21"/>
        </w:rPr>
        <w:t>下减排量</w:t>
      </w:r>
    </w:p>
    <w:p>
      <w:pPr>
        <w:pStyle w:val="7"/>
        <w:spacing w:before="10"/>
        <w:ind w:firstLine="141"/>
        <w:rPr>
          <w:b/>
          <w:sz w:val="7"/>
        </w:rPr>
      </w:pPr>
    </w:p>
    <w:tbl>
      <w:tblPr>
        <w:tblStyle w:val="31"/>
        <w:tblW w:w="0" w:type="auto"/>
        <w:tblInd w:w="211"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74"/>
        <w:gridCol w:w="1260"/>
        <w:gridCol w:w="1637"/>
        <w:gridCol w:w="1642"/>
        <w:gridCol w:w="1894"/>
        <w:gridCol w:w="151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74" w:type="dxa"/>
            <w:vMerge w:val="restart"/>
            <w:vAlign w:val="center"/>
          </w:tcPr>
          <w:p>
            <w:pPr>
              <w:pStyle w:val="32"/>
              <w:ind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序号</w:t>
            </w:r>
          </w:p>
        </w:tc>
        <w:tc>
          <w:tcPr>
            <w:tcW w:w="1260" w:type="dxa"/>
            <w:vMerge w:val="restart"/>
            <w:vAlign w:val="center"/>
          </w:tcPr>
          <w:p>
            <w:pPr>
              <w:pStyle w:val="32"/>
              <w:ind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项目</w:t>
            </w:r>
          </w:p>
        </w:tc>
        <w:tc>
          <w:tcPr>
            <w:tcW w:w="1637" w:type="dxa"/>
            <w:vAlign w:val="center"/>
          </w:tcPr>
          <w:p>
            <w:pPr>
              <w:pStyle w:val="32"/>
              <w:spacing w:before="118"/>
              <w:ind w:right="35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进水水质</w:t>
            </w:r>
          </w:p>
        </w:tc>
        <w:tc>
          <w:tcPr>
            <w:tcW w:w="1642" w:type="dxa"/>
            <w:vAlign w:val="center"/>
          </w:tcPr>
          <w:p>
            <w:pPr>
              <w:pStyle w:val="32"/>
              <w:spacing w:before="118"/>
              <w:ind w:right="35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出水水质</w:t>
            </w:r>
          </w:p>
        </w:tc>
        <w:tc>
          <w:tcPr>
            <w:tcW w:w="1894" w:type="dxa"/>
            <w:vAlign w:val="center"/>
          </w:tcPr>
          <w:p>
            <w:pPr>
              <w:pStyle w:val="32"/>
              <w:spacing w:before="118"/>
              <w:ind w:right="351"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设计规模</w:t>
            </w:r>
          </w:p>
        </w:tc>
        <w:tc>
          <w:tcPr>
            <w:tcW w:w="1513" w:type="dxa"/>
            <w:vAlign w:val="center"/>
          </w:tcPr>
          <w:p>
            <w:pPr>
              <w:pStyle w:val="32"/>
              <w:spacing w:before="118"/>
              <w:ind w:right="306"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年减排量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74" w:type="dxa"/>
            <w:vMerge w:val="continue"/>
            <w:vAlign w:val="center"/>
          </w:tcPr>
          <w:p>
            <w:pPr>
              <w:ind w:firstLine="40"/>
              <w:jc w:val="center"/>
              <w:rPr>
                <w:rFonts w:cs="Times New Roman" w:asciiTheme="minorHAnsi" w:hAnsiTheme="minorHAnsi" w:eastAsiaTheme="minorEastAsia"/>
                <w:sz w:val="2"/>
                <w:szCs w:val="2"/>
                <w:lang w:eastAsia="en-US"/>
              </w:rPr>
            </w:pPr>
          </w:p>
        </w:tc>
        <w:tc>
          <w:tcPr>
            <w:tcW w:w="1260" w:type="dxa"/>
            <w:vMerge w:val="continue"/>
            <w:vAlign w:val="center"/>
          </w:tcPr>
          <w:p>
            <w:pPr>
              <w:ind w:firstLine="40"/>
              <w:jc w:val="center"/>
              <w:rPr>
                <w:rFonts w:cs="Times New Roman" w:asciiTheme="minorHAnsi" w:hAnsiTheme="minorHAnsi" w:eastAsiaTheme="minorEastAsia"/>
                <w:sz w:val="2"/>
                <w:szCs w:val="2"/>
                <w:lang w:eastAsia="en-US"/>
              </w:rPr>
            </w:pPr>
          </w:p>
        </w:tc>
        <w:tc>
          <w:tcPr>
            <w:tcW w:w="1637" w:type="dxa"/>
            <w:vAlign w:val="center"/>
          </w:tcPr>
          <w:p>
            <w:pPr>
              <w:pStyle w:val="32"/>
              <w:spacing w:before="121"/>
              <w:ind w:right="35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w:t>
            </w:r>
            <w:r>
              <w:rPr>
                <w:rFonts w:cs="Times New Roman" w:asciiTheme="minorHAnsi" w:hAnsiTheme="minorHAnsi" w:eastAsiaTheme="minorEastAsia"/>
                <w:position w:val="1"/>
                <w:sz w:val="21"/>
              </w:rPr>
              <w:t>mg/L</w:t>
            </w:r>
            <w:r>
              <w:rPr>
                <w:rFonts w:cs="Times New Roman" w:asciiTheme="minorHAnsi" w:hAnsiTheme="minorHAnsi" w:eastAsiaTheme="minorEastAsia"/>
                <w:sz w:val="21"/>
              </w:rPr>
              <w:t>）</w:t>
            </w:r>
          </w:p>
        </w:tc>
        <w:tc>
          <w:tcPr>
            <w:tcW w:w="1642" w:type="dxa"/>
            <w:vAlign w:val="center"/>
          </w:tcPr>
          <w:p>
            <w:pPr>
              <w:pStyle w:val="32"/>
              <w:spacing w:before="121"/>
              <w:ind w:right="356"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w:t>
            </w:r>
            <w:r>
              <w:rPr>
                <w:rFonts w:cs="Times New Roman" w:asciiTheme="minorHAnsi" w:hAnsiTheme="minorHAnsi" w:eastAsiaTheme="minorEastAsia"/>
                <w:position w:val="1"/>
                <w:sz w:val="21"/>
              </w:rPr>
              <w:t>mg/L</w:t>
            </w:r>
            <w:r>
              <w:rPr>
                <w:rFonts w:cs="Times New Roman" w:asciiTheme="minorHAnsi" w:hAnsiTheme="minorHAnsi" w:eastAsiaTheme="minorEastAsia"/>
                <w:sz w:val="21"/>
              </w:rPr>
              <w:t>）</w:t>
            </w:r>
          </w:p>
        </w:tc>
        <w:tc>
          <w:tcPr>
            <w:tcW w:w="1894" w:type="dxa"/>
            <w:vAlign w:val="center"/>
          </w:tcPr>
          <w:p>
            <w:pPr>
              <w:pStyle w:val="32"/>
              <w:spacing w:before="121"/>
              <w:ind w:right="354"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w:t>
            </w:r>
            <w:r>
              <w:rPr>
                <w:rFonts w:cs="Times New Roman" w:asciiTheme="minorHAnsi" w:hAnsiTheme="minorHAnsi" w:eastAsiaTheme="minorEastAsia"/>
                <w:position w:val="1"/>
                <w:sz w:val="21"/>
              </w:rPr>
              <w:t>m</w:t>
            </w:r>
            <w:r>
              <w:rPr>
                <w:rFonts w:cs="Times New Roman" w:asciiTheme="minorHAnsi" w:hAnsiTheme="minorHAnsi" w:eastAsiaTheme="minorEastAsia"/>
                <w:position w:val="1"/>
                <w:sz w:val="21"/>
                <w:vertAlign w:val="superscript"/>
              </w:rPr>
              <w:t>3</w:t>
            </w:r>
            <w:r>
              <w:rPr>
                <w:rFonts w:cs="Times New Roman" w:asciiTheme="minorHAnsi" w:hAnsiTheme="minorHAnsi" w:eastAsiaTheme="minorEastAsia"/>
                <w:position w:val="1"/>
                <w:sz w:val="21"/>
              </w:rPr>
              <w:t>/d</w:t>
            </w:r>
            <w:r>
              <w:rPr>
                <w:rFonts w:cs="Times New Roman" w:asciiTheme="minorHAnsi" w:hAnsiTheme="minorHAnsi" w:eastAsiaTheme="minorEastAsia"/>
                <w:sz w:val="21"/>
              </w:rPr>
              <w:t>）</w:t>
            </w:r>
          </w:p>
        </w:tc>
        <w:tc>
          <w:tcPr>
            <w:tcW w:w="1513" w:type="dxa"/>
            <w:vAlign w:val="center"/>
          </w:tcPr>
          <w:p>
            <w:pPr>
              <w:pStyle w:val="32"/>
              <w:spacing w:before="121"/>
              <w:ind w:right="305" w:firstLine="0" w:firstLineChars="0"/>
              <w:rPr>
                <w:rFonts w:cs="Times New Roman" w:asciiTheme="minorHAnsi" w:hAnsiTheme="minorHAnsi" w:eastAsiaTheme="minorEastAsia"/>
                <w:sz w:val="21"/>
              </w:rPr>
            </w:pPr>
            <w:r>
              <w:rPr>
                <w:rFonts w:cs="Times New Roman" w:asciiTheme="minorHAnsi" w:hAnsiTheme="minorHAnsi" w:eastAsiaTheme="minorEastAsia"/>
                <w:sz w:val="21"/>
              </w:rPr>
              <w:t>（</w:t>
            </w:r>
            <w:r>
              <w:rPr>
                <w:rFonts w:cs="Times New Roman" w:asciiTheme="minorHAnsi" w:hAnsiTheme="minorHAnsi" w:eastAsiaTheme="minorEastAsia"/>
                <w:position w:val="1"/>
                <w:sz w:val="21"/>
              </w:rPr>
              <w:t>t/a</w:t>
            </w:r>
            <w:r>
              <w:rPr>
                <w:rFonts w:cs="Times New Roman" w:asciiTheme="minorHAnsi" w:hAnsiTheme="minorHAnsi" w:eastAsiaTheme="minorEastAsia"/>
                <w:sz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7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1</w:t>
            </w:r>
          </w:p>
        </w:tc>
        <w:tc>
          <w:tcPr>
            <w:tcW w:w="1260"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CODcr</w:t>
            </w:r>
          </w:p>
        </w:tc>
        <w:tc>
          <w:tcPr>
            <w:tcW w:w="163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500</w:t>
            </w:r>
          </w:p>
        </w:tc>
        <w:tc>
          <w:tcPr>
            <w:tcW w:w="1642"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50</w:t>
            </w:r>
          </w:p>
        </w:tc>
        <w:tc>
          <w:tcPr>
            <w:tcW w:w="189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200</w:t>
            </w:r>
          </w:p>
        </w:tc>
        <w:tc>
          <w:tcPr>
            <w:tcW w:w="1513"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32.85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7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2</w:t>
            </w:r>
          </w:p>
        </w:tc>
        <w:tc>
          <w:tcPr>
            <w:tcW w:w="1260"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BOD</w:t>
            </w:r>
            <w:r>
              <w:rPr>
                <w:rFonts w:cs="Times New Roman" w:asciiTheme="minorHAnsi" w:hAnsiTheme="minorHAnsi" w:eastAsiaTheme="minorEastAsia"/>
                <w:szCs w:val="21"/>
                <w:vertAlign w:val="subscript"/>
                <w:lang w:eastAsia="en-US"/>
              </w:rPr>
              <w:t>5</w:t>
            </w:r>
          </w:p>
        </w:tc>
        <w:tc>
          <w:tcPr>
            <w:tcW w:w="163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190</w:t>
            </w:r>
          </w:p>
        </w:tc>
        <w:tc>
          <w:tcPr>
            <w:tcW w:w="1642"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10</w:t>
            </w:r>
          </w:p>
        </w:tc>
        <w:tc>
          <w:tcPr>
            <w:tcW w:w="189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200</w:t>
            </w:r>
          </w:p>
        </w:tc>
        <w:tc>
          <w:tcPr>
            <w:tcW w:w="1513"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13.14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7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3</w:t>
            </w:r>
          </w:p>
        </w:tc>
        <w:tc>
          <w:tcPr>
            <w:tcW w:w="1260"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SS</w:t>
            </w:r>
          </w:p>
        </w:tc>
        <w:tc>
          <w:tcPr>
            <w:tcW w:w="163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200</w:t>
            </w:r>
          </w:p>
        </w:tc>
        <w:tc>
          <w:tcPr>
            <w:tcW w:w="1642"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10</w:t>
            </w:r>
          </w:p>
        </w:tc>
        <w:tc>
          <w:tcPr>
            <w:tcW w:w="189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200</w:t>
            </w:r>
          </w:p>
        </w:tc>
        <w:tc>
          <w:tcPr>
            <w:tcW w:w="1513"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13.87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7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4</w:t>
            </w:r>
          </w:p>
        </w:tc>
        <w:tc>
          <w:tcPr>
            <w:tcW w:w="1260"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NH</w:t>
            </w:r>
            <w:r>
              <w:rPr>
                <w:rFonts w:cs="Times New Roman" w:asciiTheme="minorHAnsi" w:hAnsiTheme="minorHAnsi" w:eastAsiaTheme="minorEastAsia"/>
                <w:szCs w:val="21"/>
                <w:vertAlign w:val="subscript"/>
                <w:lang w:eastAsia="en-US"/>
              </w:rPr>
              <w:t>3</w:t>
            </w:r>
            <w:r>
              <w:rPr>
                <w:rFonts w:cs="Times New Roman" w:asciiTheme="minorHAnsi" w:hAnsiTheme="minorHAnsi" w:eastAsiaTheme="minorEastAsia"/>
                <w:szCs w:val="21"/>
                <w:lang w:eastAsia="en-US"/>
              </w:rPr>
              <w:t>-N</w:t>
            </w:r>
          </w:p>
        </w:tc>
        <w:tc>
          <w:tcPr>
            <w:tcW w:w="163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40</w:t>
            </w:r>
          </w:p>
        </w:tc>
        <w:tc>
          <w:tcPr>
            <w:tcW w:w="1642"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（5）8</w:t>
            </w:r>
          </w:p>
        </w:tc>
        <w:tc>
          <w:tcPr>
            <w:tcW w:w="189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200</w:t>
            </w:r>
          </w:p>
        </w:tc>
        <w:tc>
          <w:tcPr>
            <w:tcW w:w="1513"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2.555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7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w:t>
            </w:r>
          </w:p>
        </w:tc>
        <w:tc>
          <w:tcPr>
            <w:tcW w:w="1260"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TP</w:t>
            </w:r>
          </w:p>
        </w:tc>
        <w:tc>
          <w:tcPr>
            <w:tcW w:w="163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4</w:t>
            </w:r>
          </w:p>
        </w:tc>
        <w:tc>
          <w:tcPr>
            <w:tcW w:w="1642"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0.5</w:t>
            </w:r>
          </w:p>
        </w:tc>
        <w:tc>
          <w:tcPr>
            <w:tcW w:w="189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200</w:t>
            </w:r>
          </w:p>
        </w:tc>
        <w:tc>
          <w:tcPr>
            <w:tcW w:w="1513"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0.2555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7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6</w:t>
            </w:r>
          </w:p>
        </w:tc>
        <w:tc>
          <w:tcPr>
            <w:tcW w:w="1260"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总氮</w:t>
            </w:r>
          </w:p>
        </w:tc>
        <w:tc>
          <w:tcPr>
            <w:tcW w:w="163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50</w:t>
            </w:r>
          </w:p>
        </w:tc>
        <w:tc>
          <w:tcPr>
            <w:tcW w:w="1642"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15</w:t>
            </w:r>
          </w:p>
        </w:tc>
        <w:tc>
          <w:tcPr>
            <w:tcW w:w="189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200</w:t>
            </w:r>
          </w:p>
        </w:tc>
        <w:tc>
          <w:tcPr>
            <w:tcW w:w="1513"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2.555</w:t>
            </w:r>
          </w:p>
        </w:tc>
      </w:tr>
    </w:tbl>
    <w:p>
      <w:pPr>
        <w:pStyle w:val="3"/>
      </w:pPr>
      <w:bookmarkStart w:id="20" w:name="_Toc57964361"/>
      <w:r>
        <w:t>4.</w:t>
      </w:r>
      <w:r>
        <w:rPr>
          <w:rFonts w:hint="eastAsia"/>
        </w:rPr>
        <w:t>4</w:t>
      </w:r>
      <w:r>
        <w:t xml:space="preserve"> 污水</w:t>
      </w:r>
      <w:r>
        <w:rPr>
          <w:rFonts w:hint="eastAsia"/>
        </w:rPr>
        <w:t>处理措施施及效果</w:t>
      </w:r>
      <w:bookmarkEnd w:id="20"/>
    </w:p>
    <w:p>
      <w:pPr>
        <w:pStyle w:val="4"/>
      </w:pPr>
      <w:r>
        <w:t>4.</w:t>
      </w:r>
      <w:r>
        <w:rPr>
          <w:rFonts w:hint="eastAsia"/>
        </w:rPr>
        <w:t>4</w:t>
      </w:r>
      <w:r>
        <w:t>.1 污水</w:t>
      </w:r>
      <w:r>
        <w:rPr>
          <w:rFonts w:hint="eastAsia"/>
        </w:rPr>
        <w:t>处理工艺分析</w:t>
      </w:r>
    </w:p>
    <w:p>
      <w:pPr>
        <w:ind w:firstLine="480"/>
      </w:pPr>
      <w:r>
        <w:rPr>
          <w:rFonts w:hint="eastAsia"/>
        </w:rPr>
        <w:t>一个工艺方案的确定，除了能满足处理的基本要求外，更重要的是能适应当地的实际情况，如经济文化水平、水质水量变化等，这才能使污水处理厂不仅建得起，</w:t>
      </w:r>
      <w:r>
        <w:t>而且养得起，更重要的是运行得好。</w:t>
      </w:r>
      <w:r>
        <w:rPr>
          <w:rFonts w:hint="eastAsia"/>
        </w:rPr>
        <w:t>《城市污水处理及污染防治技术政策》中强调了污水处理工程的可靠性原则，第</w:t>
      </w:r>
      <w:r>
        <w:t>4.2.3条规定：“在对氮、磷污染物有控制的地区，日处理能力在10万立方米以下的污水处理设施，除采用A/0 法、A/A/0 法外也可选用具有除磷脱氨效果的氧化沟法、SBR 法，必要时也可选用物化方法强化除磷效果。等其他的同效技术”国家技术政策的要求是污水处理厂应采用成熟、可靠的工艺，包括在设计和运行管理两个方面都由成熟的经验，以最大限度地回避工程建设中存在的风险。</w:t>
      </w:r>
      <w:r>
        <w:rPr>
          <w:rFonts w:hint="eastAsia"/>
        </w:rPr>
        <w:t>本次选用生物接触氧化加深度处理工艺，能够达到要求的出水水质，且工艺的各功能区稳态运行，且设有深度处理系统，出水稳定，保证率高，卫生观感教好。</w:t>
      </w:r>
    </w:p>
    <w:p>
      <w:pPr>
        <w:pStyle w:val="4"/>
      </w:pPr>
      <w:r>
        <w:t>4.4.</w:t>
      </w:r>
      <w:r>
        <w:rPr>
          <w:rFonts w:hint="eastAsia"/>
        </w:rPr>
        <w:t xml:space="preserve">2 </w:t>
      </w:r>
      <w:r>
        <w:t xml:space="preserve"> 污水处理</w:t>
      </w:r>
      <w:r>
        <w:rPr>
          <w:rFonts w:hint="eastAsia"/>
        </w:rPr>
        <w:t>效果</w:t>
      </w:r>
      <w:r>
        <w:t>分析</w:t>
      </w:r>
    </w:p>
    <w:p>
      <w:pPr>
        <w:ind w:firstLine="480"/>
      </w:pPr>
      <w:r>
        <w:rPr>
          <w:rFonts w:hint="eastAsia"/>
          <w:color w:val="000000" w:themeColor="text1"/>
        </w:rPr>
        <w:t>合水县何家畔镇何家畔村</w:t>
      </w:r>
      <w:r>
        <w:rPr>
          <w:color w:val="000000" w:themeColor="text1"/>
        </w:rPr>
        <w:t>截污</w:t>
      </w:r>
      <w:r>
        <w:rPr>
          <w:rFonts w:hint="eastAsia"/>
          <w:color w:val="000000" w:themeColor="text1"/>
        </w:rPr>
        <w:t>控源工程</w:t>
      </w:r>
      <w:r>
        <w:rPr>
          <w:rFonts w:hint="eastAsia"/>
        </w:rPr>
        <w:t>设计规模20</w:t>
      </w:r>
      <w:r>
        <w:t>0m</w:t>
      </w:r>
      <w:r>
        <w:rPr>
          <w:vertAlign w:val="superscript"/>
        </w:rPr>
        <w:t>3</w:t>
      </w:r>
      <w:r>
        <w:t>/d，不计其进入污水处理厂后的损失，进</w:t>
      </w:r>
      <w:r>
        <w:rPr>
          <w:rFonts w:hint="eastAsia"/>
        </w:rPr>
        <w:t>、</w:t>
      </w:r>
      <w:r>
        <w:t xml:space="preserve">出水按照设计标准考虑，设计进水水质 COD、BOD5，SS、氨氮、总氮、总磷，分别为 </w:t>
      </w:r>
      <w:r>
        <w:rPr>
          <w:rFonts w:hint="eastAsia"/>
        </w:rPr>
        <w:t>5</w:t>
      </w:r>
      <w:r>
        <w:t>00mg/L、</w:t>
      </w:r>
      <w:r>
        <w:rPr>
          <w:rFonts w:hint="eastAsia"/>
        </w:rPr>
        <w:t>19</w:t>
      </w:r>
      <w:r>
        <w:t>0mg/L、</w:t>
      </w:r>
      <w:r>
        <w:rPr>
          <w:rFonts w:hint="eastAsia"/>
        </w:rPr>
        <w:t>2</w:t>
      </w:r>
      <w:r>
        <w:t>00mg/L、</w:t>
      </w:r>
      <w:r>
        <w:rPr>
          <w:rFonts w:hint="eastAsia"/>
        </w:rPr>
        <w:t>40</w:t>
      </w:r>
      <w:r>
        <w:t>mg/L、</w:t>
      </w:r>
      <w:r>
        <w:rPr>
          <w:rFonts w:hint="eastAsia"/>
        </w:rPr>
        <w:t>50</w:t>
      </w:r>
      <w:r>
        <w:t>mg/L、</w:t>
      </w:r>
      <w:r>
        <w:rPr>
          <w:rFonts w:hint="eastAsia"/>
        </w:rPr>
        <w:t>4</w:t>
      </w:r>
      <w:r>
        <w:t>mg/L。按照一级</w:t>
      </w:r>
      <w:r>
        <w:rPr>
          <w:rFonts w:hint="eastAsia"/>
        </w:rPr>
        <w:t>A</w:t>
      </w:r>
      <w:r>
        <w:t xml:space="preserve">标准排放，则处理率分别为 </w:t>
      </w:r>
      <w:r>
        <w:rPr>
          <w:rFonts w:hint="eastAsia"/>
        </w:rPr>
        <w:t>90</w:t>
      </w:r>
      <w:r>
        <w:t>%  、9</w:t>
      </w:r>
      <w:r>
        <w:rPr>
          <w:rFonts w:hint="eastAsia"/>
        </w:rPr>
        <w:t>4.74</w:t>
      </w:r>
      <w:r>
        <w:t>% 、</w:t>
      </w:r>
      <w:r>
        <w:rPr>
          <w:rFonts w:hint="eastAsia"/>
        </w:rPr>
        <w:t>87.5</w:t>
      </w:r>
      <w:r>
        <w:t>% 、</w:t>
      </w:r>
      <w:r>
        <w:rPr>
          <w:rFonts w:hint="eastAsia"/>
        </w:rPr>
        <w:t>87.5</w:t>
      </w:r>
      <w:r>
        <w:t>%、</w:t>
      </w:r>
      <w:r>
        <w:rPr>
          <w:rFonts w:hint="eastAsia"/>
        </w:rPr>
        <w:t>70</w:t>
      </w:r>
      <w:r>
        <w:t>%、</w:t>
      </w:r>
      <w:r>
        <w:rPr>
          <w:rFonts w:hint="eastAsia"/>
        </w:rPr>
        <w:t>87.5</w:t>
      </w:r>
      <w:r>
        <w:t xml:space="preserve"> %。从表4.3-</w:t>
      </w:r>
      <w:r>
        <w:rPr>
          <w:rFonts w:hint="eastAsia"/>
        </w:rPr>
        <w:t>4</w:t>
      </w:r>
      <w:r>
        <w:t xml:space="preserve"> 可以看出，各特征污染物去除率由大到小的排列次序是BOD</w:t>
      </w:r>
      <w:r>
        <w:rPr>
          <w:vertAlign w:val="subscript"/>
        </w:rPr>
        <w:t>5</w:t>
      </w:r>
      <w:r>
        <w:t>＞SS＞COD＞氨氮＞总磷＞总氮。</w:t>
      </w:r>
    </w:p>
    <w:p>
      <w:pPr>
        <w:tabs>
          <w:tab w:val="left" w:pos="3240"/>
        </w:tabs>
        <w:spacing w:line="240" w:lineRule="auto"/>
        <w:ind w:firstLine="0" w:firstLineChars="0"/>
        <w:jc w:val="center"/>
        <w:rPr>
          <w:b/>
          <w:sz w:val="21"/>
        </w:rPr>
      </w:pPr>
      <w:r>
        <w:rPr>
          <w:b/>
          <w:sz w:val="21"/>
        </w:rPr>
        <w:t>表</w:t>
      </w:r>
      <w:r>
        <w:rPr>
          <w:b/>
          <w:spacing w:val="-52"/>
          <w:sz w:val="21"/>
        </w:rPr>
        <w:t xml:space="preserve"> </w:t>
      </w:r>
      <w:r>
        <w:rPr>
          <w:rFonts w:eastAsia="Times New Roman"/>
          <w:b/>
          <w:sz w:val="21"/>
        </w:rPr>
        <w:t>4.4-</w:t>
      </w:r>
      <w:r>
        <w:rPr>
          <w:rFonts w:hint="eastAsia" w:eastAsiaTheme="minorEastAsia"/>
          <w:b/>
          <w:sz w:val="21"/>
        </w:rPr>
        <w:t xml:space="preserve">1    </w:t>
      </w:r>
      <w:r>
        <w:rPr>
          <w:b/>
          <w:sz w:val="21"/>
        </w:rPr>
        <w:t>设计排放规模条</w:t>
      </w:r>
      <w:r>
        <w:rPr>
          <w:b/>
          <w:spacing w:val="-3"/>
          <w:sz w:val="21"/>
        </w:rPr>
        <w:t>件</w:t>
      </w:r>
      <w:r>
        <w:rPr>
          <w:b/>
          <w:sz w:val="21"/>
        </w:rPr>
        <w:t>下</w:t>
      </w:r>
      <w:r>
        <w:rPr>
          <w:rFonts w:hint="eastAsia"/>
          <w:b/>
          <w:sz w:val="21"/>
        </w:rPr>
        <w:t>处理效率</w:t>
      </w:r>
    </w:p>
    <w:p>
      <w:pPr>
        <w:pStyle w:val="7"/>
        <w:spacing w:before="10"/>
        <w:ind w:firstLine="141"/>
        <w:rPr>
          <w:b/>
          <w:sz w:val="7"/>
        </w:rPr>
      </w:pPr>
    </w:p>
    <w:tbl>
      <w:tblPr>
        <w:tblStyle w:val="31"/>
        <w:tblW w:w="0" w:type="auto"/>
        <w:tblInd w:w="211"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87"/>
        <w:gridCol w:w="1347"/>
        <w:gridCol w:w="1637"/>
        <w:gridCol w:w="1642"/>
        <w:gridCol w:w="1894"/>
        <w:gridCol w:w="170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787" w:type="dxa"/>
            <w:vMerge w:val="restart"/>
            <w:vAlign w:val="center"/>
          </w:tcPr>
          <w:p>
            <w:pPr>
              <w:pStyle w:val="32"/>
              <w:ind w:firstLine="0" w:firstLineChars="0"/>
              <w:rPr>
                <w:rFonts w:cs="Times New Roman" w:asciiTheme="minorHAnsi" w:hAnsiTheme="minorHAnsi" w:eastAsiaTheme="minorEastAsia"/>
                <w:b/>
                <w:sz w:val="21"/>
              </w:rPr>
            </w:pPr>
            <w:r>
              <w:rPr>
                <w:rFonts w:cs="Times New Roman" w:asciiTheme="minorHAnsi" w:hAnsiTheme="minorHAnsi" w:eastAsiaTheme="minorEastAsia"/>
                <w:b/>
                <w:sz w:val="21"/>
              </w:rPr>
              <w:t>序号</w:t>
            </w:r>
          </w:p>
        </w:tc>
        <w:tc>
          <w:tcPr>
            <w:tcW w:w="1347" w:type="dxa"/>
            <w:vMerge w:val="restart"/>
            <w:vAlign w:val="center"/>
          </w:tcPr>
          <w:p>
            <w:pPr>
              <w:pStyle w:val="32"/>
              <w:ind w:firstLine="0" w:firstLineChars="0"/>
              <w:rPr>
                <w:rFonts w:cs="Times New Roman" w:asciiTheme="minorHAnsi" w:hAnsiTheme="minorHAnsi" w:eastAsiaTheme="minorEastAsia"/>
                <w:b/>
                <w:sz w:val="21"/>
                <w:lang w:eastAsia="zh-CN"/>
              </w:rPr>
            </w:pPr>
            <w:r>
              <w:rPr>
                <w:rFonts w:cs="Times New Roman" w:asciiTheme="minorHAnsi" w:hAnsiTheme="minorHAnsi" w:eastAsiaTheme="minorEastAsia"/>
                <w:b/>
                <w:sz w:val="21"/>
                <w:lang w:eastAsia="zh-CN"/>
              </w:rPr>
              <w:t>基本控制</w:t>
            </w:r>
            <w:r>
              <w:rPr>
                <w:rFonts w:cs="Times New Roman" w:asciiTheme="minorHAnsi" w:hAnsiTheme="minorHAnsi" w:eastAsiaTheme="minorEastAsia"/>
                <w:b/>
                <w:sz w:val="21"/>
              </w:rPr>
              <w:t>项目</w:t>
            </w:r>
          </w:p>
        </w:tc>
        <w:tc>
          <w:tcPr>
            <w:tcW w:w="1637" w:type="dxa"/>
            <w:vAlign w:val="center"/>
          </w:tcPr>
          <w:p>
            <w:pPr>
              <w:pStyle w:val="32"/>
              <w:spacing w:before="118"/>
              <w:ind w:right="351" w:firstLine="0" w:firstLineChars="0"/>
              <w:rPr>
                <w:rFonts w:cs="Times New Roman" w:asciiTheme="minorHAnsi" w:hAnsiTheme="minorHAnsi" w:eastAsiaTheme="minorEastAsia"/>
                <w:b/>
                <w:sz w:val="21"/>
              </w:rPr>
            </w:pPr>
            <w:r>
              <w:rPr>
                <w:rFonts w:cs="Times New Roman" w:asciiTheme="minorHAnsi" w:hAnsiTheme="minorHAnsi" w:eastAsiaTheme="minorEastAsia"/>
                <w:b/>
                <w:sz w:val="21"/>
                <w:lang w:eastAsia="zh-CN"/>
              </w:rPr>
              <w:t>设计</w:t>
            </w:r>
            <w:r>
              <w:rPr>
                <w:rFonts w:cs="Times New Roman" w:asciiTheme="minorHAnsi" w:hAnsiTheme="minorHAnsi" w:eastAsiaTheme="minorEastAsia"/>
                <w:b/>
                <w:sz w:val="21"/>
              </w:rPr>
              <w:t>进水水质</w:t>
            </w:r>
          </w:p>
        </w:tc>
        <w:tc>
          <w:tcPr>
            <w:tcW w:w="1642" w:type="dxa"/>
            <w:vAlign w:val="center"/>
          </w:tcPr>
          <w:p>
            <w:pPr>
              <w:pStyle w:val="32"/>
              <w:spacing w:before="118"/>
              <w:ind w:right="354" w:firstLine="0" w:firstLineChars="0"/>
              <w:rPr>
                <w:rFonts w:cs="Times New Roman" w:asciiTheme="minorHAnsi" w:hAnsiTheme="minorHAnsi" w:eastAsiaTheme="minorEastAsia"/>
                <w:b/>
                <w:sz w:val="21"/>
              </w:rPr>
            </w:pPr>
            <w:r>
              <w:rPr>
                <w:rFonts w:cs="Times New Roman" w:asciiTheme="minorHAnsi" w:hAnsiTheme="minorHAnsi" w:eastAsiaTheme="minorEastAsia"/>
                <w:b/>
                <w:sz w:val="21"/>
                <w:lang w:eastAsia="zh-CN"/>
              </w:rPr>
              <w:t>一级A标准</w:t>
            </w:r>
          </w:p>
        </w:tc>
        <w:tc>
          <w:tcPr>
            <w:tcW w:w="1894" w:type="dxa"/>
            <w:vAlign w:val="center"/>
          </w:tcPr>
          <w:p>
            <w:pPr>
              <w:pStyle w:val="32"/>
              <w:spacing w:before="118"/>
              <w:ind w:right="351" w:firstLine="0" w:firstLineChars="0"/>
              <w:rPr>
                <w:rFonts w:cs="Times New Roman" w:asciiTheme="minorHAnsi" w:hAnsiTheme="minorHAnsi" w:eastAsiaTheme="minorEastAsia"/>
                <w:b/>
                <w:sz w:val="21"/>
              </w:rPr>
            </w:pPr>
            <w:r>
              <w:rPr>
                <w:rFonts w:cs="Times New Roman" w:asciiTheme="minorHAnsi" w:hAnsiTheme="minorHAnsi" w:eastAsiaTheme="minorEastAsia"/>
                <w:b/>
                <w:sz w:val="21"/>
              </w:rPr>
              <w:t>设计规模</w:t>
            </w:r>
          </w:p>
        </w:tc>
        <w:tc>
          <w:tcPr>
            <w:tcW w:w="1701" w:type="dxa"/>
            <w:vAlign w:val="center"/>
          </w:tcPr>
          <w:p>
            <w:pPr>
              <w:pStyle w:val="32"/>
              <w:spacing w:before="118"/>
              <w:ind w:right="306" w:firstLine="0" w:firstLineChars="0"/>
              <w:rPr>
                <w:rFonts w:cs="Times New Roman" w:asciiTheme="minorHAnsi" w:hAnsiTheme="minorHAnsi" w:eastAsiaTheme="minorEastAsia"/>
                <w:b/>
                <w:sz w:val="21"/>
                <w:lang w:eastAsia="zh-CN"/>
              </w:rPr>
            </w:pPr>
            <w:r>
              <w:rPr>
                <w:rFonts w:cs="Times New Roman" w:asciiTheme="minorHAnsi" w:hAnsiTheme="minorHAnsi" w:eastAsiaTheme="minorEastAsia"/>
                <w:b/>
                <w:sz w:val="21"/>
                <w:lang w:eastAsia="zh-CN"/>
              </w:rPr>
              <w:t>处理效率（%）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9" w:hRule="atLeast"/>
        </w:trPr>
        <w:tc>
          <w:tcPr>
            <w:tcW w:w="787" w:type="dxa"/>
            <w:vMerge w:val="continue"/>
            <w:vAlign w:val="center"/>
          </w:tcPr>
          <w:p>
            <w:pPr>
              <w:ind w:firstLine="40"/>
              <w:jc w:val="center"/>
              <w:rPr>
                <w:rFonts w:cs="Times New Roman" w:asciiTheme="minorHAnsi" w:hAnsiTheme="minorHAnsi" w:eastAsiaTheme="minorEastAsia"/>
                <w:b/>
                <w:sz w:val="2"/>
                <w:szCs w:val="2"/>
                <w:lang w:eastAsia="en-US"/>
              </w:rPr>
            </w:pPr>
          </w:p>
        </w:tc>
        <w:tc>
          <w:tcPr>
            <w:tcW w:w="1347" w:type="dxa"/>
            <w:vMerge w:val="continue"/>
            <w:vAlign w:val="center"/>
          </w:tcPr>
          <w:p>
            <w:pPr>
              <w:ind w:firstLine="40"/>
              <w:jc w:val="center"/>
              <w:rPr>
                <w:rFonts w:cs="Times New Roman" w:asciiTheme="minorHAnsi" w:hAnsiTheme="minorHAnsi" w:eastAsiaTheme="minorEastAsia"/>
                <w:b/>
                <w:sz w:val="2"/>
                <w:szCs w:val="2"/>
                <w:lang w:eastAsia="en-US"/>
              </w:rPr>
            </w:pPr>
          </w:p>
        </w:tc>
        <w:tc>
          <w:tcPr>
            <w:tcW w:w="1637" w:type="dxa"/>
            <w:vAlign w:val="center"/>
          </w:tcPr>
          <w:p>
            <w:pPr>
              <w:pStyle w:val="32"/>
              <w:spacing w:before="121"/>
              <w:ind w:right="354" w:firstLine="0" w:firstLineChars="0"/>
              <w:rPr>
                <w:rFonts w:cs="Times New Roman" w:asciiTheme="minorHAnsi" w:hAnsiTheme="minorHAnsi" w:eastAsiaTheme="minorEastAsia"/>
                <w:b/>
                <w:sz w:val="21"/>
              </w:rPr>
            </w:pPr>
            <w:r>
              <w:rPr>
                <w:rFonts w:cs="Times New Roman" w:asciiTheme="minorHAnsi" w:hAnsiTheme="minorHAnsi" w:eastAsiaTheme="minorEastAsia"/>
                <w:b/>
                <w:sz w:val="21"/>
              </w:rPr>
              <w:t>（</w:t>
            </w:r>
            <w:r>
              <w:rPr>
                <w:rFonts w:cs="Times New Roman" w:asciiTheme="minorHAnsi" w:hAnsiTheme="minorHAnsi" w:eastAsiaTheme="minorEastAsia"/>
                <w:b/>
                <w:position w:val="1"/>
                <w:sz w:val="21"/>
              </w:rPr>
              <w:t>mg/L</w:t>
            </w:r>
            <w:r>
              <w:rPr>
                <w:rFonts w:cs="Times New Roman" w:asciiTheme="minorHAnsi" w:hAnsiTheme="minorHAnsi" w:eastAsiaTheme="minorEastAsia"/>
                <w:b/>
                <w:sz w:val="21"/>
              </w:rPr>
              <w:t>）</w:t>
            </w:r>
          </w:p>
        </w:tc>
        <w:tc>
          <w:tcPr>
            <w:tcW w:w="1642" w:type="dxa"/>
            <w:vAlign w:val="center"/>
          </w:tcPr>
          <w:p>
            <w:pPr>
              <w:pStyle w:val="32"/>
              <w:spacing w:before="121"/>
              <w:ind w:right="356" w:firstLine="0" w:firstLineChars="0"/>
              <w:rPr>
                <w:rFonts w:cs="Times New Roman" w:asciiTheme="minorHAnsi" w:hAnsiTheme="minorHAnsi" w:eastAsiaTheme="minorEastAsia"/>
                <w:b/>
                <w:sz w:val="21"/>
              </w:rPr>
            </w:pPr>
            <w:r>
              <w:rPr>
                <w:rFonts w:cs="Times New Roman" w:asciiTheme="minorHAnsi" w:hAnsiTheme="minorHAnsi" w:eastAsiaTheme="minorEastAsia"/>
                <w:b/>
                <w:sz w:val="21"/>
              </w:rPr>
              <w:t>（</w:t>
            </w:r>
            <w:r>
              <w:rPr>
                <w:rFonts w:cs="Times New Roman" w:asciiTheme="minorHAnsi" w:hAnsiTheme="minorHAnsi" w:eastAsiaTheme="minorEastAsia"/>
                <w:b/>
                <w:position w:val="1"/>
                <w:sz w:val="21"/>
              </w:rPr>
              <w:t>mg/L</w:t>
            </w:r>
            <w:r>
              <w:rPr>
                <w:rFonts w:cs="Times New Roman" w:asciiTheme="minorHAnsi" w:hAnsiTheme="minorHAnsi" w:eastAsiaTheme="minorEastAsia"/>
                <w:b/>
                <w:sz w:val="21"/>
              </w:rPr>
              <w:t>）</w:t>
            </w:r>
          </w:p>
        </w:tc>
        <w:tc>
          <w:tcPr>
            <w:tcW w:w="1894" w:type="dxa"/>
            <w:vAlign w:val="center"/>
          </w:tcPr>
          <w:p>
            <w:pPr>
              <w:pStyle w:val="32"/>
              <w:spacing w:before="121"/>
              <w:ind w:right="354" w:firstLineChars="0"/>
              <w:rPr>
                <w:rFonts w:cs="Times New Roman" w:asciiTheme="minorHAnsi" w:hAnsiTheme="minorHAnsi" w:eastAsiaTheme="minorEastAsia"/>
                <w:b/>
                <w:sz w:val="21"/>
              </w:rPr>
            </w:pPr>
            <w:r>
              <w:rPr>
                <w:rFonts w:cs="Times New Roman" w:asciiTheme="minorHAnsi" w:hAnsiTheme="minorHAnsi" w:eastAsiaTheme="minorEastAsia"/>
                <w:b/>
                <w:sz w:val="21"/>
              </w:rPr>
              <w:t>（</w:t>
            </w:r>
            <w:r>
              <w:rPr>
                <w:rFonts w:cs="Times New Roman" w:asciiTheme="minorHAnsi" w:hAnsiTheme="minorHAnsi" w:eastAsiaTheme="minorEastAsia"/>
                <w:b/>
                <w:position w:val="1"/>
                <w:sz w:val="21"/>
              </w:rPr>
              <w:t>m</w:t>
            </w:r>
            <w:r>
              <w:rPr>
                <w:rFonts w:cs="Times New Roman" w:asciiTheme="minorHAnsi" w:hAnsiTheme="minorHAnsi" w:eastAsiaTheme="minorEastAsia"/>
                <w:b/>
                <w:position w:val="1"/>
                <w:sz w:val="21"/>
                <w:vertAlign w:val="superscript"/>
              </w:rPr>
              <w:t>3</w:t>
            </w:r>
            <w:r>
              <w:rPr>
                <w:rFonts w:cs="Times New Roman" w:asciiTheme="minorHAnsi" w:hAnsiTheme="minorHAnsi" w:eastAsiaTheme="minorEastAsia"/>
                <w:b/>
                <w:position w:val="1"/>
                <w:sz w:val="21"/>
              </w:rPr>
              <w:t>/d</w:t>
            </w:r>
            <w:r>
              <w:rPr>
                <w:rFonts w:cs="Times New Roman" w:asciiTheme="minorHAnsi" w:hAnsiTheme="minorHAnsi" w:eastAsiaTheme="minorEastAsia"/>
                <w:b/>
                <w:sz w:val="21"/>
              </w:rPr>
              <w:t>）</w:t>
            </w:r>
          </w:p>
        </w:tc>
        <w:tc>
          <w:tcPr>
            <w:tcW w:w="1701" w:type="dxa"/>
            <w:vAlign w:val="center"/>
          </w:tcPr>
          <w:p>
            <w:pPr>
              <w:pStyle w:val="32"/>
              <w:spacing w:before="121"/>
              <w:ind w:right="305" w:firstLine="0" w:firstLineChars="0"/>
              <w:rPr>
                <w:rFonts w:cs="Times New Roman" w:asciiTheme="minorHAnsi" w:hAnsiTheme="minorHAnsi" w:eastAsiaTheme="minorEastAsia"/>
                <w:b/>
                <w:sz w:val="21"/>
              </w:rPr>
            </w:pPr>
            <w:r>
              <w:rPr>
                <w:rFonts w:cs="Times New Roman" w:asciiTheme="minorHAnsi" w:hAnsiTheme="minorHAnsi" w:eastAsiaTheme="minorEastAsia"/>
                <w:b/>
                <w:sz w:val="21"/>
              </w:rPr>
              <w:t>（</w:t>
            </w:r>
            <w:r>
              <w:rPr>
                <w:rFonts w:cs="Times New Roman" w:asciiTheme="minorHAnsi" w:hAnsiTheme="minorHAnsi" w:eastAsiaTheme="minorEastAsia"/>
                <w:b/>
                <w:position w:val="1"/>
                <w:sz w:val="21"/>
              </w:rPr>
              <w:t>t/a</w:t>
            </w:r>
            <w:r>
              <w:rPr>
                <w:rFonts w:cs="Times New Roman" w:asciiTheme="minorHAnsi" w:hAnsiTheme="minorHAnsi" w:eastAsiaTheme="minorEastAsia"/>
                <w:b/>
                <w:sz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atLeast"/>
        </w:trPr>
        <w:tc>
          <w:tcPr>
            <w:tcW w:w="78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1</w:t>
            </w:r>
          </w:p>
        </w:tc>
        <w:tc>
          <w:tcPr>
            <w:tcW w:w="134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CODcr</w:t>
            </w:r>
          </w:p>
        </w:tc>
        <w:tc>
          <w:tcPr>
            <w:tcW w:w="163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500</w:t>
            </w:r>
          </w:p>
        </w:tc>
        <w:tc>
          <w:tcPr>
            <w:tcW w:w="1642"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≤50</w:t>
            </w:r>
          </w:p>
        </w:tc>
        <w:tc>
          <w:tcPr>
            <w:tcW w:w="189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50</w:t>
            </w:r>
          </w:p>
        </w:tc>
        <w:tc>
          <w:tcPr>
            <w:tcW w:w="1701"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≥0.90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9" w:hRule="atLeast"/>
        </w:trPr>
        <w:tc>
          <w:tcPr>
            <w:tcW w:w="78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2</w:t>
            </w:r>
          </w:p>
        </w:tc>
        <w:tc>
          <w:tcPr>
            <w:tcW w:w="134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BOD</w:t>
            </w:r>
            <w:r>
              <w:rPr>
                <w:rFonts w:cs="Times New Roman" w:asciiTheme="minorHAnsi" w:hAnsiTheme="minorHAnsi" w:eastAsiaTheme="minorEastAsia"/>
                <w:szCs w:val="21"/>
                <w:vertAlign w:val="subscript"/>
                <w:lang w:eastAsia="en-US"/>
              </w:rPr>
              <w:t>5</w:t>
            </w:r>
          </w:p>
        </w:tc>
        <w:tc>
          <w:tcPr>
            <w:tcW w:w="163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200</w:t>
            </w:r>
          </w:p>
        </w:tc>
        <w:tc>
          <w:tcPr>
            <w:tcW w:w="1642"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≤10</w:t>
            </w:r>
          </w:p>
        </w:tc>
        <w:tc>
          <w:tcPr>
            <w:tcW w:w="189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50</w:t>
            </w:r>
          </w:p>
        </w:tc>
        <w:tc>
          <w:tcPr>
            <w:tcW w:w="1701" w:type="dxa"/>
            <w:vAlign w:val="center"/>
          </w:tcPr>
          <w:p>
            <w:pPr>
              <w:ind w:firstLine="0" w:firstLineChars="0"/>
              <w:jc w:val="center"/>
              <w:rPr>
                <w:rFonts w:cs="Times New Roman" w:asciiTheme="minorHAnsi" w:hAnsiTheme="minorHAnsi" w:eastAsiaTheme="minorEastAsia"/>
                <w:lang w:eastAsia="en-US"/>
              </w:rPr>
            </w:pPr>
            <w:r>
              <w:rPr>
                <w:rFonts w:cs="Times New Roman" w:asciiTheme="minorHAnsi" w:hAnsiTheme="minorHAnsi" w:eastAsiaTheme="minorEastAsia"/>
                <w:szCs w:val="21"/>
                <w:lang w:eastAsia="en-US"/>
              </w:rPr>
              <w:t>≥0.947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78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3</w:t>
            </w:r>
          </w:p>
        </w:tc>
        <w:tc>
          <w:tcPr>
            <w:tcW w:w="134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SS</w:t>
            </w:r>
          </w:p>
        </w:tc>
        <w:tc>
          <w:tcPr>
            <w:tcW w:w="163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175</w:t>
            </w:r>
          </w:p>
        </w:tc>
        <w:tc>
          <w:tcPr>
            <w:tcW w:w="1642"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≤10</w:t>
            </w:r>
          </w:p>
        </w:tc>
        <w:tc>
          <w:tcPr>
            <w:tcW w:w="189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50</w:t>
            </w:r>
          </w:p>
        </w:tc>
        <w:tc>
          <w:tcPr>
            <w:tcW w:w="1701" w:type="dxa"/>
            <w:vAlign w:val="center"/>
          </w:tcPr>
          <w:p>
            <w:pPr>
              <w:ind w:firstLine="0" w:firstLineChars="0"/>
              <w:jc w:val="center"/>
              <w:rPr>
                <w:rFonts w:cs="Times New Roman" w:asciiTheme="minorHAnsi" w:hAnsiTheme="minorHAnsi" w:eastAsiaTheme="minorEastAsia"/>
                <w:lang w:eastAsia="en-US"/>
              </w:rPr>
            </w:pPr>
            <w:r>
              <w:rPr>
                <w:rFonts w:cs="Times New Roman" w:asciiTheme="minorHAnsi" w:hAnsiTheme="minorHAnsi" w:eastAsiaTheme="minorEastAsia"/>
                <w:szCs w:val="21"/>
                <w:lang w:eastAsia="en-US"/>
              </w:rPr>
              <w:t>≥0.95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9" w:hRule="atLeast"/>
        </w:trPr>
        <w:tc>
          <w:tcPr>
            <w:tcW w:w="78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4</w:t>
            </w:r>
          </w:p>
        </w:tc>
        <w:tc>
          <w:tcPr>
            <w:tcW w:w="134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NH3-N</w:t>
            </w:r>
          </w:p>
        </w:tc>
        <w:tc>
          <w:tcPr>
            <w:tcW w:w="163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35</w:t>
            </w:r>
          </w:p>
        </w:tc>
        <w:tc>
          <w:tcPr>
            <w:tcW w:w="1642"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≤（5）8</w:t>
            </w:r>
          </w:p>
        </w:tc>
        <w:tc>
          <w:tcPr>
            <w:tcW w:w="189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50</w:t>
            </w:r>
          </w:p>
        </w:tc>
        <w:tc>
          <w:tcPr>
            <w:tcW w:w="1701" w:type="dxa"/>
            <w:vAlign w:val="center"/>
          </w:tcPr>
          <w:p>
            <w:pPr>
              <w:ind w:firstLine="0" w:firstLineChars="0"/>
              <w:jc w:val="center"/>
              <w:rPr>
                <w:rFonts w:cs="Times New Roman" w:asciiTheme="minorHAnsi" w:hAnsiTheme="minorHAnsi" w:eastAsiaTheme="minorEastAsia"/>
                <w:lang w:eastAsia="en-US"/>
              </w:rPr>
            </w:pPr>
            <w:r>
              <w:rPr>
                <w:rFonts w:cs="Times New Roman" w:asciiTheme="minorHAnsi" w:hAnsiTheme="minorHAnsi" w:eastAsiaTheme="minorEastAsia"/>
                <w:szCs w:val="21"/>
                <w:lang w:eastAsia="en-US"/>
              </w:rPr>
              <w:t>≥0.875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78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w:t>
            </w:r>
          </w:p>
        </w:tc>
        <w:tc>
          <w:tcPr>
            <w:tcW w:w="134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TP</w:t>
            </w:r>
          </w:p>
        </w:tc>
        <w:tc>
          <w:tcPr>
            <w:tcW w:w="163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7.5</w:t>
            </w:r>
          </w:p>
        </w:tc>
        <w:tc>
          <w:tcPr>
            <w:tcW w:w="1642"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≤0.5</w:t>
            </w:r>
          </w:p>
        </w:tc>
        <w:tc>
          <w:tcPr>
            <w:tcW w:w="189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50</w:t>
            </w:r>
          </w:p>
        </w:tc>
        <w:tc>
          <w:tcPr>
            <w:tcW w:w="1701" w:type="dxa"/>
            <w:vAlign w:val="center"/>
          </w:tcPr>
          <w:p>
            <w:pPr>
              <w:ind w:firstLine="0" w:firstLineChars="0"/>
              <w:jc w:val="center"/>
              <w:rPr>
                <w:rFonts w:cs="Times New Roman" w:asciiTheme="minorHAnsi" w:hAnsiTheme="minorHAnsi" w:eastAsiaTheme="minorEastAsia"/>
                <w:lang w:eastAsia="en-US"/>
              </w:rPr>
            </w:pPr>
            <w:r>
              <w:rPr>
                <w:rFonts w:cs="Times New Roman" w:asciiTheme="minorHAnsi" w:hAnsiTheme="minorHAnsi" w:eastAsiaTheme="minorEastAsia"/>
                <w:szCs w:val="21"/>
                <w:lang w:eastAsia="en-US"/>
              </w:rPr>
              <w:t>≥0.875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78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6</w:t>
            </w:r>
          </w:p>
        </w:tc>
        <w:tc>
          <w:tcPr>
            <w:tcW w:w="134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总氮</w:t>
            </w:r>
          </w:p>
        </w:tc>
        <w:tc>
          <w:tcPr>
            <w:tcW w:w="1637"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42.5</w:t>
            </w:r>
          </w:p>
        </w:tc>
        <w:tc>
          <w:tcPr>
            <w:tcW w:w="1642"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≤15</w:t>
            </w:r>
          </w:p>
        </w:tc>
        <w:tc>
          <w:tcPr>
            <w:tcW w:w="1894" w:type="dxa"/>
            <w:vAlign w:val="center"/>
          </w:tcPr>
          <w:p>
            <w:pPr>
              <w:ind w:firstLine="0" w:firstLineChars="0"/>
              <w:jc w:val="center"/>
              <w:rPr>
                <w:rFonts w:cs="Times New Roman" w:asciiTheme="minorHAnsi" w:hAnsiTheme="minorHAnsi" w:eastAsiaTheme="minorEastAsia"/>
                <w:szCs w:val="21"/>
                <w:lang w:eastAsia="en-US"/>
              </w:rPr>
            </w:pPr>
            <w:r>
              <w:rPr>
                <w:rFonts w:cs="Times New Roman" w:asciiTheme="minorHAnsi" w:hAnsiTheme="minorHAnsi" w:eastAsiaTheme="minorEastAsia"/>
                <w:szCs w:val="21"/>
                <w:lang w:eastAsia="en-US"/>
              </w:rPr>
              <w:t>50</w:t>
            </w:r>
          </w:p>
        </w:tc>
        <w:tc>
          <w:tcPr>
            <w:tcW w:w="1701" w:type="dxa"/>
            <w:vAlign w:val="center"/>
          </w:tcPr>
          <w:p>
            <w:pPr>
              <w:ind w:firstLine="0" w:firstLineChars="0"/>
              <w:jc w:val="center"/>
              <w:rPr>
                <w:rFonts w:cs="Times New Roman" w:asciiTheme="minorHAnsi" w:hAnsiTheme="minorHAnsi" w:eastAsiaTheme="minorEastAsia"/>
                <w:lang w:eastAsia="en-US"/>
              </w:rPr>
            </w:pPr>
            <w:r>
              <w:rPr>
                <w:rFonts w:cs="Times New Roman" w:asciiTheme="minorHAnsi" w:hAnsiTheme="minorHAnsi" w:eastAsiaTheme="minorEastAsia"/>
                <w:szCs w:val="21"/>
                <w:lang w:eastAsia="en-US"/>
              </w:rPr>
              <w:t>≥0.70</w:t>
            </w:r>
          </w:p>
        </w:tc>
      </w:tr>
    </w:tbl>
    <w:p>
      <w:pPr>
        <w:ind w:firstLine="480"/>
        <w:rPr>
          <w:szCs w:val="24"/>
        </w:rPr>
      </w:pPr>
    </w:p>
    <w:p>
      <w:pPr>
        <w:pStyle w:val="3"/>
      </w:pPr>
      <w:bookmarkStart w:id="21" w:name="_Toc57964362"/>
      <w:r>
        <w:t>4.</w:t>
      </w:r>
      <w:r>
        <w:rPr>
          <w:rFonts w:hint="eastAsia"/>
        </w:rPr>
        <w:t>5</w:t>
      </w:r>
      <w:r>
        <w:t xml:space="preserve"> </w:t>
      </w:r>
      <w:r>
        <w:rPr>
          <w:rFonts w:hint="eastAsia"/>
        </w:rPr>
        <w:t>入河排污口设置方案</w:t>
      </w:r>
      <w:bookmarkEnd w:id="21"/>
    </w:p>
    <w:p>
      <w:pPr>
        <w:ind w:firstLine="480"/>
      </w:pPr>
      <w:r>
        <w:rPr>
          <w:rFonts w:hint="eastAsia"/>
        </w:rPr>
        <w:t>合水县何家畔镇何家畔村截污控源工程可位于合水县何家畔镇何家畔村，污水处理站中心地理坐标：北纬</w:t>
      </w:r>
      <w:r>
        <w:rPr>
          <w:bCs/>
          <w:szCs w:val="28"/>
        </w:rPr>
        <w:t>3</w:t>
      </w:r>
      <w:r>
        <w:rPr>
          <w:rFonts w:hint="eastAsia"/>
          <w:bCs/>
          <w:szCs w:val="28"/>
        </w:rPr>
        <w:t>5</w:t>
      </w:r>
      <w:r>
        <w:rPr>
          <w:bCs/>
          <w:szCs w:val="28"/>
        </w:rPr>
        <w:t>°</w:t>
      </w:r>
      <w:r>
        <w:rPr>
          <w:rFonts w:hint="eastAsia"/>
          <w:bCs/>
          <w:szCs w:val="28"/>
        </w:rPr>
        <w:t>46</w:t>
      </w:r>
      <w:r>
        <w:rPr>
          <w:bCs/>
          <w:szCs w:val="28"/>
        </w:rPr>
        <w:t>′</w:t>
      </w:r>
      <w:r>
        <w:rPr>
          <w:rFonts w:hint="eastAsia"/>
          <w:bCs/>
          <w:szCs w:val="28"/>
        </w:rPr>
        <w:t>19.17</w:t>
      </w:r>
      <w:r>
        <w:rPr>
          <w:bCs/>
          <w:szCs w:val="28"/>
        </w:rPr>
        <w:t>″</w:t>
      </w:r>
      <w:r>
        <w:rPr>
          <w:rFonts w:hint="eastAsia"/>
        </w:rPr>
        <w:t>，东经</w:t>
      </w:r>
      <w:r>
        <w:rPr>
          <w:rFonts w:hint="eastAsia"/>
          <w:bCs/>
          <w:szCs w:val="28"/>
        </w:rPr>
        <w:t>107</w:t>
      </w:r>
      <w:r>
        <w:rPr>
          <w:bCs/>
          <w:szCs w:val="28"/>
        </w:rPr>
        <w:t>°</w:t>
      </w:r>
      <w:r>
        <w:rPr>
          <w:rFonts w:hint="eastAsia"/>
          <w:bCs/>
          <w:szCs w:val="28"/>
        </w:rPr>
        <w:t>51</w:t>
      </w:r>
      <w:r>
        <w:rPr>
          <w:bCs/>
          <w:szCs w:val="28"/>
        </w:rPr>
        <w:t>′</w:t>
      </w:r>
      <w:r>
        <w:rPr>
          <w:rFonts w:hint="eastAsia"/>
          <w:bCs/>
          <w:szCs w:val="28"/>
        </w:rPr>
        <w:t>12.12</w:t>
      </w:r>
      <w:r>
        <w:rPr>
          <w:bCs/>
          <w:szCs w:val="28"/>
        </w:rPr>
        <w:t>″</w:t>
      </w:r>
      <w:r>
        <w:rPr>
          <w:rFonts w:hint="eastAsia"/>
        </w:rPr>
        <w:t>°，入河排污口位置东</w:t>
      </w:r>
      <w:r>
        <w:rPr>
          <w:rFonts w:hint="eastAsia"/>
          <w:color w:val="000000" w:themeColor="text1"/>
        </w:rPr>
        <w:t>经</w:t>
      </w:r>
      <w:r>
        <w:rPr>
          <w:rFonts w:hint="eastAsia"/>
          <w:bCs/>
          <w:color w:val="000000" w:themeColor="text1"/>
          <w:szCs w:val="28"/>
        </w:rPr>
        <w:t>107.870374</w:t>
      </w:r>
      <w:r>
        <w:rPr>
          <w:color w:val="000000" w:themeColor="text1"/>
        </w:rPr>
        <w:t>，北纬</w:t>
      </w:r>
      <w:r>
        <w:rPr>
          <w:bCs/>
          <w:color w:val="000000" w:themeColor="text1"/>
          <w:szCs w:val="28"/>
        </w:rPr>
        <w:t>3</w:t>
      </w:r>
      <w:r>
        <w:rPr>
          <w:rFonts w:hint="eastAsia"/>
          <w:bCs/>
          <w:color w:val="000000" w:themeColor="text1"/>
          <w:szCs w:val="28"/>
        </w:rPr>
        <w:t>5.699538</w:t>
      </w:r>
      <w:r>
        <w:rPr>
          <w:color w:val="000000" w:themeColor="text1"/>
        </w:rPr>
        <w:t>。</w:t>
      </w:r>
      <w:r>
        <w:rPr>
          <w:rFonts w:hint="eastAsia"/>
          <w:color w:val="000000" w:themeColor="text1"/>
        </w:rPr>
        <w:t>该</w:t>
      </w:r>
      <w:r>
        <w:rPr>
          <w:rFonts w:hint="eastAsia"/>
        </w:rPr>
        <w:t>入河排污口为城市生活污水治理工程排污口，类型为新建入河排污口，排放方式为间歇排放，入河方式为管道。</w:t>
      </w:r>
    </w:p>
    <w:p>
      <w:pPr>
        <w:tabs>
          <w:tab w:val="left" w:pos="3007"/>
        </w:tabs>
        <w:ind w:firstLine="0" w:firstLineChars="0"/>
        <w:jc w:val="center"/>
        <w:rPr>
          <w:b/>
          <w:sz w:val="21"/>
        </w:rPr>
      </w:pPr>
      <w:r>
        <w:rPr>
          <w:b/>
          <w:sz w:val="21"/>
        </w:rPr>
        <w:t>表</w:t>
      </w:r>
      <w:r>
        <w:rPr>
          <w:b/>
          <w:spacing w:val="-52"/>
          <w:sz w:val="21"/>
        </w:rPr>
        <w:t xml:space="preserve"> </w:t>
      </w:r>
      <w:r>
        <w:rPr>
          <w:rFonts w:eastAsia="Times New Roman"/>
          <w:b/>
          <w:sz w:val="21"/>
        </w:rPr>
        <w:t>4.</w:t>
      </w:r>
      <w:r>
        <w:rPr>
          <w:rFonts w:hint="eastAsia" w:eastAsiaTheme="minorEastAsia"/>
          <w:b/>
          <w:sz w:val="21"/>
        </w:rPr>
        <w:t>5</w:t>
      </w:r>
      <w:r>
        <w:rPr>
          <w:rFonts w:eastAsia="Times New Roman"/>
          <w:b/>
          <w:sz w:val="21"/>
        </w:rPr>
        <w:t>-1</w:t>
      </w:r>
      <w:r>
        <w:rPr>
          <w:rFonts w:hint="eastAsia" w:eastAsiaTheme="minorEastAsia"/>
          <w:b/>
          <w:sz w:val="21"/>
        </w:rPr>
        <w:t xml:space="preserve">   </w:t>
      </w:r>
      <w:r>
        <w:rPr>
          <w:b/>
          <w:sz w:val="21"/>
        </w:rPr>
        <w:t>入河排污口设</w:t>
      </w:r>
      <w:r>
        <w:rPr>
          <w:b/>
          <w:spacing w:val="-3"/>
          <w:sz w:val="21"/>
        </w:rPr>
        <w:t>置</w:t>
      </w:r>
      <w:r>
        <w:rPr>
          <w:b/>
          <w:sz w:val="21"/>
        </w:rPr>
        <w:t>情</w:t>
      </w:r>
      <w:r>
        <w:rPr>
          <w:b/>
          <w:spacing w:val="-3"/>
          <w:sz w:val="21"/>
        </w:rPr>
        <w:t>况</w:t>
      </w:r>
      <w:r>
        <w:rPr>
          <w:b/>
          <w:sz w:val="21"/>
        </w:rPr>
        <w:t>统计表</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90"/>
        <w:gridCol w:w="1655"/>
        <w:gridCol w:w="913"/>
        <w:gridCol w:w="1248"/>
        <w:gridCol w:w="1214"/>
        <w:gridCol w:w="1109"/>
        <w:gridCol w:w="590"/>
        <w:gridCol w:w="590"/>
        <w:gridCol w:w="755"/>
        <w:gridCol w:w="8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Merge w:val="restart"/>
            <w:vAlign w:val="center"/>
          </w:tcPr>
          <w:p>
            <w:pPr>
              <w:tabs>
                <w:tab w:val="left" w:pos="3007"/>
              </w:tabs>
              <w:ind w:firstLine="0" w:firstLineChars="0"/>
              <w:jc w:val="center"/>
              <w:rPr>
                <w:sz w:val="21"/>
              </w:rPr>
            </w:pPr>
            <w:r>
              <w:rPr>
                <w:rFonts w:hint="eastAsia"/>
                <w:sz w:val="21"/>
              </w:rPr>
              <w:t>序号</w:t>
            </w:r>
          </w:p>
        </w:tc>
        <w:tc>
          <w:tcPr>
            <w:tcW w:w="1654" w:type="dxa"/>
            <w:vMerge w:val="restart"/>
            <w:vAlign w:val="center"/>
          </w:tcPr>
          <w:p>
            <w:pPr>
              <w:tabs>
                <w:tab w:val="left" w:pos="3007"/>
              </w:tabs>
              <w:ind w:firstLine="0" w:firstLineChars="0"/>
              <w:jc w:val="center"/>
              <w:rPr>
                <w:sz w:val="21"/>
              </w:rPr>
            </w:pPr>
            <w:r>
              <w:rPr>
                <w:rFonts w:hint="eastAsia"/>
                <w:sz w:val="21"/>
              </w:rPr>
              <w:t>入河排污</w:t>
            </w:r>
          </w:p>
          <w:p>
            <w:pPr>
              <w:tabs>
                <w:tab w:val="left" w:pos="3007"/>
              </w:tabs>
              <w:ind w:firstLine="0" w:firstLineChars="0"/>
              <w:jc w:val="center"/>
              <w:rPr>
                <w:sz w:val="21"/>
              </w:rPr>
            </w:pPr>
            <w:r>
              <w:rPr>
                <w:rFonts w:hint="eastAsia"/>
                <w:sz w:val="21"/>
              </w:rPr>
              <w:t>口名称</w:t>
            </w:r>
          </w:p>
        </w:tc>
        <w:tc>
          <w:tcPr>
            <w:tcW w:w="913" w:type="dxa"/>
            <w:vMerge w:val="restart"/>
            <w:vAlign w:val="center"/>
          </w:tcPr>
          <w:p>
            <w:pPr>
              <w:tabs>
                <w:tab w:val="left" w:pos="3007"/>
              </w:tabs>
              <w:ind w:firstLine="0" w:firstLineChars="0"/>
              <w:jc w:val="center"/>
              <w:rPr>
                <w:sz w:val="21"/>
              </w:rPr>
            </w:pPr>
            <w:r>
              <w:rPr>
                <w:rFonts w:hint="eastAsia"/>
                <w:sz w:val="21"/>
              </w:rPr>
              <w:t>设置情</w:t>
            </w:r>
          </w:p>
          <w:p>
            <w:pPr>
              <w:tabs>
                <w:tab w:val="left" w:pos="3007"/>
              </w:tabs>
              <w:ind w:firstLine="0" w:firstLineChars="0"/>
              <w:jc w:val="center"/>
              <w:rPr>
                <w:sz w:val="21"/>
              </w:rPr>
            </w:pPr>
            <w:r>
              <w:rPr>
                <w:rFonts w:hint="eastAsia"/>
                <w:sz w:val="21"/>
              </w:rPr>
              <w:t>况说明</w:t>
            </w:r>
          </w:p>
        </w:tc>
        <w:tc>
          <w:tcPr>
            <w:tcW w:w="0" w:type="auto"/>
            <w:vMerge w:val="restart"/>
            <w:vAlign w:val="center"/>
          </w:tcPr>
          <w:p>
            <w:pPr>
              <w:tabs>
                <w:tab w:val="left" w:pos="3007"/>
              </w:tabs>
              <w:ind w:firstLine="0" w:firstLineChars="0"/>
              <w:jc w:val="center"/>
              <w:rPr>
                <w:sz w:val="21"/>
              </w:rPr>
            </w:pPr>
            <w:r>
              <w:rPr>
                <w:rFonts w:hint="eastAsia"/>
                <w:sz w:val="21"/>
              </w:rPr>
              <w:t>设置单位</w:t>
            </w:r>
          </w:p>
          <w:p>
            <w:pPr>
              <w:tabs>
                <w:tab w:val="left" w:pos="3007"/>
              </w:tabs>
              <w:ind w:firstLine="0" w:firstLineChars="0"/>
              <w:jc w:val="center"/>
              <w:rPr>
                <w:sz w:val="21"/>
              </w:rPr>
            </w:pPr>
            <w:r>
              <w:rPr>
                <w:rFonts w:hint="eastAsia"/>
                <w:sz w:val="21"/>
              </w:rPr>
              <w:t>名称</w:t>
            </w:r>
          </w:p>
        </w:tc>
        <w:tc>
          <w:tcPr>
            <w:tcW w:w="0" w:type="auto"/>
            <w:gridSpan w:val="2"/>
            <w:vAlign w:val="center"/>
          </w:tcPr>
          <w:p>
            <w:pPr>
              <w:tabs>
                <w:tab w:val="left" w:pos="3007"/>
              </w:tabs>
              <w:ind w:firstLine="0" w:firstLineChars="0"/>
              <w:jc w:val="center"/>
              <w:rPr>
                <w:sz w:val="21"/>
              </w:rPr>
            </w:pPr>
            <w:r>
              <w:rPr>
                <w:rFonts w:hint="eastAsia"/>
                <w:sz w:val="21"/>
              </w:rPr>
              <w:t>地理位置</w:t>
            </w:r>
          </w:p>
        </w:tc>
        <w:tc>
          <w:tcPr>
            <w:tcW w:w="0" w:type="auto"/>
            <w:vMerge w:val="restart"/>
            <w:vAlign w:val="center"/>
          </w:tcPr>
          <w:p>
            <w:pPr>
              <w:tabs>
                <w:tab w:val="left" w:pos="3007"/>
              </w:tabs>
              <w:ind w:firstLine="0" w:firstLineChars="0"/>
              <w:jc w:val="center"/>
              <w:rPr>
                <w:sz w:val="21"/>
              </w:rPr>
            </w:pPr>
            <w:r>
              <w:rPr>
                <w:rFonts w:hint="eastAsia"/>
                <w:sz w:val="21"/>
              </w:rPr>
              <w:t>入河</w:t>
            </w:r>
          </w:p>
          <w:p>
            <w:pPr>
              <w:tabs>
                <w:tab w:val="left" w:pos="3007"/>
              </w:tabs>
              <w:ind w:firstLine="0" w:firstLineChars="0"/>
              <w:jc w:val="center"/>
              <w:rPr>
                <w:sz w:val="21"/>
              </w:rPr>
            </w:pPr>
            <w:r>
              <w:rPr>
                <w:rFonts w:hint="eastAsia"/>
                <w:sz w:val="21"/>
              </w:rPr>
              <w:t>方式</w:t>
            </w:r>
          </w:p>
        </w:tc>
        <w:tc>
          <w:tcPr>
            <w:tcW w:w="0" w:type="auto"/>
            <w:vMerge w:val="restart"/>
            <w:vAlign w:val="center"/>
          </w:tcPr>
          <w:p>
            <w:pPr>
              <w:tabs>
                <w:tab w:val="left" w:pos="3007"/>
              </w:tabs>
              <w:ind w:firstLine="0" w:firstLineChars="0"/>
              <w:jc w:val="center"/>
              <w:rPr>
                <w:sz w:val="21"/>
              </w:rPr>
            </w:pPr>
            <w:r>
              <w:rPr>
                <w:rFonts w:hint="eastAsia"/>
                <w:sz w:val="21"/>
              </w:rPr>
              <w:t>排放</w:t>
            </w:r>
          </w:p>
          <w:p>
            <w:pPr>
              <w:tabs>
                <w:tab w:val="left" w:pos="3007"/>
              </w:tabs>
              <w:ind w:firstLine="0" w:firstLineChars="0"/>
              <w:jc w:val="center"/>
              <w:rPr>
                <w:sz w:val="21"/>
              </w:rPr>
            </w:pPr>
            <w:r>
              <w:rPr>
                <w:rFonts w:hint="eastAsia"/>
                <w:sz w:val="21"/>
              </w:rPr>
              <w:t>方式</w:t>
            </w:r>
          </w:p>
        </w:tc>
        <w:tc>
          <w:tcPr>
            <w:tcW w:w="0" w:type="auto"/>
            <w:vMerge w:val="restart"/>
            <w:vAlign w:val="center"/>
          </w:tcPr>
          <w:p>
            <w:pPr>
              <w:tabs>
                <w:tab w:val="left" w:pos="3007"/>
              </w:tabs>
              <w:ind w:firstLine="0" w:firstLineChars="0"/>
              <w:jc w:val="center"/>
              <w:rPr>
                <w:sz w:val="21"/>
              </w:rPr>
            </w:pPr>
            <w:r>
              <w:rPr>
                <w:rFonts w:hint="eastAsia"/>
                <w:sz w:val="21"/>
              </w:rPr>
              <w:t>排污口</w:t>
            </w:r>
          </w:p>
          <w:p>
            <w:pPr>
              <w:tabs>
                <w:tab w:val="left" w:pos="3007"/>
              </w:tabs>
              <w:ind w:firstLine="0" w:firstLineChars="0"/>
              <w:jc w:val="center"/>
              <w:rPr>
                <w:sz w:val="21"/>
              </w:rPr>
            </w:pPr>
            <w:r>
              <w:rPr>
                <w:rFonts w:hint="eastAsia"/>
                <w:sz w:val="21"/>
              </w:rPr>
              <w:t>性质</w:t>
            </w:r>
          </w:p>
        </w:tc>
        <w:tc>
          <w:tcPr>
            <w:tcW w:w="0" w:type="auto"/>
            <w:vMerge w:val="restart"/>
            <w:vAlign w:val="center"/>
          </w:tcPr>
          <w:p>
            <w:pPr>
              <w:tabs>
                <w:tab w:val="left" w:pos="3007"/>
              </w:tabs>
              <w:ind w:firstLine="0" w:firstLineChars="0"/>
              <w:jc w:val="center"/>
              <w:rPr>
                <w:sz w:val="21"/>
              </w:rPr>
            </w:pPr>
            <w:r>
              <w:rPr>
                <w:rFonts w:hint="eastAsia"/>
                <w:sz w:val="21"/>
              </w:rPr>
              <w:t>污水</w:t>
            </w:r>
          </w:p>
          <w:p>
            <w:pPr>
              <w:tabs>
                <w:tab w:val="left" w:pos="3007"/>
              </w:tabs>
              <w:ind w:firstLine="0" w:firstLineChars="0"/>
              <w:jc w:val="center"/>
              <w:rPr>
                <w:sz w:val="21"/>
              </w:rPr>
            </w:pPr>
            <w:r>
              <w:rPr>
                <w:rFonts w:hint="eastAsia"/>
                <w:sz w:val="21"/>
              </w:rPr>
              <w:t>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Merge w:val="continue"/>
          </w:tcPr>
          <w:p>
            <w:pPr>
              <w:tabs>
                <w:tab w:val="left" w:pos="3007"/>
              </w:tabs>
              <w:ind w:firstLine="0" w:firstLineChars="0"/>
              <w:rPr>
                <w:sz w:val="21"/>
              </w:rPr>
            </w:pPr>
          </w:p>
        </w:tc>
        <w:tc>
          <w:tcPr>
            <w:tcW w:w="1654" w:type="dxa"/>
            <w:vMerge w:val="continue"/>
          </w:tcPr>
          <w:p>
            <w:pPr>
              <w:tabs>
                <w:tab w:val="left" w:pos="3007"/>
              </w:tabs>
              <w:ind w:firstLine="0" w:firstLineChars="0"/>
              <w:rPr>
                <w:sz w:val="21"/>
              </w:rPr>
            </w:pPr>
          </w:p>
        </w:tc>
        <w:tc>
          <w:tcPr>
            <w:tcW w:w="913" w:type="dxa"/>
            <w:vMerge w:val="continue"/>
          </w:tcPr>
          <w:p>
            <w:pPr>
              <w:tabs>
                <w:tab w:val="left" w:pos="3007"/>
              </w:tabs>
              <w:ind w:firstLine="0" w:firstLineChars="0"/>
              <w:rPr>
                <w:sz w:val="21"/>
              </w:rPr>
            </w:pPr>
          </w:p>
        </w:tc>
        <w:tc>
          <w:tcPr>
            <w:tcW w:w="0" w:type="auto"/>
            <w:vMerge w:val="continue"/>
          </w:tcPr>
          <w:p>
            <w:pPr>
              <w:tabs>
                <w:tab w:val="left" w:pos="3007"/>
              </w:tabs>
              <w:ind w:firstLine="0" w:firstLineChars="0"/>
              <w:rPr>
                <w:sz w:val="21"/>
              </w:rPr>
            </w:pPr>
          </w:p>
        </w:tc>
        <w:tc>
          <w:tcPr>
            <w:tcW w:w="0" w:type="auto"/>
            <w:vAlign w:val="center"/>
          </w:tcPr>
          <w:p>
            <w:pPr>
              <w:tabs>
                <w:tab w:val="left" w:pos="3007"/>
              </w:tabs>
              <w:ind w:firstLine="0" w:firstLineChars="0"/>
              <w:jc w:val="center"/>
              <w:rPr>
                <w:sz w:val="21"/>
              </w:rPr>
            </w:pPr>
            <w:r>
              <w:rPr>
                <w:rFonts w:hint="eastAsia"/>
                <w:sz w:val="21"/>
              </w:rPr>
              <w:t>经度</w:t>
            </w:r>
          </w:p>
        </w:tc>
        <w:tc>
          <w:tcPr>
            <w:tcW w:w="0" w:type="auto"/>
            <w:vAlign w:val="center"/>
          </w:tcPr>
          <w:p>
            <w:pPr>
              <w:tabs>
                <w:tab w:val="left" w:pos="3007"/>
              </w:tabs>
              <w:ind w:firstLine="0" w:firstLineChars="0"/>
              <w:jc w:val="center"/>
              <w:rPr>
                <w:sz w:val="21"/>
              </w:rPr>
            </w:pPr>
            <w:r>
              <w:rPr>
                <w:rFonts w:hint="eastAsia"/>
                <w:sz w:val="21"/>
              </w:rPr>
              <w:t>纬度</w:t>
            </w:r>
          </w:p>
        </w:tc>
        <w:tc>
          <w:tcPr>
            <w:tcW w:w="0" w:type="auto"/>
            <w:vMerge w:val="continue"/>
          </w:tcPr>
          <w:p>
            <w:pPr>
              <w:tabs>
                <w:tab w:val="left" w:pos="3007"/>
              </w:tabs>
              <w:ind w:firstLine="0" w:firstLineChars="0"/>
              <w:rPr>
                <w:sz w:val="21"/>
              </w:rPr>
            </w:pPr>
          </w:p>
        </w:tc>
        <w:tc>
          <w:tcPr>
            <w:tcW w:w="0" w:type="auto"/>
            <w:vMerge w:val="continue"/>
          </w:tcPr>
          <w:p>
            <w:pPr>
              <w:tabs>
                <w:tab w:val="left" w:pos="3007"/>
              </w:tabs>
              <w:ind w:firstLine="0" w:firstLineChars="0"/>
              <w:rPr>
                <w:sz w:val="21"/>
              </w:rPr>
            </w:pPr>
          </w:p>
        </w:tc>
        <w:tc>
          <w:tcPr>
            <w:tcW w:w="0" w:type="auto"/>
            <w:vMerge w:val="continue"/>
          </w:tcPr>
          <w:p>
            <w:pPr>
              <w:tabs>
                <w:tab w:val="left" w:pos="3007"/>
              </w:tabs>
              <w:ind w:firstLine="0" w:firstLineChars="0"/>
              <w:rPr>
                <w:sz w:val="21"/>
              </w:rPr>
            </w:pPr>
          </w:p>
        </w:tc>
        <w:tc>
          <w:tcPr>
            <w:tcW w:w="0" w:type="auto"/>
            <w:vMerge w:val="continue"/>
          </w:tcPr>
          <w:p>
            <w:pPr>
              <w:tabs>
                <w:tab w:val="left" w:pos="3007"/>
              </w:tabs>
              <w:ind w:firstLine="0" w:firstLineChars="0"/>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pPr>
              <w:tabs>
                <w:tab w:val="left" w:pos="3007"/>
              </w:tabs>
              <w:ind w:firstLine="0" w:firstLineChars="0"/>
              <w:jc w:val="center"/>
              <w:rPr>
                <w:sz w:val="21"/>
              </w:rPr>
            </w:pPr>
            <w:r>
              <w:rPr>
                <w:rFonts w:hint="eastAsia"/>
                <w:sz w:val="21"/>
              </w:rPr>
              <w:t>1</w:t>
            </w:r>
          </w:p>
        </w:tc>
        <w:tc>
          <w:tcPr>
            <w:tcW w:w="1654" w:type="dxa"/>
            <w:vAlign w:val="center"/>
          </w:tcPr>
          <w:p>
            <w:pPr>
              <w:tabs>
                <w:tab w:val="left" w:pos="3007"/>
              </w:tabs>
              <w:ind w:firstLine="0" w:firstLineChars="0"/>
              <w:jc w:val="center"/>
              <w:rPr>
                <w:sz w:val="21"/>
              </w:rPr>
            </w:pPr>
            <w:r>
              <w:rPr>
                <w:rFonts w:hint="eastAsia"/>
                <w:sz w:val="21"/>
              </w:rPr>
              <w:t>何家畔村</w:t>
            </w:r>
          </w:p>
          <w:p>
            <w:pPr>
              <w:tabs>
                <w:tab w:val="left" w:pos="3007"/>
              </w:tabs>
              <w:ind w:firstLine="0" w:firstLineChars="0"/>
              <w:jc w:val="center"/>
              <w:rPr>
                <w:sz w:val="21"/>
              </w:rPr>
            </w:pPr>
            <w:r>
              <w:rPr>
                <w:rFonts w:hint="eastAsia"/>
                <w:sz w:val="21"/>
              </w:rPr>
              <w:t>入河排污口</w:t>
            </w:r>
          </w:p>
        </w:tc>
        <w:tc>
          <w:tcPr>
            <w:tcW w:w="913" w:type="dxa"/>
            <w:vAlign w:val="center"/>
          </w:tcPr>
          <w:p>
            <w:pPr>
              <w:tabs>
                <w:tab w:val="left" w:pos="3007"/>
              </w:tabs>
              <w:ind w:firstLine="0" w:firstLineChars="0"/>
              <w:jc w:val="center"/>
              <w:rPr>
                <w:sz w:val="21"/>
              </w:rPr>
            </w:pPr>
            <w:r>
              <w:rPr>
                <w:rFonts w:hint="eastAsia"/>
                <w:sz w:val="21"/>
              </w:rPr>
              <w:t>新建</w:t>
            </w:r>
          </w:p>
        </w:tc>
        <w:tc>
          <w:tcPr>
            <w:tcW w:w="0" w:type="auto"/>
            <w:vAlign w:val="center"/>
          </w:tcPr>
          <w:p>
            <w:pPr>
              <w:tabs>
                <w:tab w:val="left" w:pos="3007"/>
              </w:tabs>
              <w:ind w:firstLine="0" w:firstLineChars="0"/>
              <w:jc w:val="center"/>
              <w:rPr>
                <w:sz w:val="21"/>
              </w:rPr>
            </w:pPr>
            <w:r>
              <w:rPr>
                <w:rFonts w:hint="eastAsia"/>
                <w:sz w:val="21"/>
              </w:rPr>
              <w:t>合水县环保局</w:t>
            </w:r>
          </w:p>
        </w:tc>
        <w:tc>
          <w:tcPr>
            <w:tcW w:w="0" w:type="auto"/>
            <w:vAlign w:val="center"/>
          </w:tcPr>
          <w:p>
            <w:pPr>
              <w:tabs>
                <w:tab w:val="left" w:pos="3007"/>
              </w:tabs>
              <w:ind w:firstLine="0" w:firstLineChars="0"/>
              <w:jc w:val="center"/>
              <w:rPr>
                <w:sz w:val="21"/>
                <w:szCs w:val="21"/>
              </w:rPr>
            </w:pPr>
            <w:r>
              <w:rPr>
                <w:sz w:val="21"/>
                <w:szCs w:val="21"/>
              </w:rPr>
              <w:t>107.870374</w:t>
            </w:r>
          </w:p>
        </w:tc>
        <w:tc>
          <w:tcPr>
            <w:tcW w:w="0" w:type="auto"/>
            <w:vAlign w:val="center"/>
          </w:tcPr>
          <w:p>
            <w:pPr>
              <w:tabs>
                <w:tab w:val="left" w:pos="3007"/>
              </w:tabs>
              <w:ind w:firstLine="0" w:firstLineChars="0"/>
              <w:jc w:val="center"/>
              <w:rPr>
                <w:sz w:val="21"/>
                <w:szCs w:val="21"/>
              </w:rPr>
            </w:pPr>
            <w:r>
              <w:rPr>
                <w:sz w:val="21"/>
                <w:szCs w:val="21"/>
              </w:rPr>
              <w:t>35.699538</w:t>
            </w:r>
          </w:p>
        </w:tc>
        <w:tc>
          <w:tcPr>
            <w:tcW w:w="0" w:type="auto"/>
            <w:vAlign w:val="center"/>
          </w:tcPr>
          <w:p>
            <w:pPr>
              <w:tabs>
                <w:tab w:val="left" w:pos="3007"/>
              </w:tabs>
              <w:ind w:firstLine="0" w:firstLineChars="0"/>
              <w:jc w:val="center"/>
              <w:rPr>
                <w:sz w:val="21"/>
              </w:rPr>
            </w:pPr>
            <w:r>
              <w:rPr>
                <w:rFonts w:hint="eastAsia"/>
                <w:sz w:val="21"/>
              </w:rPr>
              <w:t>管道</w:t>
            </w:r>
          </w:p>
        </w:tc>
        <w:tc>
          <w:tcPr>
            <w:tcW w:w="0" w:type="auto"/>
            <w:vAlign w:val="center"/>
          </w:tcPr>
          <w:p>
            <w:pPr>
              <w:tabs>
                <w:tab w:val="left" w:pos="3007"/>
              </w:tabs>
              <w:ind w:firstLine="0" w:firstLineChars="0"/>
              <w:jc w:val="center"/>
              <w:rPr>
                <w:sz w:val="21"/>
              </w:rPr>
            </w:pPr>
            <w:r>
              <w:rPr>
                <w:rFonts w:hint="eastAsia"/>
                <w:sz w:val="21"/>
              </w:rPr>
              <w:t>间歇</w:t>
            </w:r>
          </w:p>
        </w:tc>
        <w:tc>
          <w:tcPr>
            <w:tcW w:w="0" w:type="auto"/>
            <w:vAlign w:val="center"/>
          </w:tcPr>
          <w:p>
            <w:pPr>
              <w:tabs>
                <w:tab w:val="left" w:pos="3007"/>
              </w:tabs>
              <w:ind w:firstLine="0" w:firstLineChars="0"/>
              <w:jc w:val="center"/>
              <w:rPr>
                <w:sz w:val="21"/>
              </w:rPr>
            </w:pPr>
            <w:r>
              <w:rPr>
                <w:rFonts w:hint="eastAsia"/>
                <w:sz w:val="21"/>
              </w:rPr>
              <w:t>生活</w:t>
            </w:r>
          </w:p>
          <w:p>
            <w:pPr>
              <w:tabs>
                <w:tab w:val="left" w:pos="3007"/>
              </w:tabs>
              <w:ind w:firstLine="0" w:firstLineChars="0"/>
              <w:jc w:val="center"/>
              <w:rPr>
                <w:sz w:val="21"/>
              </w:rPr>
            </w:pPr>
            <w:r>
              <w:rPr>
                <w:rFonts w:hint="eastAsia"/>
                <w:sz w:val="21"/>
              </w:rPr>
              <w:t>污水</w:t>
            </w:r>
          </w:p>
        </w:tc>
        <w:tc>
          <w:tcPr>
            <w:tcW w:w="0" w:type="auto"/>
            <w:vAlign w:val="center"/>
          </w:tcPr>
          <w:p>
            <w:pPr>
              <w:tabs>
                <w:tab w:val="left" w:pos="3007"/>
              </w:tabs>
              <w:ind w:firstLine="0" w:firstLineChars="0"/>
              <w:jc w:val="center"/>
              <w:rPr>
                <w:sz w:val="21"/>
              </w:rPr>
            </w:pPr>
            <w:r>
              <w:rPr>
                <w:rFonts w:hint="eastAsia"/>
                <w:sz w:val="21"/>
              </w:rPr>
              <w:t>200</w:t>
            </w:r>
          </w:p>
          <w:p>
            <w:pPr>
              <w:tabs>
                <w:tab w:val="left" w:pos="3007"/>
              </w:tabs>
              <w:ind w:firstLine="0" w:firstLineChars="0"/>
              <w:jc w:val="center"/>
              <w:rPr>
                <w:sz w:val="21"/>
              </w:rPr>
            </w:pPr>
            <w:r>
              <w:rPr>
                <w:rFonts w:hint="eastAsia"/>
                <w:sz w:val="21"/>
              </w:rPr>
              <w:t>m³/d</w:t>
            </w:r>
          </w:p>
        </w:tc>
      </w:tr>
    </w:tbl>
    <w:p>
      <w:pPr>
        <w:tabs>
          <w:tab w:val="left" w:pos="3007"/>
        </w:tabs>
        <w:ind w:firstLine="0" w:firstLineChars="0"/>
        <w:rPr>
          <w:b/>
          <w:sz w:val="21"/>
        </w:rPr>
      </w:pPr>
    </w:p>
    <w:p>
      <w:pPr>
        <w:tabs>
          <w:tab w:val="left" w:pos="3007"/>
        </w:tabs>
        <w:ind w:firstLine="0" w:firstLineChars="0"/>
        <w:jc w:val="center"/>
        <w:rPr>
          <w:b/>
          <w:sz w:val="21"/>
        </w:rPr>
      </w:pPr>
      <w:r>
        <w:rPr>
          <w:lang w:val="en-US" w:bidi="ar-SA"/>
        </w:rPr>
        <w:drawing>
          <wp:inline distT="0" distB="0" distL="0" distR="0">
            <wp:extent cx="3876040" cy="319976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stretch>
                      <a:fillRect/>
                    </a:stretch>
                  </pic:blipFill>
                  <pic:spPr>
                    <a:xfrm>
                      <a:off x="0" y="0"/>
                      <a:ext cx="3876191" cy="3200000"/>
                    </a:xfrm>
                    <a:prstGeom prst="rect">
                      <a:avLst/>
                    </a:prstGeom>
                  </pic:spPr>
                </pic:pic>
              </a:graphicData>
            </a:graphic>
          </wp:inline>
        </w:drawing>
      </w:r>
    </w:p>
    <w:p>
      <w:pPr>
        <w:tabs>
          <w:tab w:val="left" w:pos="3240"/>
        </w:tabs>
        <w:ind w:firstLine="0" w:firstLineChars="0"/>
        <w:jc w:val="center"/>
        <w:rPr>
          <w:b/>
          <w:sz w:val="21"/>
        </w:rPr>
      </w:pPr>
      <w:r>
        <w:rPr>
          <w:rFonts w:hint="eastAsia"/>
          <w:b/>
          <w:sz w:val="21"/>
        </w:rPr>
        <w:t>图 4.5-</w:t>
      </w:r>
      <w:r>
        <w:rPr>
          <w:rFonts w:hint="eastAsia"/>
          <w:b/>
          <w:sz w:val="21"/>
          <w:lang w:val="en-US"/>
        </w:rPr>
        <w:t>1</w:t>
      </w:r>
      <w:r>
        <w:rPr>
          <w:rFonts w:hint="eastAsia"/>
          <w:b/>
          <w:sz w:val="21"/>
        </w:rPr>
        <w:t xml:space="preserve">   合水县何家畔村截污控源工程入河排污线路图</w:t>
      </w:r>
    </w:p>
    <w:p>
      <w:pPr>
        <w:pStyle w:val="3"/>
      </w:pPr>
      <w:bookmarkStart w:id="22" w:name="_Toc57964363"/>
      <w:r>
        <w:rPr>
          <w:rFonts w:hint="eastAsia"/>
        </w:rPr>
        <w:t>4.6小结</w:t>
      </w:r>
      <w:bookmarkEnd w:id="22"/>
    </w:p>
    <w:p>
      <w:pPr>
        <w:ind w:firstLine="480"/>
      </w:pPr>
      <w:r>
        <w:rPr>
          <w:rFonts w:hint="eastAsia"/>
        </w:rPr>
        <w:t>合水县何家畔镇何家畔村截污控源项目目前接纳的主要为何家畔村镇区居民生活污水，主要污染物包括</w:t>
      </w:r>
      <w:r>
        <w:t xml:space="preserve"> COD、氨氮、SS、总磷、总氮和粪大肠菌群等。设计规模为</w:t>
      </w:r>
      <w:r>
        <w:rPr>
          <w:rFonts w:hint="eastAsia"/>
        </w:rPr>
        <w:t>20</w:t>
      </w:r>
      <w:r>
        <w:t>0m</w:t>
      </w:r>
      <w:r>
        <w:rPr>
          <w:vertAlign w:val="superscript"/>
        </w:rPr>
        <w:t>3</w:t>
      </w:r>
      <w:r>
        <w:t>/d。目前污水处理厂正处于</w:t>
      </w:r>
      <w:r>
        <w:rPr>
          <w:rFonts w:hint="eastAsia"/>
          <w:color w:val="000000" w:themeColor="text1"/>
        </w:rPr>
        <w:t>建设</w:t>
      </w:r>
      <w:r>
        <w:t>阶段，污水收集管网同步建设。污水处理站厂理后</w:t>
      </w:r>
      <w:r>
        <w:rPr>
          <w:rFonts w:hint="eastAsia"/>
        </w:rPr>
        <w:t>最终流马莲河。</w:t>
      </w:r>
    </w:p>
    <w:p>
      <w:pPr>
        <w:ind w:firstLine="480"/>
      </w:pPr>
      <w:r>
        <w:rPr>
          <w:rFonts w:hint="eastAsia"/>
        </w:rPr>
        <w:t>污水处理站采用生物接触氧化工艺，该工艺</w:t>
      </w:r>
      <w:r>
        <w:t xml:space="preserve">具有占地小、投资低、运行维护简单、处理效果好、风险小的特点，出水水质执行《城镇污水处理厂污染物排放标准（GB18918-2002）中的一级 </w:t>
      </w:r>
      <w:r>
        <w:rPr>
          <w:rFonts w:hint="eastAsia"/>
        </w:rPr>
        <w:t>A</w:t>
      </w:r>
      <w:r>
        <w:t>标准。</w:t>
      </w:r>
    </w:p>
    <w:p>
      <w:pPr>
        <w:ind w:firstLine="480"/>
      </w:pPr>
      <w:r>
        <w:rPr>
          <w:rFonts w:hint="eastAsia"/>
        </w:rPr>
        <w:t>合水县何家畔镇何家畔村截污控源工程项目</w:t>
      </w:r>
      <w:r>
        <w:t>入河排污口位置东经</w:t>
      </w:r>
      <w:r>
        <w:rPr>
          <w:rFonts w:hint="eastAsia"/>
          <w:bCs/>
          <w:color w:val="000000" w:themeColor="text1"/>
          <w:szCs w:val="28"/>
        </w:rPr>
        <w:t>107.870374</w:t>
      </w:r>
      <w:r>
        <w:rPr>
          <w:color w:val="000000" w:themeColor="text1"/>
        </w:rPr>
        <w:t>，北纬</w:t>
      </w:r>
      <w:r>
        <w:rPr>
          <w:bCs/>
          <w:color w:val="000000" w:themeColor="text1"/>
          <w:szCs w:val="28"/>
        </w:rPr>
        <w:t>3</w:t>
      </w:r>
      <w:r>
        <w:rPr>
          <w:rFonts w:hint="eastAsia"/>
          <w:bCs/>
          <w:color w:val="000000" w:themeColor="text1"/>
          <w:szCs w:val="28"/>
        </w:rPr>
        <w:t>5.699538</w:t>
      </w:r>
      <w:r>
        <w:rPr>
          <w:color w:val="000000" w:themeColor="text1"/>
        </w:rPr>
        <w:t>。</w:t>
      </w:r>
      <w:r>
        <w:t>该入河排污口类型为新建入河排污口，性质为生活污水排污口，排放方式为</w:t>
      </w:r>
      <w:r>
        <w:rPr>
          <w:rFonts w:hint="eastAsia"/>
        </w:rPr>
        <w:t>间歇</w:t>
      </w:r>
      <w:r>
        <w:t>排放，入河方式为管道。</w:t>
      </w:r>
    </w:p>
    <w:p>
      <w:pPr>
        <w:ind w:firstLine="482"/>
        <w:rPr>
          <w:rFonts w:asciiTheme="minorEastAsia" w:hAnsiTheme="minorEastAsia" w:eastAsiaTheme="minorEastAsia"/>
          <w:b/>
          <w:bCs/>
          <w:szCs w:val="24"/>
        </w:rPr>
      </w:pPr>
      <w:r>
        <w:rPr>
          <w:rFonts w:asciiTheme="minorEastAsia" w:hAnsiTheme="minorEastAsia" w:eastAsiaTheme="minorEastAsia"/>
          <w:b/>
          <w:bCs/>
          <w:szCs w:val="24"/>
        </w:rPr>
        <w:br w:type="page"/>
      </w:r>
    </w:p>
    <w:p>
      <w:pPr>
        <w:pStyle w:val="2"/>
      </w:pPr>
      <w:bookmarkStart w:id="23" w:name="_Toc57964364"/>
      <w:r>
        <w:rPr>
          <w:rFonts w:hint="eastAsia"/>
        </w:rPr>
        <w:t xml:space="preserve">5 </w:t>
      </w:r>
      <w:r>
        <w:t>入河排污口设置可行性分析</w:t>
      </w:r>
      <w:bookmarkEnd w:id="23"/>
    </w:p>
    <w:p>
      <w:pPr>
        <w:pStyle w:val="3"/>
      </w:pPr>
      <w:bookmarkStart w:id="24" w:name="_Toc57964365"/>
      <w:r>
        <w:rPr>
          <w:rFonts w:hint="eastAsia"/>
        </w:rPr>
        <w:t xml:space="preserve">5.1 </w:t>
      </w:r>
      <w:r>
        <w:t>水功能区（水域）对入河排污口设置基本要求</w:t>
      </w:r>
      <w:bookmarkEnd w:id="24"/>
    </w:p>
    <w:p>
      <w:pPr>
        <w:ind w:firstLine="480"/>
      </w:pPr>
      <w:r>
        <w:rPr>
          <w:rFonts w:hint="eastAsia"/>
        </w:rPr>
        <w:t>合水县何家畔镇何家畔村截污控源工程</w:t>
      </w:r>
      <w:r>
        <w:t>外排污水水质符合国家法律、法规、规划和相关政策的要求和规定；在达到设计排放标准，即《城镇污水处理厂污染物排放标准》（GB18918-2002）一级</w:t>
      </w:r>
      <w:r>
        <w:rPr>
          <w:rFonts w:hint="eastAsia"/>
        </w:rPr>
        <w:t>A</w:t>
      </w:r>
      <w:r>
        <w:t>标准的前提下，还应该满足以下要求：</w:t>
      </w:r>
    </w:p>
    <w:p>
      <w:pPr>
        <w:ind w:firstLine="480"/>
      </w:pPr>
      <w:r>
        <w:rPr>
          <w:rFonts w:hint="eastAsia"/>
        </w:rPr>
        <w:t>（1）</w:t>
      </w:r>
      <w:r>
        <w:t>符合流域或区域的综合规划、水资源保护等专业规划；</w:t>
      </w:r>
    </w:p>
    <w:p>
      <w:pPr>
        <w:ind w:firstLine="480"/>
      </w:pPr>
      <w:r>
        <w:rPr>
          <w:rFonts w:hint="eastAsia"/>
        </w:rPr>
        <w:t>（2）</w:t>
      </w:r>
      <w:r>
        <w:t>排入河流的污染物总量应不使纳污水功能区的纳污总量超过其纳污能力；</w:t>
      </w:r>
    </w:p>
    <w:p>
      <w:pPr>
        <w:ind w:firstLine="480"/>
      </w:pPr>
      <w:r>
        <w:rPr>
          <w:rFonts w:hint="eastAsia"/>
        </w:rPr>
        <w:t>（3）</w:t>
      </w:r>
      <w:r>
        <w:t>在正常工况下，污水处理厂排污应不会对下游合法取用水造成实质性影响；</w:t>
      </w:r>
    </w:p>
    <w:p>
      <w:pPr>
        <w:ind w:firstLine="480"/>
      </w:pPr>
      <w:r>
        <w:rPr>
          <w:rFonts w:hint="eastAsia"/>
        </w:rPr>
        <w:t>（4）</w:t>
      </w:r>
      <w:r>
        <w:t>在正常工况下，污水处理厂排污与河段内其他入河排污口的纳污总量叠加不超过其纳污能力；</w:t>
      </w:r>
    </w:p>
    <w:p>
      <w:pPr>
        <w:ind w:firstLine="480"/>
      </w:pPr>
      <w:r>
        <w:rPr>
          <w:rFonts w:hint="eastAsia"/>
        </w:rPr>
        <w:t>（5）</w:t>
      </w:r>
      <w:r>
        <w:t>在满足上述入河排污口设置管理要求的基础上，污水处理厂排污应满足当地环保部门有关要求。</w:t>
      </w:r>
    </w:p>
    <w:p>
      <w:pPr>
        <w:ind w:firstLine="0" w:firstLineChars="0"/>
        <w:jc w:val="center"/>
        <w:rPr>
          <w:rFonts w:ascii="宋体" w:hAnsi="宋体"/>
          <w:b/>
          <w:sz w:val="21"/>
          <w:szCs w:val="21"/>
        </w:rPr>
      </w:pPr>
      <w:r>
        <w:rPr>
          <w:rFonts w:hint="eastAsia" w:ascii="宋体" w:hAnsi="宋体"/>
          <w:b/>
          <w:sz w:val="21"/>
          <w:szCs w:val="21"/>
        </w:rPr>
        <w:t>表5.1-1   有关法律法规关于排污口设置的相关要求</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42" w:type="dxa"/>
            <w:vAlign w:val="center"/>
          </w:tcPr>
          <w:p>
            <w:pPr>
              <w:ind w:firstLine="0" w:firstLineChars="0"/>
              <w:jc w:val="center"/>
              <w:rPr>
                <w:b/>
                <w:sz w:val="21"/>
                <w:szCs w:val="21"/>
              </w:rPr>
            </w:pPr>
            <w:r>
              <w:rPr>
                <w:rFonts w:hint="eastAsia"/>
                <w:b/>
                <w:sz w:val="21"/>
                <w:szCs w:val="21"/>
              </w:rPr>
              <w:t>法律法规</w:t>
            </w:r>
          </w:p>
        </w:tc>
        <w:tc>
          <w:tcPr>
            <w:tcW w:w="8224" w:type="dxa"/>
            <w:vAlign w:val="center"/>
          </w:tcPr>
          <w:p>
            <w:pPr>
              <w:ind w:firstLine="0" w:firstLineChars="0"/>
              <w:jc w:val="center"/>
              <w:rPr>
                <w:b/>
                <w:sz w:val="21"/>
                <w:szCs w:val="21"/>
              </w:rPr>
            </w:pPr>
            <w:r>
              <w:rPr>
                <w:rFonts w:hint="eastAsia"/>
                <w:b/>
                <w:sz w:val="21"/>
                <w:szCs w:val="21"/>
              </w:rPr>
              <w:t>关于排污口设置的相关设置要求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ind w:firstLine="0" w:firstLineChars="0"/>
              <w:jc w:val="center"/>
              <w:rPr>
                <w:sz w:val="21"/>
                <w:szCs w:val="21"/>
              </w:rPr>
            </w:pPr>
            <w:r>
              <w:rPr>
                <w:rFonts w:hint="eastAsia"/>
                <w:sz w:val="21"/>
                <w:szCs w:val="21"/>
              </w:rPr>
              <w:t>（1）《中华人民共和国水法》</w:t>
            </w:r>
          </w:p>
        </w:tc>
        <w:tc>
          <w:tcPr>
            <w:tcW w:w="8224" w:type="dxa"/>
          </w:tcPr>
          <w:p>
            <w:pPr>
              <w:ind w:firstLine="0" w:firstLineChars="0"/>
              <w:rPr>
                <w:sz w:val="21"/>
                <w:szCs w:val="21"/>
              </w:rPr>
            </w:pPr>
            <w:r>
              <w:rPr>
                <w:rFonts w:hint="eastAsia"/>
                <w:sz w:val="21"/>
                <w:szCs w:val="21"/>
              </w:rPr>
              <w:t>第三十四条禁止在饮用水水源保护区内设置排污口。</w:t>
            </w:r>
          </w:p>
          <w:p>
            <w:pPr>
              <w:ind w:firstLine="0" w:firstLineChars="0"/>
              <w:rPr>
                <w:b/>
                <w:sz w:val="21"/>
                <w:szCs w:val="21"/>
              </w:rPr>
            </w:pPr>
            <w:r>
              <w:rPr>
                <w:rFonts w:hint="eastAsia"/>
                <w:b/>
                <w:sz w:val="21"/>
                <w:szCs w:val="21"/>
              </w:rPr>
              <w:t>在江河、湖泊新建、改建或者扩大排污口，应当经过有管辖权的水行政主管部门或者流域管理机构同意，由环境保护行政主管部门负责对该建设项目的环境影响报告书进行审批。</w:t>
            </w:r>
          </w:p>
          <w:p>
            <w:pPr>
              <w:ind w:firstLine="0" w:firstLineChars="0"/>
              <w:rPr>
                <w:sz w:val="21"/>
                <w:szCs w:val="21"/>
              </w:rPr>
            </w:pPr>
            <w:r>
              <w:rPr>
                <w:rFonts w:hint="eastAsia"/>
                <w:sz w:val="21"/>
                <w:szCs w:val="21"/>
              </w:rPr>
              <w:t>第六</w:t>
            </w:r>
            <w:r>
              <w:rPr>
                <w:rFonts w:hint="eastAsia"/>
                <w:spacing w:val="-3"/>
                <w:sz w:val="21"/>
                <w:szCs w:val="21"/>
              </w:rPr>
              <w:t>十</w:t>
            </w:r>
            <w:r>
              <w:rPr>
                <w:rFonts w:hint="eastAsia"/>
                <w:sz w:val="21"/>
                <w:szCs w:val="21"/>
              </w:rPr>
              <w:t>七条</w:t>
            </w:r>
            <w:r>
              <w:rPr>
                <w:rFonts w:hint="eastAsia"/>
                <w:sz w:val="21"/>
                <w:szCs w:val="21"/>
              </w:rPr>
              <w:tab/>
            </w:r>
            <w:r>
              <w:rPr>
                <w:rFonts w:hint="eastAsia"/>
                <w:spacing w:val="-3"/>
                <w:sz w:val="21"/>
                <w:szCs w:val="21"/>
              </w:rPr>
              <w:t>在</w:t>
            </w:r>
            <w:r>
              <w:rPr>
                <w:rFonts w:hint="eastAsia"/>
                <w:sz w:val="21"/>
                <w:szCs w:val="21"/>
              </w:rPr>
              <w:t>饮</w:t>
            </w:r>
            <w:r>
              <w:rPr>
                <w:rFonts w:hint="eastAsia"/>
                <w:spacing w:val="-3"/>
                <w:sz w:val="21"/>
                <w:szCs w:val="21"/>
              </w:rPr>
              <w:t>用</w:t>
            </w:r>
            <w:r>
              <w:rPr>
                <w:rFonts w:hint="eastAsia"/>
                <w:sz w:val="21"/>
                <w:szCs w:val="21"/>
              </w:rPr>
              <w:t>水</w:t>
            </w:r>
            <w:r>
              <w:rPr>
                <w:rFonts w:hint="eastAsia"/>
                <w:spacing w:val="-3"/>
                <w:sz w:val="21"/>
                <w:szCs w:val="21"/>
              </w:rPr>
              <w:t>水</w:t>
            </w:r>
            <w:r>
              <w:rPr>
                <w:rFonts w:hint="eastAsia"/>
                <w:sz w:val="21"/>
                <w:szCs w:val="21"/>
              </w:rPr>
              <w:t>源保</w:t>
            </w:r>
            <w:r>
              <w:rPr>
                <w:rFonts w:hint="eastAsia"/>
                <w:spacing w:val="-3"/>
                <w:sz w:val="21"/>
                <w:szCs w:val="21"/>
              </w:rPr>
              <w:t>护</w:t>
            </w:r>
            <w:r>
              <w:rPr>
                <w:rFonts w:hint="eastAsia"/>
                <w:sz w:val="21"/>
                <w:szCs w:val="21"/>
              </w:rPr>
              <w:t>区</w:t>
            </w:r>
            <w:r>
              <w:rPr>
                <w:rFonts w:hint="eastAsia"/>
                <w:spacing w:val="-3"/>
                <w:sz w:val="21"/>
                <w:szCs w:val="21"/>
              </w:rPr>
              <w:t>内</w:t>
            </w:r>
            <w:r>
              <w:rPr>
                <w:rFonts w:hint="eastAsia"/>
                <w:sz w:val="21"/>
                <w:szCs w:val="21"/>
              </w:rPr>
              <w:t>设</w:t>
            </w:r>
            <w:r>
              <w:rPr>
                <w:rFonts w:hint="eastAsia"/>
                <w:spacing w:val="-3"/>
                <w:sz w:val="21"/>
                <w:szCs w:val="21"/>
              </w:rPr>
              <w:t>置</w:t>
            </w:r>
            <w:r>
              <w:rPr>
                <w:rFonts w:hint="eastAsia"/>
                <w:sz w:val="21"/>
                <w:szCs w:val="21"/>
              </w:rPr>
              <w:t>排</w:t>
            </w:r>
            <w:r>
              <w:rPr>
                <w:rFonts w:hint="eastAsia"/>
                <w:spacing w:val="-3"/>
                <w:sz w:val="21"/>
                <w:szCs w:val="21"/>
              </w:rPr>
              <w:t>污</w:t>
            </w:r>
            <w:r>
              <w:rPr>
                <w:rFonts w:hint="eastAsia"/>
                <w:sz w:val="21"/>
                <w:szCs w:val="21"/>
              </w:rPr>
              <w:t>口</w:t>
            </w:r>
            <w:r>
              <w:rPr>
                <w:rFonts w:hint="eastAsia"/>
                <w:spacing w:val="-3"/>
                <w:sz w:val="21"/>
                <w:szCs w:val="21"/>
              </w:rPr>
              <w:t>的</w:t>
            </w:r>
            <w:r>
              <w:rPr>
                <w:rFonts w:hint="eastAsia"/>
                <w:sz w:val="21"/>
                <w:szCs w:val="21"/>
              </w:rPr>
              <w:t>，由</w:t>
            </w:r>
            <w:r>
              <w:rPr>
                <w:rFonts w:hint="eastAsia"/>
                <w:spacing w:val="-3"/>
                <w:sz w:val="21"/>
                <w:szCs w:val="21"/>
              </w:rPr>
              <w:t>县</w:t>
            </w:r>
            <w:r>
              <w:rPr>
                <w:rFonts w:hint="eastAsia"/>
                <w:sz w:val="21"/>
                <w:szCs w:val="21"/>
              </w:rPr>
              <w:t>级</w:t>
            </w:r>
            <w:r>
              <w:rPr>
                <w:rFonts w:hint="eastAsia"/>
                <w:spacing w:val="-3"/>
                <w:sz w:val="21"/>
                <w:szCs w:val="21"/>
              </w:rPr>
              <w:t>以</w:t>
            </w:r>
            <w:r>
              <w:rPr>
                <w:rFonts w:hint="eastAsia"/>
                <w:sz w:val="21"/>
                <w:szCs w:val="21"/>
              </w:rPr>
              <w:t>上</w:t>
            </w:r>
            <w:r>
              <w:rPr>
                <w:rFonts w:hint="eastAsia"/>
                <w:spacing w:val="-3"/>
                <w:sz w:val="21"/>
                <w:szCs w:val="21"/>
              </w:rPr>
              <w:t>地</w:t>
            </w:r>
            <w:r>
              <w:rPr>
                <w:rFonts w:hint="eastAsia"/>
                <w:sz w:val="21"/>
                <w:szCs w:val="21"/>
              </w:rPr>
              <w:t>方</w:t>
            </w:r>
            <w:r>
              <w:rPr>
                <w:rFonts w:hint="eastAsia"/>
                <w:spacing w:val="-3"/>
                <w:sz w:val="21"/>
                <w:szCs w:val="21"/>
              </w:rPr>
              <w:t>人</w:t>
            </w:r>
            <w:r>
              <w:rPr>
                <w:rFonts w:hint="eastAsia"/>
                <w:sz w:val="21"/>
                <w:szCs w:val="21"/>
              </w:rPr>
              <w:t>民</w:t>
            </w:r>
            <w:r>
              <w:rPr>
                <w:rFonts w:hint="eastAsia"/>
                <w:spacing w:val="-3"/>
                <w:sz w:val="21"/>
                <w:szCs w:val="21"/>
              </w:rPr>
              <w:t>政</w:t>
            </w:r>
            <w:r>
              <w:rPr>
                <w:rFonts w:hint="eastAsia"/>
                <w:sz w:val="21"/>
                <w:szCs w:val="21"/>
              </w:rPr>
              <w:t>府责令限期拆除、恢复原状；逾期不拆除、不恢复原状的，强行拆除、恢复原状，并</w:t>
            </w:r>
          </w:p>
          <w:p>
            <w:pPr>
              <w:ind w:firstLine="0" w:firstLineChars="0"/>
              <w:rPr>
                <w:sz w:val="21"/>
                <w:szCs w:val="21"/>
              </w:rPr>
            </w:pPr>
            <w:r>
              <w:rPr>
                <w:rFonts w:hint="eastAsia"/>
                <w:sz w:val="21"/>
                <w:szCs w:val="21"/>
              </w:rPr>
              <w:t>处五万元以上十万元以下的罚款。</w:t>
            </w:r>
          </w:p>
          <w:p>
            <w:pPr>
              <w:ind w:firstLine="0" w:firstLineChars="0"/>
              <w:rPr>
                <w:b/>
                <w:sz w:val="21"/>
                <w:szCs w:val="21"/>
              </w:rPr>
            </w:pPr>
            <w:r>
              <w:rPr>
                <w:rFonts w:hint="eastAsia"/>
                <w:b/>
                <w:sz w:val="21"/>
                <w:szCs w:val="21"/>
              </w:rPr>
              <w:t>未经水行政主管部门或者流域管理机构审查同意，擅自在江河、湖泊新建、改建</w:t>
            </w:r>
          </w:p>
          <w:p>
            <w:pPr>
              <w:ind w:firstLine="0" w:firstLineChars="0"/>
              <w:rPr>
                <w:b/>
                <w:sz w:val="21"/>
                <w:szCs w:val="21"/>
              </w:rPr>
            </w:pPr>
            <w:r>
              <w:rPr>
                <w:rFonts w:hint="eastAsia"/>
                <w:b/>
                <w:sz w:val="21"/>
                <w:szCs w:val="21"/>
              </w:rPr>
              <w:t>或者扩大排污口的，由县级以上人民政府水行政主管部门或者流域管理机构依据</w:t>
            </w:r>
          </w:p>
          <w:p>
            <w:pPr>
              <w:ind w:firstLine="0" w:firstLineChars="0"/>
              <w:rPr>
                <w:b/>
                <w:sz w:val="21"/>
                <w:szCs w:val="21"/>
              </w:rPr>
            </w:pPr>
            <w:r>
              <w:rPr>
                <w:rFonts w:hint="eastAsia"/>
                <w:b/>
                <w:sz w:val="21"/>
                <w:szCs w:val="21"/>
              </w:rPr>
              <w:t>职权，责令停止违法行为，限期恢复原状，处五万元以上十万元以下的罚款。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ind w:firstLine="0" w:firstLineChars="0"/>
              <w:jc w:val="center"/>
              <w:rPr>
                <w:sz w:val="21"/>
                <w:szCs w:val="21"/>
              </w:rPr>
            </w:pPr>
            <w:r>
              <w:rPr>
                <w:rFonts w:hint="eastAsia"/>
                <w:sz w:val="21"/>
                <w:szCs w:val="21"/>
              </w:rPr>
              <w:t>（2）《中华人民共和国水污</w:t>
            </w:r>
          </w:p>
          <w:p>
            <w:pPr>
              <w:ind w:firstLine="0" w:firstLineChars="0"/>
              <w:jc w:val="center"/>
              <w:rPr>
                <w:sz w:val="21"/>
                <w:szCs w:val="21"/>
              </w:rPr>
            </w:pPr>
            <w:r>
              <w:rPr>
                <w:rFonts w:hint="eastAsia"/>
                <w:sz w:val="21"/>
                <w:szCs w:val="21"/>
              </w:rPr>
              <w:t>染防治法》</w:t>
            </w:r>
          </w:p>
        </w:tc>
        <w:tc>
          <w:tcPr>
            <w:tcW w:w="8224" w:type="dxa"/>
          </w:tcPr>
          <w:p>
            <w:pPr>
              <w:ind w:firstLine="0" w:firstLineChars="0"/>
              <w:rPr>
                <w:b/>
                <w:sz w:val="21"/>
                <w:szCs w:val="21"/>
              </w:rPr>
            </w:pPr>
            <w:r>
              <w:rPr>
                <w:rFonts w:hint="eastAsia"/>
                <w:sz w:val="21"/>
                <w:szCs w:val="21"/>
              </w:rPr>
              <w:t xml:space="preserve">第十七条  </w:t>
            </w:r>
            <w:r>
              <w:rPr>
                <w:rFonts w:hint="eastAsia"/>
                <w:b/>
                <w:sz w:val="21"/>
                <w:szCs w:val="21"/>
              </w:rPr>
              <w:t>建设单位在江河、湖泊新建、改建、扩建排污口的，应当取得水行政主</w:t>
            </w:r>
          </w:p>
          <w:p>
            <w:pPr>
              <w:ind w:firstLine="0" w:firstLineChars="0"/>
              <w:rPr>
                <w:b/>
                <w:sz w:val="21"/>
                <w:szCs w:val="21"/>
              </w:rPr>
            </w:pPr>
            <w:r>
              <w:rPr>
                <w:rFonts w:hint="eastAsia"/>
                <w:b/>
                <w:sz w:val="21"/>
                <w:szCs w:val="21"/>
              </w:rPr>
              <w:t>管部门或者流域管理机构同意；涉及通航、渔业水域的，环境保护主管部门在审</w:t>
            </w:r>
          </w:p>
          <w:p>
            <w:pPr>
              <w:ind w:firstLine="0" w:firstLineChars="0"/>
              <w:rPr>
                <w:b/>
                <w:sz w:val="21"/>
                <w:szCs w:val="21"/>
              </w:rPr>
            </w:pPr>
            <w:r>
              <w:rPr>
                <w:rFonts w:hint="eastAsia"/>
                <w:b/>
                <w:sz w:val="21"/>
                <w:szCs w:val="21"/>
              </w:rPr>
              <w:t>批环境影响评价文件时，应当征求交通、渔业主管部门的意见。</w:t>
            </w:r>
          </w:p>
          <w:p>
            <w:pPr>
              <w:ind w:firstLine="0" w:firstLineChars="0"/>
              <w:rPr>
                <w:b/>
                <w:sz w:val="21"/>
                <w:szCs w:val="21"/>
              </w:rPr>
            </w:pPr>
            <w:r>
              <w:rPr>
                <w:rFonts w:hint="eastAsia"/>
                <w:sz w:val="21"/>
                <w:szCs w:val="21"/>
              </w:rPr>
              <w:t xml:space="preserve">第二十二条  </w:t>
            </w:r>
            <w:r>
              <w:rPr>
                <w:rFonts w:hint="eastAsia"/>
                <w:b/>
                <w:sz w:val="21"/>
                <w:szCs w:val="21"/>
              </w:rPr>
              <w:t>向水体排放污染物的企业事业单位和个体工商户，应当按照法律、行</w:t>
            </w:r>
          </w:p>
          <w:p>
            <w:pPr>
              <w:ind w:firstLine="0" w:firstLineChars="0"/>
              <w:rPr>
                <w:b/>
                <w:sz w:val="21"/>
                <w:szCs w:val="21"/>
              </w:rPr>
            </w:pPr>
            <w:r>
              <w:rPr>
                <w:rFonts w:hint="eastAsia"/>
                <w:b/>
                <w:sz w:val="21"/>
                <w:szCs w:val="21"/>
              </w:rPr>
              <w:t>政法规和国务院环境保护主管部门的规定设置排污口；在江河、湖泊设置排污口的，还应当遵守国务院水行政主管部门的规定。</w:t>
            </w:r>
          </w:p>
          <w:p>
            <w:pPr>
              <w:ind w:firstLine="0" w:firstLineChars="0"/>
              <w:rPr>
                <w:sz w:val="21"/>
                <w:szCs w:val="21"/>
              </w:rPr>
            </w:pPr>
            <w:r>
              <w:rPr>
                <w:rFonts w:hint="eastAsia"/>
                <w:sz w:val="21"/>
                <w:szCs w:val="21"/>
              </w:rPr>
              <w:t>禁止私设暗管或者采取其他规避监管的方式排放水污染物。</w:t>
            </w:r>
          </w:p>
          <w:p>
            <w:pPr>
              <w:ind w:firstLine="0" w:firstLineChars="0"/>
              <w:rPr>
                <w:sz w:val="21"/>
                <w:szCs w:val="21"/>
              </w:rPr>
            </w:pPr>
            <w:r>
              <w:rPr>
                <w:rFonts w:hint="eastAsia"/>
                <w:sz w:val="21"/>
                <w:szCs w:val="21"/>
              </w:rPr>
              <w:t>第七十五条  在饮用水水源保护区内设置排污口的，由县级以上地方人民政府责令限期拆除，处十万元以上五十万元以下的罚款；逾期不拆除的，强制拆除，所需费用由违法者承担，处五十万元以上一百万元以下的罚款，并可以责令停产整顿。</w:t>
            </w:r>
          </w:p>
          <w:p>
            <w:pPr>
              <w:ind w:firstLine="0" w:firstLineChars="0"/>
              <w:rPr>
                <w:b/>
                <w:sz w:val="21"/>
                <w:szCs w:val="21"/>
              </w:rPr>
            </w:pPr>
            <w:r>
              <w:rPr>
                <w:rFonts w:hint="eastAsia"/>
                <w:b/>
                <w:sz w:val="21"/>
                <w:szCs w:val="21"/>
              </w:rPr>
              <w:t>除前款规定外，违反法律、行政法规和国务院环境保护主管部门的规定设置排污口或者私设暗管的，由县级以上地方人民政府环境保护主管部门责令限期拆除， 处二万元以上十万元以下的罚款；逾期不拆除的，强制拆除，所需费用由违法者承担，处十万元以上五十万元以下的罚款；私设暗管或者有其他严重情节的，县级以上地方人民政府环境保护主管部门可以提请县级以上地方人民政府责令停 产整顿。</w:t>
            </w:r>
          </w:p>
          <w:p>
            <w:pPr>
              <w:ind w:firstLine="0" w:firstLineChars="0"/>
              <w:rPr>
                <w:b/>
                <w:sz w:val="21"/>
                <w:szCs w:val="21"/>
              </w:rPr>
            </w:pPr>
            <w:r>
              <w:rPr>
                <w:rFonts w:hint="eastAsia"/>
                <w:b/>
                <w:sz w:val="21"/>
                <w:szCs w:val="21"/>
              </w:rPr>
              <w:t>未经水行政主管部门或者流域管理机构同意，在江河、湖泊新建、改建、扩建排污口的，由县级以上人民政府水行政主管部门或者流域管理机构依据职权，依照前款规定采取措施、给予处罚。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32"/>
              <w:spacing w:before="99"/>
              <w:ind w:right="-15" w:firstLine="0" w:firstLineChars="0"/>
              <w:jc w:val="both"/>
              <w:rPr>
                <w:sz w:val="21"/>
                <w:lang w:eastAsia="zh-CN"/>
              </w:rPr>
            </w:pPr>
            <w:r>
              <w:rPr>
                <w:rFonts w:hint="eastAsia"/>
                <w:spacing w:val="-5"/>
                <w:sz w:val="21"/>
                <w:lang w:eastAsia="zh-CN"/>
              </w:rPr>
              <w:t>（</w:t>
            </w:r>
            <w:r>
              <w:rPr>
                <w:spacing w:val="-5"/>
                <w:sz w:val="21"/>
                <w:lang w:eastAsia="zh-CN"/>
              </w:rPr>
              <w:t>3</w:t>
            </w:r>
            <w:r>
              <w:rPr>
                <w:rFonts w:hint="eastAsia"/>
                <w:spacing w:val="-5"/>
                <w:sz w:val="21"/>
                <w:lang w:eastAsia="zh-CN"/>
              </w:rPr>
              <w:t>）</w:t>
            </w:r>
            <w:r>
              <w:rPr>
                <w:rFonts w:hint="eastAsia"/>
                <w:spacing w:val="-3"/>
                <w:sz w:val="21"/>
                <w:lang w:eastAsia="zh-CN"/>
              </w:rPr>
              <w:t>《中华人民共和国水污染防治法实施</w:t>
            </w:r>
            <w:r>
              <w:rPr>
                <w:rFonts w:hint="eastAsia"/>
                <w:sz w:val="21"/>
                <w:lang w:eastAsia="zh-CN"/>
              </w:rPr>
              <w:t>细则》</w:t>
            </w:r>
          </w:p>
        </w:tc>
        <w:tc>
          <w:tcPr>
            <w:tcW w:w="8224" w:type="dxa"/>
            <w:vAlign w:val="center"/>
          </w:tcPr>
          <w:p>
            <w:pPr>
              <w:ind w:firstLine="0" w:firstLineChars="0"/>
              <w:jc w:val="both"/>
              <w:rPr>
                <w:sz w:val="21"/>
                <w:szCs w:val="21"/>
              </w:rPr>
            </w:pPr>
            <w:r>
              <w:rPr>
                <w:rFonts w:hint="eastAsia"/>
                <w:sz w:val="21"/>
              </w:rPr>
              <w:t>第十</w:t>
            </w:r>
            <w:r>
              <w:rPr>
                <w:rFonts w:hint="eastAsia"/>
                <w:spacing w:val="-3"/>
                <w:sz w:val="21"/>
              </w:rPr>
              <w:t>一</w:t>
            </w:r>
            <w:r>
              <w:rPr>
                <w:rFonts w:hint="eastAsia"/>
                <w:sz w:val="21"/>
              </w:rPr>
              <w:t xml:space="preserve">条  </w:t>
            </w:r>
            <w:r>
              <w:rPr>
                <w:rFonts w:hint="eastAsia"/>
                <w:sz w:val="21"/>
              </w:rPr>
              <w:tab/>
            </w:r>
            <w:r>
              <w:rPr>
                <w:rFonts w:hint="eastAsia"/>
                <w:sz w:val="21"/>
              </w:rPr>
              <w:t>总</w:t>
            </w:r>
            <w:r>
              <w:rPr>
                <w:rFonts w:hint="eastAsia"/>
                <w:spacing w:val="-3"/>
                <w:sz w:val="21"/>
              </w:rPr>
              <w:t>量</w:t>
            </w:r>
            <w:r>
              <w:rPr>
                <w:rFonts w:hint="eastAsia"/>
                <w:sz w:val="21"/>
              </w:rPr>
              <w:t>控</w:t>
            </w:r>
            <w:r>
              <w:rPr>
                <w:rFonts w:hint="eastAsia"/>
                <w:spacing w:val="-3"/>
                <w:sz w:val="21"/>
              </w:rPr>
              <w:t>制</w:t>
            </w:r>
            <w:r>
              <w:rPr>
                <w:rFonts w:hint="eastAsia"/>
                <w:sz w:val="21"/>
              </w:rPr>
              <w:t>实</w:t>
            </w:r>
            <w:r>
              <w:rPr>
                <w:rFonts w:hint="eastAsia"/>
                <w:spacing w:val="-3"/>
                <w:sz w:val="21"/>
              </w:rPr>
              <w:t>施</w:t>
            </w:r>
            <w:r>
              <w:rPr>
                <w:rFonts w:hint="eastAsia"/>
                <w:sz w:val="21"/>
              </w:rPr>
              <w:t>方案</w:t>
            </w:r>
            <w:r>
              <w:rPr>
                <w:rFonts w:hint="eastAsia"/>
                <w:spacing w:val="-3"/>
                <w:sz w:val="21"/>
              </w:rPr>
              <w:t>确</w:t>
            </w:r>
            <w:r>
              <w:rPr>
                <w:rFonts w:hint="eastAsia"/>
                <w:sz w:val="21"/>
              </w:rPr>
              <w:t>定</w:t>
            </w:r>
            <w:r>
              <w:rPr>
                <w:rFonts w:hint="eastAsia"/>
                <w:spacing w:val="-3"/>
                <w:sz w:val="21"/>
              </w:rPr>
              <w:t>的</w:t>
            </w:r>
            <w:r>
              <w:rPr>
                <w:rFonts w:hint="eastAsia"/>
                <w:sz w:val="21"/>
              </w:rPr>
              <w:t>削</w:t>
            </w:r>
            <w:r>
              <w:rPr>
                <w:rFonts w:hint="eastAsia"/>
                <w:spacing w:val="-3"/>
                <w:sz w:val="21"/>
              </w:rPr>
              <w:t>减</w:t>
            </w:r>
            <w:r>
              <w:rPr>
                <w:rFonts w:hint="eastAsia"/>
                <w:sz w:val="21"/>
              </w:rPr>
              <w:t>污</w:t>
            </w:r>
            <w:r>
              <w:rPr>
                <w:rFonts w:hint="eastAsia"/>
                <w:spacing w:val="-3"/>
                <w:sz w:val="21"/>
              </w:rPr>
              <w:t>染</w:t>
            </w:r>
            <w:r>
              <w:rPr>
                <w:rFonts w:hint="eastAsia"/>
                <w:sz w:val="21"/>
              </w:rPr>
              <w:t>物</w:t>
            </w:r>
            <w:r>
              <w:rPr>
                <w:rFonts w:hint="eastAsia"/>
                <w:spacing w:val="-3"/>
                <w:sz w:val="21"/>
              </w:rPr>
              <w:t>排</w:t>
            </w:r>
            <w:r>
              <w:rPr>
                <w:rFonts w:hint="eastAsia"/>
                <w:sz w:val="21"/>
              </w:rPr>
              <w:t>放量</w:t>
            </w:r>
            <w:r>
              <w:rPr>
                <w:rFonts w:hint="eastAsia"/>
                <w:spacing w:val="-3"/>
                <w:sz w:val="21"/>
              </w:rPr>
              <w:t>的</w:t>
            </w:r>
            <w:r>
              <w:rPr>
                <w:rFonts w:hint="eastAsia"/>
                <w:sz w:val="21"/>
              </w:rPr>
              <w:t>单</w:t>
            </w:r>
            <w:r>
              <w:rPr>
                <w:rFonts w:hint="eastAsia"/>
                <w:spacing w:val="-3"/>
                <w:sz w:val="21"/>
              </w:rPr>
              <w:t>位</w:t>
            </w:r>
            <w:r>
              <w:rPr>
                <w:rFonts w:hint="eastAsia"/>
                <w:sz w:val="21"/>
              </w:rPr>
              <w:t>，</w:t>
            </w:r>
            <w:r>
              <w:rPr>
                <w:rFonts w:hint="eastAsia"/>
                <w:spacing w:val="-3"/>
                <w:sz w:val="21"/>
              </w:rPr>
              <w:t>必</w:t>
            </w:r>
            <w:r>
              <w:rPr>
                <w:rFonts w:hint="eastAsia"/>
                <w:sz w:val="21"/>
              </w:rPr>
              <w:t>须</w:t>
            </w:r>
            <w:r>
              <w:rPr>
                <w:rFonts w:hint="eastAsia"/>
                <w:spacing w:val="-3"/>
                <w:sz w:val="21"/>
              </w:rPr>
              <w:t>按</w:t>
            </w:r>
            <w:r>
              <w:rPr>
                <w:rFonts w:hint="eastAsia"/>
                <w:sz w:val="21"/>
              </w:rPr>
              <w:t>照</w:t>
            </w:r>
            <w:r>
              <w:rPr>
                <w:rFonts w:hint="eastAsia"/>
                <w:spacing w:val="-3"/>
                <w:sz w:val="21"/>
              </w:rPr>
              <w:t>国</w:t>
            </w:r>
            <w:r>
              <w:rPr>
                <w:rFonts w:hint="eastAsia"/>
                <w:sz w:val="21"/>
              </w:rPr>
              <w:t>务院环境</w:t>
            </w:r>
            <w:r>
              <w:rPr>
                <w:rFonts w:hint="eastAsia"/>
                <w:spacing w:val="-3"/>
                <w:sz w:val="21"/>
              </w:rPr>
              <w:t>保</w:t>
            </w:r>
            <w:r>
              <w:rPr>
                <w:rFonts w:hint="eastAsia"/>
                <w:sz w:val="21"/>
              </w:rPr>
              <w:t>护</w:t>
            </w:r>
            <w:r>
              <w:rPr>
                <w:rFonts w:hint="eastAsia"/>
                <w:spacing w:val="-3"/>
                <w:sz w:val="21"/>
              </w:rPr>
              <w:t>部</w:t>
            </w:r>
            <w:r>
              <w:rPr>
                <w:rFonts w:hint="eastAsia"/>
                <w:sz w:val="21"/>
              </w:rPr>
              <w:t>门</w:t>
            </w:r>
            <w:r>
              <w:rPr>
                <w:rFonts w:hint="eastAsia"/>
                <w:spacing w:val="-3"/>
                <w:sz w:val="21"/>
              </w:rPr>
              <w:t>的</w:t>
            </w:r>
            <w:r>
              <w:rPr>
                <w:rFonts w:hint="eastAsia"/>
                <w:sz w:val="21"/>
              </w:rPr>
              <w:t>规</w:t>
            </w:r>
            <w:r>
              <w:rPr>
                <w:rFonts w:hint="eastAsia"/>
                <w:spacing w:val="-3"/>
                <w:sz w:val="21"/>
              </w:rPr>
              <w:t>定</w:t>
            </w:r>
            <w:r>
              <w:rPr>
                <w:rFonts w:hint="eastAsia"/>
                <w:sz w:val="21"/>
              </w:rPr>
              <w:t>设</w:t>
            </w:r>
            <w:r>
              <w:rPr>
                <w:rFonts w:hint="eastAsia"/>
                <w:spacing w:val="-3"/>
                <w:sz w:val="21"/>
              </w:rPr>
              <w:t>置</w:t>
            </w:r>
            <w:r>
              <w:rPr>
                <w:rFonts w:hint="eastAsia"/>
                <w:sz w:val="21"/>
              </w:rPr>
              <w:t>排污</w:t>
            </w:r>
            <w:r>
              <w:rPr>
                <w:rFonts w:hint="eastAsia"/>
                <w:spacing w:val="-3"/>
                <w:sz w:val="21"/>
              </w:rPr>
              <w:t>口</w:t>
            </w:r>
            <w:r>
              <w:rPr>
                <w:rFonts w:hint="eastAsia"/>
                <w:sz w:val="21"/>
              </w:rPr>
              <w:t>，</w:t>
            </w:r>
            <w:r>
              <w:rPr>
                <w:rFonts w:hint="eastAsia"/>
                <w:spacing w:val="-3"/>
                <w:sz w:val="21"/>
              </w:rPr>
              <w:t>并</w:t>
            </w:r>
            <w:r>
              <w:rPr>
                <w:rFonts w:hint="eastAsia"/>
                <w:sz w:val="21"/>
              </w:rPr>
              <w:t>安</w:t>
            </w:r>
            <w:r>
              <w:rPr>
                <w:rFonts w:hint="eastAsia"/>
                <w:spacing w:val="-3"/>
                <w:sz w:val="21"/>
              </w:rPr>
              <w:t>装</w:t>
            </w:r>
            <w:r>
              <w:rPr>
                <w:rFonts w:hint="eastAsia"/>
                <w:sz w:val="21"/>
              </w:rPr>
              <w:t>总</w:t>
            </w:r>
            <w:r>
              <w:rPr>
                <w:rFonts w:hint="eastAsia"/>
                <w:spacing w:val="-3"/>
                <w:sz w:val="21"/>
              </w:rPr>
              <w:t>量</w:t>
            </w:r>
            <w:r>
              <w:rPr>
                <w:rFonts w:hint="eastAsia"/>
                <w:sz w:val="21"/>
              </w:rPr>
              <w:t>控</w:t>
            </w:r>
            <w:r>
              <w:rPr>
                <w:rFonts w:hint="eastAsia"/>
                <w:spacing w:val="-3"/>
                <w:sz w:val="21"/>
              </w:rPr>
              <w:t>制</w:t>
            </w:r>
            <w:r>
              <w:rPr>
                <w:rFonts w:hint="eastAsia"/>
                <w:sz w:val="21"/>
              </w:rPr>
              <w:t>的监</w:t>
            </w:r>
            <w:r>
              <w:rPr>
                <w:rFonts w:hint="eastAsia"/>
                <w:spacing w:val="-3"/>
                <w:sz w:val="21"/>
              </w:rPr>
              <w:t>测</w:t>
            </w:r>
            <w:r>
              <w:rPr>
                <w:rFonts w:hint="eastAsia"/>
                <w:sz w:val="21"/>
              </w:rPr>
              <w:t>设</w:t>
            </w:r>
            <w:r>
              <w:rPr>
                <w:rFonts w:hint="eastAsia"/>
                <w:spacing w:val="-3"/>
                <w:sz w:val="21"/>
              </w:rPr>
              <w:t>备</w:t>
            </w:r>
            <w:r>
              <w:rPr>
                <w:rFonts w:hint="eastAsia"/>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32"/>
              <w:spacing w:before="97"/>
              <w:ind w:left="2" w:right="-15" w:firstLine="0" w:firstLineChars="0"/>
              <w:jc w:val="left"/>
              <w:rPr>
                <w:sz w:val="21"/>
                <w:lang w:eastAsia="zh-CN"/>
              </w:rPr>
            </w:pPr>
            <w:r>
              <w:rPr>
                <w:rFonts w:hint="eastAsia"/>
                <w:sz w:val="21"/>
                <w:lang w:eastAsia="zh-CN"/>
              </w:rPr>
              <w:t>（</w:t>
            </w:r>
            <w:r>
              <w:rPr>
                <w:sz w:val="21"/>
                <w:lang w:eastAsia="zh-CN"/>
              </w:rPr>
              <w:t>4</w:t>
            </w:r>
            <w:r>
              <w:rPr>
                <w:rFonts w:hint="eastAsia"/>
                <w:sz w:val="21"/>
                <w:lang w:eastAsia="zh-CN"/>
              </w:rPr>
              <w:t>）</w:t>
            </w:r>
            <w:r>
              <w:rPr>
                <w:rFonts w:hint="eastAsia"/>
                <w:spacing w:val="-2"/>
                <w:sz w:val="21"/>
                <w:lang w:eastAsia="zh-CN"/>
              </w:rPr>
              <w:t xml:space="preserve">中共中 </w:t>
            </w:r>
            <w:r>
              <w:rPr>
                <w:rFonts w:hint="eastAsia"/>
                <w:spacing w:val="-20"/>
                <w:sz w:val="21"/>
                <w:lang w:eastAsia="zh-CN"/>
              </w:rPr>
              <w:t>央、国务院《关</w:t>
            </w:r>
            <w:r>
              <w:rPr>
                <w:rFonts w:hint="eastAsia"/>
                <w:spacing w:val="-10"/>
                <w:sz w:val="21"/>
                <w:lang w:eastAsia="zh-CN"/>
              </w:rPr>
              <w:t>于加快水利改</w:t>
            </w:r>
            <w:r>
              <w:rPr>
                <w:rFonts w:hint="eastAsia"/>
                <w:spacing w:val="-5"/>
                <w:sz w:val="21"/>
                <w:lang w:eastAsia="zh-CN"/>
              </w:rPr>
              <w:t>革发展的决 定》</w:t>
            </w:r>
            <w:r>
              <w:rPr>
                <w:rFonts w:hint="eastAsia"/>
                <w:spacing w:val="-3"/>
                <w:sz w:val="21"/>
                <w:lang w:eastAsia="zh-CN"/>
              </w:rPr>
              <w:t>（</w:t>
            </w:r>
            <w:r>
              <w:rPr>
                <w:rFonts w:hint="eastAsia"/>
                <w:sz w:val="21"/>
                <w:lang w:eastAsia="zh-CN"/>
              </w:rPr>
              <w:t>中〔</w:t>
            </w:r>
            <w:r>
              <w:rPr>
                <w:spacing w:val="-3"/>
                <w:sz w:val="21"/>
                <w:lang w:eastAsia="zh-CN"/>
              </w:rPr>
              <w:t>2011</w:t>
            </w:r>
            <w:r>
              <w:rPr>
                <w:rFonts w:hint="eastAsia"/>
                <w:sz w:val="21"/>
                <w:lang w:eastAsia="zh-CN"/>
              </w:rPr>
              <w:t>〕</w:t>
            </w:r>
            <w:r>
              <w:rPr>
                <w:spacing w:val="-3"/>
                <w:sz w:val="21"/>
                <w:lang w:eastAsia="zh-CN"/>
              </w:rPr>
              <w:t>1</w:t>
            </w:r>
            <w:r>
              <w:rPr>
                <w:rFonts w:hint="eastAsia"/>
                <w:spacing w:val="-3"/>
                <w:sz w:val="21"/>
                <w:lang w:eastAsia="zh-CN"/>
              </w:rPr>
              <w:t>号）</w:t>
            </w:r>
          </w:p>
        </w:tc>
        <w:tc>
          <w:tcPr>
            <w:tcW w:w="8224" w:type="dxa"/>
          </w:tcPr>
          <w:p>
            <w:pPr>
              <w:pStyle w:val="32"/>
              <w:spacing w:before="97"/>
              <w:ind w:left="4" w:right="-15" w:firstLine="0" w:firstLineChars="0"/>
              <w:jc w:val="both"/>
              <w:rPr>
                <w:sz w:val="21"/>
                <w:lang w:eastAsia="zh-CN"/>
              </w:rPr>
            </w:pPr>
            <w:r>
              <w:rPr>
                <w:rFonts w:hint="eastAsia"/>
                <w:sz w:val="21"/>
                <w:lang w:eastAsia="zh-CN"/>
              </w:rPr>
              <w:t>（二十一）建立水功能区限制纳污制度。确立水功能区限制纳污红线，从严核定水域纳污容量，严格控制入河湖排污总量。各级政府要把限制排污总量作为水污染防治和污染减排工作的重要依据，明确责任，落实措施。</w:t>
            </w:r>
            <w:r>
              <w:rPr>
                <w:rFonts w:hint="eastAsia"/>
                <w:b/>
                <w:sz w:val="21"/>
                <w:lang w:eastAsia="zh-CN"/>
              </w:rPr>
              <w:t>对排污量已超出水功能区限制排污总量的地区，限制审批新增取水和入河排污口。</w:t>
            </w:r>
            <w:r>
              <w:rPr>
                <w:rFonts w:hint="eastAsia"/>
                <w:sz w:val="21"/>
                <w:lang w:eastAsia="zh-CN"/>
              </w:rPr>
              <w:t>建立水功能区水质达标评价体系，完善监测预警监督管理制度。加强水源地保护，依法划定饮用水水源保护区，强化饮用水水源应急管理。建立水生态补偿机制。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pStyle w:val="32"/>
              <w:spacing w:before="99" w:line="240" w:lineRule="auto"/>
              <w:ind w:left="2" w:firstLine="0" w:firstLineChars="0"/>
              <w:jc w:val="left"/>
              <w:rPr>
                <w:sz w:val="21"/>
                <w:lang w:eastAsia="zh-CN"/>
              </w:rPr>
            </w:pPr>
            <w:r>
              <w:rPr>
                <w:rFonts w:hint="eastAsia"/>
                <w:sz w:val="21"/>
                <w:lang w:eastAsia="zh-CN"/>
              </w:rPr>
              <w:t>（</w:t>
            </w:r>
            <w:r>
              <w:rPr>
                <w:sz w:val="21"/>
                <w:lang w:eastAsia="zh-CN"/>
              </w:rPr>
              <w:t>5</w:t>
            </w:r>
            <w:r>
              <w:rPr>
                <w:rFonts w:hint="eastAsia"/>
                <w:sz w:val="21"/>
                <w:lang w:eastAsia="zh-CN"/>
              </w:rPr>
              <w:t>）国务院《关于实行最</w:t>
            </w:r>
            <w:r>
              <w:rPr>
                <w:rFonts w:hint="eastAsia"/>
                <w:spacing w:val="-5"/>
                <w:sz w:val="21"/>
                <w:lang w:eastAsia="zh-CN"/>
              </w:rPr>
              <w:t>严格水资源管</w:t>
            </w:r>
            <w:r>
              <w:rPr>
                <w:rFonts w:hint="eastAsia"/>
                <w:spacing w:val="-1"/>
                <w:sz w:val="21"/>
                <w:lang w:eastAsia="zh-CN"/>
              </w:rPr>
              <w:t>理制度的意 见》</w:t>
            </w:r>
            <w:r>
              <w:rPr>
                <w:rFonts w:hint="eastAsia"/>
                <w:spacing w:val="-3"/>
                <w:sz w:val="21"/>
                <w:lang w:eastAsia="zh-CN"/>
              </w:rPr>
              <w:t>（</w:t>
            </w:r>
            <w:r>
              <w:rPr>
                <w:rFonts w:hint="eastAsia"/>
                <w:sz w:val="21"/>
                <w:lang w:eastAsia="zh-CN"/>
              </w:rPr>
              <w:t>国发</w:t>
            </w:r>
          </w:p>
          <w:p>
            <w:pPr>
              <w:ind w:firstLine="0" w:firstLineChars="0"/>
              <w:rPr>
                <w:sz w:val="21"/>
                <w:szCs w:val="21"/>
              </w:rPr>
            </w:pPr>
            <w:r>
              <w:rPr>
                <w:rFonts w:hint="eastAsia"/>
                <w:sz w:val="21"/>
              </w:rPr>
              <w:t>〔</w:t>
            </w:r>
            <w:r>
              <w:rPr>
                <w:sz w:val="21"/>
              </w:rPr>
              <w:t>2012</w:t>
            </w:r>
            <w:r>
              <w:rPr>
                <w:rFonts w:hint="eastAsia"/>
                <w:sz w:val="21"/>
              </w:rPr>
              <w:t>〕</w:t>
            </w:r>
            <w:r>
              <w:rPr>
                <w:spacing w:val="-3"/>
                <w:sz w:val="21"/>
              </w:rPr>
              <w:t>3</w:t>
            </w:r>
            <w:r>
              <w:rPr>
                <w:rFonts w:hint="eastAsia"/>
                <w:spacing w:val="-3"/>
                <w:sz w:val="21"/>
              </w:rPr>
              <w:t>号</w:t>
            </w:r>
            <w:r>
              <w:rPr>
                <w:rFonts w:hint="eastAsia"/>
                <w:spacing w:val="-20"/>
                <w:sz w:val="21"/>
              </w:rPr>
              <w:t>）</w:t>
            </w:r>
          </w:p>
        </w:tc>
        <w:tc>
          <w:tcPr>
            <w:tcW w:w="8224" w:type="dxa"/>
          </w:tcPr>
          <w:p>
            <w:pPr>
              <w:pStyle w:val="32"/>
              <w:spacing w:before="99" w:line="240" w:lineRule="auto"/>
              <w:ind w:left="4" w:firstLine="0" w:firstLineChars="0"/>
              <w:jc w:val="left"/>
              <w:rPr>
                <w:sz w:val="21"/>
                <w:lang w:eastAsia="zh-CN"/>
              </w:rPr>
            </w:pPr>
            <w:r>
              <w:rPr>
                <w:rFonts w:hint="eastAsia"/>
                <w:sz w:val="21"/>
                <w:lang w:eastAsia="zh-CN"/>
              </w:rPr>
              <w:t>（</w:t>
            </w:r>
            <w:r>
              <w:rPr>
                <w:rFonts w:hint="eastAsia"/>
                <w:spacing w:val="-2"/>
                <w:sz w:val="21"/>
                <w:lang w:eastAsia="zh-CN"/>
              </w:rPr>
              <w:t>十三</w:t>
            </w:r>
            <w:r>
              <w:rPr>
                <w:rFonts w:hint="eastAsia"/>
                <w:sz w:val="21"/>
                <w:lang w:eastAsia="zh-CN"/>
              </w:rPr>
              <w:t>）</w:t>
            </w:r>
            <w:r>
              <w:rPr>
                <w:rFonts w:hint="eastAsia"/>
                <w:spacing w:val="-3"/>
                <w:sz w:val="21"/>
                <w:lang w:eastAsia="zh-CN"/>
              </w:rPr>
              <w:t>严格水功能区监督管理。完善水功能区监督管理制度，建立水功能区水质达标评价体系，加强水功能区动态监测和科学管理。水功能区布局要服从和服</w:t>
            </w:r>
            <w:r>
              <w:rPr>
                <w:rFonts w:hint="eastAsia"/>
                <w:sz w:val="21"/>
                <w:lang w:eastAsia="zh-CN"/>
              </w:rPr>
              <w:t>务于所在区域的主体功能定位，符合主体功能区的发展方向和开发原则。</w:t>
            </w:r>
            <w:r>
              <w:rPr>
                <w:rFonts w:hint="eastAsia"/>
                <w:b/>
                <w:sz w:val="21"/>
                <w:lang w:eastAsia="zh-CN"/>
              </w:rPr>
              <w:t>从严核定水域纳污容量，严格控制入河湖排污总量。各级人民政府要把限制排污总量作为水污染防治和污染减排工作的重要依据。</w:t>
            </w:r>
            <w:r>
              <w:rPr>
                <w:rFonts w:hint="eastAsia"/>
                <w:sz w:val="21"/>
                <w:lang w:eastAsia="zh-CN"/>
              </w:rPr>
              <w:t>切实加强水污染防控，加强工业污染源控制，加大主要污染物减排力度，提高城市污水处理率，改善重点流域水环境质量，防治江河湖库富营养化。流域管理机构要加强重要江河湖泊的省界水质水量监测。</w:t>
            </w:r>
            <w:r>
              <w:rPr>
                <w:rFonts w:hint="eastAsia"/>
                <w:b/>
                <w:sz w:val="21"/>
                <w:lang w:eastAsia="zh-CN"/>
              </w:rPr>
              <w:t>严格入河湖排污口监督管理，对排污量超出水功能区限排总量的地区，</w:t>
            </w:r>
          </w:p>
          <w:p>
            <w:pPr>
              <w:ind w:firstLine="0" w:firstLineChars="0"/>
              <w:rPr>
                <w:sz w:val="21"/>
                <w:szCs w:val="21"/>
              </w:rPr>
            </w:pPr>
            <w:r>
              <w:rPr>
                <w:rFonts w:hint="eastAsia"/>
                <w:b/>
                <w:sz w:val="21"/>
              </w:rPr>
              <w:t>限制审批新增取水和入河湖排污口。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ind w:firstLine="0" w:firstLineChars="0"/>
              <w:jc w:val="center"/>
              <w:rPr>
                <w:sz w:val="21"/>
                <w:szCs w:val="21"/>
              </w:rPr>
            </w:pPr>
            <w:r>
              <w:rPr>
                <w:rFonts w:hint="eastAsia"/>
                <w:spacing w:val="-5"/>
                <w:sz w:val="21"/>
              </w:rPr>
              <w:t>（</w:t>
            </w:r>
            <w:r>
              <w:rPr>
                <w:spacing w:val="-5"/>
                <w:sz w:val="21"/>
              </w:rPr>
              <w:t>6</w:t>
            </w:r>
            <w:r>
              <w:rPr>
                <w:rFonts w:hint="eastAsia"/>
                <w:spacing w:val="-5"/>
                <w:sz w:val="21"/>
              </w:rPr>
              <w:t>）</w:t>
            </w:r>
            <w:r>
              <w:rPr>
                <w:rFonts w:hint="eastAsia"/>
                <w:spacing w:val="-3"/>
                <w:sz w:val="21"/>
              </w:rPr>
              <w:t>《入河排污口监督管理办法》</w:t>
            </w:r>
            <w:r>
              <w:rPr>
                <w:rFonts w:hint="eastAsia"/>
                <w:sz w:val="21"/>
              </w:rPr>
              <w:t>（</w:t>
            </w:r>
            <w:r>
              <w:rPr>
                <w:rFonts w:hint="eastAsia"/>
                <w:spacing w:val="-2"/>
                <w:sz w:val="21"/>
              </w:rPr>
              <w:t>水利部第</w:t>
            </w:r>
            <w:r>
              <w:rPr>
                <w:spacing w:val="-2"/>
                <w:sz w:val="21"/>
              </w:rPr>
              <w:t>22</w:t>
            </w:r>
            <w:r>
              <w:rPr>
                <w:rFonts w:hint="eastAsia"/>
                <w:spacing w:val="-3"/>
                <w:sz w:val="21"/>
              </w:rPr>
              <w:t>号令</w:t>
            </w:r>
            <w:r>
              <w:rPr>
                <w:rFonts w:hint="eastAsia"/>
                <w:sz w:val="21"/>
              </w:rPr>
              <w:t>）</w:t>
            </w:r>
          </w:p>
        </w:tc>
        <w:tc>
          <w:tcPr>
            <w:tcW w:w="8224" w:type="dxa"/>
          </w:tcPr>
          <w:p>
            <w:pPr>
              <w:pStyle w:val="32"/>
              <w:spacing w:before="97"/>
              <w:ind w:left="4" w:right="-15" w:firstLine="0" w:firstLineChars="0"/>
              <w:jc w:val="both"/>
              <w:rPr>
                <w:b/>
                <w:sz w:val="21"/>
                <w:lang w:eastAsia="zh-CN"/>
              </w:rPr>
            </w:pPr>
            <w:r>
              <w:rPr>
                <w:rFonts w:hint="eastAsia"/>
                <w:sz w:val="21"/>
                <w:lang w:eastAsia="zh-CN"/>
              </w:rPr>
              <w:t>第三条：</w:t>
            </w:r>
            <w:r>
              <w:rPr>
                <w:rFonts w:hint="eastAsia"/>
                <w:b/>
                <w:sz w:val="21"/>
                <w:lang w:eastAsia="zh-CN"/>
              </w:rPr>
              <w:t>入河排污口的设置应当符合水功能区划、水资源保护规划和防洪规划的要求。</w:t>
            </w:r>
          </w:p>
          <w:p>
            <w:pPr>
              <w:pStyle w:val="32"/>
              <w:spacing w:before="1"/>
              <w:ind w:left="4" w:right="-15" w:firstLine="0" w:firstLineChars="0"/>
              <w:jc w:val="both"/>
              <w:rPr>
                <w:b/>
                <w:sz w:val="21"/>
                <w:lang w:eastAsia="zh-CN"/>
              </w:rPr>
            </w:pPr>
            <w:r>
              <w:rPr>
                <w:rFonts w:hint="eastAsia"/>
                <w:sz w:val="21"/>
                <w:lang w:eastAsia="zh-CN"/>
              </w:rPr>
              <w:t>第六条：</w:t>
            </w:r>
            <w:r>
              <w:rPr>
                <w:rFonts w:hint="eastAsia"/>
                <w:b/>
                <w:sz w:val="21"/>
                <w:lang w:eastAsia="zh-CN"/>
              </w:rPr>
              <w:t>设置入河排污口的单位（下称排污单位）</w:t>
            </w:r>
            <w:r>
              <w:rPr>
                <w:rFonts w:hint="eastAsia"/>
                <w:sz w:val="21"/>
                <w:lang w:eastAsia="zh-CN"/>
              </w:rPr>
              <w:t>，应当在向环境保护行政主管部门报送建立项目环境影响报告书（表）以前，</w:t>
            </w:r>
            <w:r>
              <w:rPr>
                <w:rFonts w:hint="eastAsia"/>
                <w:b/>
                <w:sz w:val="21"/>
                <w:lang w:eastAsia="zh-CN"/>
              </w:rPr>
              <w:t>向有管辖权的县级以上地方人民政府水行政主管部门或者流域管理机构提出入河排污口设置申请。</w:t>
            </w:r>
          </w:p>
          <w:p>
            <w:pPr>
              <w:pStyle w:val="32"/>
              <w:ind w:left="4" w:right="5" w:firstLine="0" w:firstLineChars="0"/>
              <w:jc w:val="both"/>
              <w:rPr>
                <w:sz w:val="21"/>
                <w:lang w:eastAsia="zh-CN"/>
              </w:rPr>
            </w:pPr>
            <w:r>
              <w:rPr>
                <w:rFonts w:hint="eastAsia"/>
                <w:sz w:val="21"/>
                <w:lang w:eastAsia="zh-CN"/>
              </w:rPr>
              <w:t>依法需要办理河道管理范围内建设项目审查手续或者取水许可审批手续的，排污单位应当根据具体要求，分别在提出河道管理范围内建设项目申请或者取水许可申请的同时，提出入河排污口设置申请。</w:t>
            </w:r>
          </w:p>
          <w:p>
            <w:pPr>
              <w:pStyle w:val="32"/>
              <w:ind w:left="4" w:right="5" w:firstLine="0" w:firstLineChars="0"/>
              <w:jc w:val="both"/>
              <w:rPr>
                <w:sz w:val="21"/>
                <w:lang w:eastAsia="zh-CN"/>
              </w:rPr>
            </w:pPr>
            <w:r>
              <w:rPr>
                <w:rFonts w:hint="eastAsia"/>
                <w:sz w:val="21"/>
                <w:lang w:eastAsia="zh-CN"/>
              </w:rPr>
              <w:t>依法不需要编制环境影响报告书（表）以及依法不需要办理河道管理范围内建设项目审查手续和取水许可手续的，排污单位应当在设置入河排污口前，向有管辖权的县级以上地方人民政府水行政主管部门或者流域管理机构提出入河排污口设置申请。</w:t>
            </w:r>
          </w:p>
          <w:p>
            <w:pPr>
              <w:pStyle w:val="32"/>
              <w:ind w:firstLine="0" w:firstLineChars="0"/>
              <w:jc w:val="both"/>
              <w:rPr>
                <w:sz w:val="21"/>
                <w:lang w:eastAsia="zh-CN"/>
              </w:rPr>
            </w:pPr>
            <w:r>
              <w:rPr>
                <w:rFonts w:hint="eastAsia"/>
                <w:sz w:val="21"/>
                <w:lang w:eastAsia="zh-CN"/>
              </w:rPr>
              <w:t>第十四条：有下列情形之一的，不予同意设置入河排污口：</w:t>
            </w:r>
          </w:p>
          <w:p>
            <w:pPr>
              <w:pStyle w:val="32"/>
              <w:ind w:firstLine="0" w:firstLineChars="0"/>
              <w:jc w:val="both"/>
              <w:rPr>
                <w:b/>
                <w:sz w:val="21"/>
                <w:lang w:eastAsia="zh-CN"/>
              </w:rPr>
            </w:pPr>
            <w:r>
              <w:rPr>
                <w:rFonts w:hint="eastAsia"/>
                <w:sz w:val="21"/>
                <w:lang w:eastAsia="zh-CN"/>
              </w:rPr>
              <w:t>（一）</w:t>
            </w:r>
            <w:r>
              <w:rPr>
                <w:rFonts w:hint="eastAsia"/>
                <w:b/>
                <w:sz w:val="21"/>
                <w:lang w:eastAsia="zh-CN"/>
              </w:rPr>
              <w:t>在饮用水水源保护区内设置入河排污口的；</w:t>
            </w:r>
          </w:p>
          <w:p>
            <w:pPr>
              <w:pStyle w:val="32"/>
              <w:ind w:firstLine="0" w:firstLineChars="0"/>
              <w:jc w:val="both"/>
              <w:rPr>
                <w:sz w:val="21"/>
                <w:lang w:eastAsia="zh-CN"/>
              </w:rPr>
            </w:pPr>
            <w:r>
              <w:rPr>
                <w:rFonts w:hint="eastAsia"/>
                <w:sz w:val="21"/>
                <w:lang w:eastAsia="zh-CN"/>
              </w:rPr>
              <w:t>（二）</w:t>
            </w:r>
            <w:r>
              <w:rPr>
                <w:rFonts w:hint="eastAsia"/>
                <w:b/>
                <w:sz w:val="21"/>
                <w:lang w:eastAsia="zh-CN"/>
              </w:rPr>
              <w:t>在省级以上人民政府要求削减排污总量的水域</w:t>
            </w:r>
            <w:r>
              <w:rPr>
                <w:rFonts w:hint="eastAsia"/>
                <w:sz w:val="21"/>
                <w:lang w:eastAsia="zh-CN"/>
              </w:rPr>
              <w:t>设置入河排污口的；</w:t>
            </w:r>
          </w:p>
          <w:p>
            <w:pPr>
              <w:pStyle w:val="32"/>
              <w:ind w:firstLine="0" w:firstLineChars="0"/>
              <w:jc w:val="both"/>
              <w:rPr>
                <w:b/>
                <w:sz w:val="21"/>
                <w:lang w:eastAsia="zh-CN"/>
              </w:rPr>
            </w:pPr>
            <w:r>
              <w:rPr>
                <w:rFonts w:hint="eastAsia"/>
                <w:sz w:val="21"/>
                <w:lang w:eastAsia="zh-CN"/>
              </w:rPr>
              <w:t>（三）</w:t>
            </w:r>
            <w:r>
              <w:rPr>
                <w:rFonts w:hint="eastAsia"/>
                <w:b/>
                <w:sz w:val="21"/>
                <w:lang w:eastAsia="zh-CN"/>
              </w:rPr>
              <w:t>入河排污口设置可能使水域水质达不到水功能区要求的；</w:t>
            </w:r>
          </w:p>
          <w:p>
            <w:pPr>
              <w:pStyle w:val="32"/>
              <w:ind w:firstLine="0" w:firstLineChars="0"/>
              <w:jc w:val="both"/>
              <w:rPr>
                <w:sz w:val="21"/>
                <w:lang w:eastAsia="zh-CN"/>
              </w:rPr>
            </w:pPr>
            <w:r>
              <w:rPr>
                <w:rFonts w:hint="eastAsia"/>
                <w:sz w:val="21"/>
                <w:lang w:eastAsia="zh-CN"/>
              </w:rPr>
              <w:t>（四）</w:t>
            </w:r>
            <w:r>
              <w:rPr>
                <w:rFonts w:hint="eastAsia"/>
                <w:b/>
                <w:sz w:val="21"/>
                <w:lang w:eastAsia="zh-CN"/>
              </w:rPr>
              <w:t>入河排污口设置直接影响合法取水户用水安全的</w:t>
            </w:r>
            <w:r>
              <w:rPr>
                <w:rFonts w:hint="eastAsia"/>
                <w:sz w:val="21"/>
                <w:lang w:eastAsia="zh-CN"/>
              </w:rPr>
              <w:t>；</w:t>
            </w:r>
          </w:p>
          <w:p>
            <w:pPr>
              <w:pStyle w:val="32"/>
              <w:ind w:firstLine="0" w:firstLineChars="0"/>
              <w:jc w:val="both"/>
              <w:rPr>
                <w:b/>
                <w:sz w:val="21"/>
                <w:lang w:eastAsia="zh-CN"/>
              </w:rPr>
            </w:pPr>
            <w:r>
              <w:rPr>
                <w:rFonts w:hint="eastAsia"/>
                <w:sz w:val="21"/>
                <w:lang w:eastAsia="zh-CN"/>
              </w:rPr>
              <w:t>（五）</w:t>
            </w:r>
            <w:r>
              <w:rPr>
                <w:rFonts w:hint="eastAsia"/>
                <w:b/>
                <w:sz w:val="21"/>
                <w:lang w:eastAsia="zh-CN"/>
              </w:rPr>
              <w:t>入河排污口设置不符合防洪要求的；</w:t>
            </w:r>
          </w:p>
          <w:p>
            <w:pPr>
              <w:pStyle w:val="32"/>
              <w:ind w:firstLine="0" w:firstLineChars="0"/>
              <w:jc w:val="both"/>
              <w:rPr>
                <w:sz w:val="21"/>
                <w:lang w:eastAsia="zh-CN"/>
              </w:rPr>
            </w:pPr>
            <w:r>
              <w:rPr>
                <w:rFonts w:hint="eastAsia"/>
                <w:sz w:val="21"/>
                <w:lang w:eastAsia="zh-CN"/>
              </w:rPr>
              <w:t>（六）不符合法律、法规和国家产业政策规定的；</w:t>
            </w:r>
          </w:p>
          <w:p>
            <w:pPr>
              <w:ind w:firstLine="0" w:firstLineChars="0"/>
              <w:rPr>
                <w:sz w:val="21"/>
              </w:rPr>
            </w:pPr>
            <w:r>
              <w:rPr>
                <w:rFonts w:hint="eastAsia"/>
                <w:sz w:val="21"/>
              </w:rPr>
              <w:t>（七）其他不符合国务院水行政主管部门规定条件的。</w:t>
            </w:r>
          </w:p>
          <w:p>
            <w:pPr>
              <w:pStyle w:val="32"/>
              <w:spacing w:before="97"/>
              <w:ind w:right="-15" w:firstLine="0" w:firstLineChars="0"/>
              <w:jc w:val="left"/>
              <w:rPr>
                <w:sz w:val="21"/>
                <w:lang w:eastAsia="zh-CN"/>
              </w:rPr>
            </w:pPr>
            <w:r>
              <w:rPr>
                <w:rFonts w:hint="eastAsia"/>
                <w:sz w:val="21"/>
                <w:lang w:eastAsia="zh-CN"/>
              </w:rPr>
              <w:t xml:space="preserve">第十七条 </w:t>
            </w:r>
            <w:r>
              <w:rPr>
                <w:rFonts w:hint="eastAsia"/>
                <w:b/>
                <w:spacing w:val="-3"/>
                <w:sz w:val="21"/>
                <w:lang w:eastAsia="zh-CN"/>
              </w:rPr>
              <w:t>《中华人民共和国水法》施行前已经设置入河排污口的单位，应当在本办法施行后到入河排污口所在地县级人民政府水行政主管部门或者流域管理 机构所属单位进行入河排污口登记，</w:t>
            </w:r>
            <w:r>
              <w:rPr>
                <w:rFonts w:hint="eastAsia"/>
                <w:spacing w:val="-3"/>
                <w:sz w:val="21"/>
                <w:lang w:eastAsia="zh-CN"/>
              </w:rPr>
              <w:t>由其汇总并逐级报送有管辖权的水行政主管</w:t>
            </w:r>
            <w:r>
              <w:rPr>
                <w:rFonts w:hint="eastAsia"/>
                <w:sz w:val="21"/>
                <w:lang w:eastAsia="zh-CN"/>
              </w:rPr>
              <w:t>部门或者流域管理机构。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ind w:firstLine="0" w:firstLineChars="0"/>
              <w:jc w:val="center"/>
              <w:rPr>
                <w:sz w:val="21"/>
                <w:szCs w:val="21"/>
              </w:rPr>
            </w:pPr>
            <w:r>
              <w:rPr>
                <w:rFonts w:hint="eastAsia"/>
                <w:spacing w:val="-5"/>
                <w:sz w:val="21"/>
              </w:rPr>
              <w:t>（</w:t>
            </w:r>
            <w:r>
              <w:rPr>
                <w:spacing w:val="-5"/>
                <w:sz w:val="21"/>
              </w:rPr>
              <w:t>7</w:t>
            </w:r>
            <w:r>
              <w:rPr>
                <w:rFonts w:hint="eastAsia"/>
                <w:spacing w:val="-5"/>
                <w:sz w:val="21"/>
              </w:rPr>
              <w:t>）</w:t>
            </w:r>
            <w:r>
              <w:rPr>
                <w:rFonts w:hint="eastAsia"/>
                <w:spacing w:val="-3"/>
                <w:sz w:val="21"/>
              </w:rPr>
              <w:t>《水功能区监督管理办法》</w:t>
            </w:r>
            <w:r>
              <w:rPr>
                <w:spacing w:val="-3"/>
                <w:sz w:val="21"/>
              </w:rPr>
              <w:t>(</w:t>
            </w:r>
            <w:r>
              <w:rPr>
                <w:rFonts w:hint="eastAsia"/>
                <w:spacing w:val="-3"/>
                <w:sz w:val="21"/>
              </w:rPr>
              <w:t>水利部水资源〔</w:t>
            </w:r>
            <w:r>
              <w:rPr>
                <w:sz w:val="21"/>
              </w:rPr>
              <w:t>2017</w:t>
            </w:r>
            <w:r>
              <w:rPr>
                <w:rFonts w:hint="eastAsia"/>
                <w:sz w:val="21"/>
              </w:rPr>
              <w:t>〕第</w:t>
            </w:r>
            <w:r>
              <w:rPr>
                <w:sz w:val="21"/>
              </w:rPr>
              <w:t>101</w:t>
            </w:r>
            <w:r>
              <w:rPr>
                <w:rFonts w:hint="eastAsia"/>
                <w:sz w:val="21"/>
              </w:rPr>
              <w:t>号</w:t>
            </w:r>
            <w:r>
              <w:rPr>
                <w:sz w:val="21"/>
              </w:rPr>
              <w:t>)</w:t>
            </w:r>
          </w:p>
        </w:tc>
        <w:tc>
          <w:tcPr>
            <w:tcW w:w="8224" w:type="dxa"/>
          </w:tcPr>
          <w:p>
            <w:pPr>
              <w:pStyle w:val="32"/>
              <w:spacing w:before="97"/>
              <w:ind w:left="4" w:right="5" w:firstLine="0" w:firstLineChars="0"/>
              <w:jc w:val="both"/>
              <w:rPr>
                <w:sz w:val="21"/>
                <w:lang w:eastAsia="zh-CN"/>
              </w:rPr>
            </w:pPr>
            <w:r>
              <w:rPr>
                <w:rFonts w:hint="eastAsia"/>
                <w:sz w:val="21"/>
                <w:lang w:eastAsia="zh-CN"/>
              </w:rPr>
              <w:t>第四条国家实行水功能区限制纳污制度和水功能区开发强度限制制度。县级以上地方人民政府应当加强水功能区限制纳污红线管理，严格控制对其水量水质产生重大影响的开发行为，严格控制入河湖排污口设置和污染物排放总量，保障水功能区水质达标和水生态安全，维护水域功能和生态服务功能。</w:t>
            </w:r>
          </w:p>
          <w:p>
            <w:pPr>
              <w:pStyle w:val="32"/>
              <w:spacing w:before="1"/>
              <w:ind w:left="4" w:right="-15" w:firstLine="0" w:firstLineChars="0"/>
              <w:jc w:val="both"/>
              <w:rPr>
                <w:sz w:val="21"/>
                <w:lang w:eastAsia="zh-CN"/>
              </w:rPr>
            </w:pPr>
            <w:r>
              <w:rPr>
                <w:rFonts w:hint="eastAsia"/>
                <w:spacing w:val="-7"/>
                <w:sz w:val="21"/>
                <w:lang w:eastAsia="zh-CN"/>
              </w:rPr>
              <w:t>第十三条 工业用水区是为满足工业用水需求划定的水域，农业用水区是为满足农</w:t>
            </w:r>
            <w:r>
              <w:rPr>
                <w:rFonts w:hint="eastAsia"/>
                <w:spacing w:val="-5"/>
                <w:sz w:val="21"/>
                <w:lang w:eastAsia="zh-CN"/>
              </w:rPr>
              <w:t>业灌溉用水需求划定的水域。</w:t>
            </w:r>
            <w:r>
              <w:rPr>
                <w:rFonts w:hint="eastAsia"/>
                <w:sz w:val="21"/>
                <w:lang w:eastAsia="zh-CN"/>
              </w:rPr>
              <w:t>工业用水区和农业用水区应当优先满足工业和农业用水需求，严格执行取水许可有关规定。</w:t>
            </w:r>
          </w:p>
          <w:p>
            <w:pPr>
              <w:pStyle w:val="32"/>
              <w:ind w:left="4" w:right="-15" w:firstLine="0" w:firstLineChars="0"/>
              <w:jc w:val="both"/>
              <w:rPr>
                <w:b/>
                <w:sz w:val="21"/>
                <w:lang w:eastAsia="zh-CN"/>
              </w:rPr>
            </w:pPr>
            <w:r>
              <w:rPr>
                <w:rFonts w:hint="eastAsia"/>
                <w:b/>
                <w:sz w:val="21"/>
                <w:lang w:eastAsia="zh-CN"/>
              </w:rPr>
              <w:t>在工业用水区和农业用水区设置入河排污口的，排污单位应当保证该水功能区水质符合工业和农业用水目标要求。</w:t>
            </w:r>
          </w:p>
          <w:p>
            <w:pPr>
              <w:pStyle w:val="32"/>
              <w:spacing w:before="5"/>
              <w:ind w:left="4" w:right="-15" w:firstLine="0" w:firstLineChars="0"/>
              <w:jc w:val="both"/>
              <w:rPr>
                <w:sz w:val="21"/>
                <w:lang w:eastAsia="zh-CN"/>
              </w:rPr>
            </w:pPr>
            <w:r>
              <w:rPr>
                <w:rFonts w:hint="eastAsia"/>
                <w:spacing w:val="-8"/>
                <w:sz w:val="21"/>
                <w:lang w:eastAsia="zh-CN"/>
              </w:rPr>
              <w:t>第十七条 排污控制区是集中接纳生活、生产废污水且对下游水功能区功能不会造</w:t>
            </w:r>
            <w:r>
              <w:rPr>
                <w:rFonts w:hint="eastAsia"/>
                <w:spacing w:val="-5"/>
                <w:sz w:val="21"/>
                <w:lang w:eastAsia="zh-CN"/>
              </w:rPr>
              <w:t>成重大不利影响的水域。</w:t>
            </w:r>
          </w:p>
          <w:p>
            <w:pPr>
              <w:pStyle w:val="32"/>
              <w:ind w:left="4" w:right="5" w:firstLine="0" w:firstLineChars="0"/>
              <w:jc w:val="both"/>
              <w:rPr>
                <w:sz w:val="21"/>
                <w:lang w:eastAsia="zh-CN"/>
              </w:rPr>
            </w:pPr>
            <w:r>
              <w:rPr>
                <w:rFonts w:hint="eastAsia"/>
                <w:sz w:val="21"/>
                <w:lang w:eastAsia="zh-CN"/>
              </w:rPr>
              <w:t>在排污控制区排放废污水，不得影响下游水功能区水质目标。县级以上地方人民政府应当结合城市综合整治措施，逐步减少排污控制区。</w:t>
            </w:r>
          </w:p>
          <w:p>
            <w:pPr>
              <w:pStyle w:val="32"/>
              <w:ind w:left="4" w:right="-15" w:firstLine="0" w:firstLineChars="0"/>
              <w:jc w:val="both"/>
              <w:rPr>
                <w:sz w:val="21"/>
                <w:lang w:eastAsia="zh-CN"/>
              </w:rPr>
            </w:pPr>
            <w:r>
              <w:rPr>
                <w:rFonts w:hint="eastAsia"/>
                <w:sz w:val="21"/>
                <w:lang w:eastAsia="zh-CN"/>
              </w:rPr>
              <w:t>第十九条</w:t>
            </w:r>
            <w:r>
              <w:rPr>
                <w:rFonts w:hint="eastAsia"/>
                <w:b/>
                <w:sz w:val="21"/>
                <w:lang w:eastAsia="zh-CN"/>
              </w:rPr>
              <w:t>设置取水口、入河排污口或者实施可能对水功能区有影响的活动，有关单位在提交的取水许可申请（水资源论证报告）、入河排污口设置申请、河道管理范围内工程建设项目申请、防洪评价报告等行政审批申请文件中，应当按照法律法规要求论证涉水活动对水功能区水质、水量、水生态的影响，提出预防、减缓、治理、补偿等措施。</w:t>
            </w:r>
            <w:r>
              <w:rPr>
                <w:rFonts w:hint="eastAsia"/>
                <w:sz w:val="21"/>
                <w:lang w:eastAsia="zh-CN"/>
              </w:rPr>
              <w:t>预防减缓、治理、补偿等措施应当与取水口设置、入河排污口设置或者其他活动一并实施。</w:t>
            </w:r>
          </w:p>
          <w:p>
            <w:pPr>
              <w:pStyle w:val="32"/>
              <w:ind w:left="4" w:right="5" w:firstLine="0" w:firstLineChars="0"/>
              <w:jc w:val="both"/>
              <w:rPr>
                <w:sz w:val="21"/>
                <w:lang w:eastAsia="zh-CN"/>
              </w:rPr>
            </w:pPr>
            <w:r>
              <w:rPr>
                <w:rFonts w:hint="eastAsia"/>
                <w:sz w:val="21"/>
                <w:lang w:eastAsia="zh-CN"/>
              </w:rPr>
              <w:t>县级以上地方人民政府水行政主管部门或流域管理机构在审查前款所列行政审批申请文件时，应当对其是否符合水功能区保护要求进行审核，不符合水功能区保</w:t>
            </w:r>
          </w:p>
          <w:p>
            <w:pPr>
              <w:ind w:firstLine="0" w:firstLineChars="0"/>
              <w:rPr>
                <w:sz w:val="21"/>
              </w:rPr>
            </w:pPr>
            <w:r>
              <w:rPr>
                <w:rFonts w:hint="eastAsia"/>
                <w:sz w:val="21"/>
              </w:rPr>
              <w:t>护要求的，不予批准。</w:t>
            </w:r>
          </w:p>
          <w:p>
            <w:pPr>
              <w:pStyle w:val="32"/>
              <w:spacing w:before="97"/>
              <w:ind w:left="4" w:right="5" w:firstLine="0" w:firstLineChars="0"/>
              <w:jc w:val="both"/>
              <w:rPr>
                <w:sz w:val="21"/>
                <w:lang w:eastAsia="zh-CN"/>
              </w:rPr>
            </w:pPr>
            <w:r>
              <w:rPr>
                <w:rFonts w:hint="eastAsia"/>
                <w:sz w:val="21"/>
                <w:lang w:eastAsia="zh-CN"/>
              </w:rPr>
              <w:t>第二十条流域管理机构应当会同有关省、自治区、直辖市人民政府水行政主管部门，核定全国重要江河湖泊水功能区水域纳污能力，提出限制排污总量意见，报送国务院水行政主管部门和环境保护主管部门。</w:t>
            </w:r>
          </w:p>
          <w:p>
            <w:pPr>
              <w:pStyle w:val="32"/>
              <w:ind w:left="4" w:right="5" w:firstLine="0" w:firstLineChars="0"/>
              <w:jc w:val="both"/>
              <w:rPr>
                <w:sz w:val="21"/>
                <w:lang w:eastAsia="zh-CN"/>
              </w:rPr>
            </w:pPr>
            <w:r>
              <w:rPr>
                <w:rFonts w:hint="eastAsia"/>
                <w:sz w:val="21"/>
                <w:lang w:eastAsia="zh-CN"/>
              </w:rPr>
              <w:t>县级以上地方人民政府水行政主管部门应当核定辖区内水功能区水域纳污能力， 向环境保护行政主管部门提出限制排污总量意见，同时报本级人民政府和上一级水行政主管部门。</w:t>
            </w:r>
          </w:p>
          <w:p>
            <w:pPr>
              <w:pStyle w:val="32"/>
              <w:ind w:left="4" w:right="5" w:firstLine="0" w:firstLineChars="0"/>
              <w:jc w:val="both"/>
              <w:rPr>
                <w:sz w:val="21"/>
                <w:lang w:eastAsia="zh-CN"/>
              </w:rPr>
            </w:pPr>
            <w:r>
              <w:rPr>
                <w:rFonts w:hint="eastAsia"/>
                <w:sz w:val="21"/>
                <w:lang w:eastAsia="zh-CN"/>
              </w:rPr>
              <w:t>各级人民政府要把限制排污总量作为水污染防治和污染减排工作的重要依据，完善入河湖排污管控机制和考核体系。</w:t>
            </w:r>
          </w:p>
          <w:p>
            <w:pPr>
              <w:pStyle w:val="32"/>
              <w:spacing w:before="1"/>
              <w:ind w:left="4" w:right="-15" w:firstLine="0" w:firstLineChars="0"/>
              <w:jc w:val="both"/>
              <w:rPr>
                <w:sz w:val="21"/>
                <w:lang w:eastAsia="zh-CN"/>
              </w:rPr>
            </w:pPr>
            <w:r>
              <w:rPr>
                <w:rFonts w:hint="eastAsia"/>
                <w:spacing w:val="-7"/>
                <w:sz w:val="21"/>
                <w:lang w:eastAsia="zh-CN"/>
              </w:rPr>
              <w:t>第二十二条 流域管理机构应当根据水功能区保护目标、水域纳污能力、敏感水生</w:t>
            </w:r>
            <w:r>
              <w:rPr>
                <w:rFonts w:hint="eastAsia"/>
                <w:spacing w:val="-5"/>
                <w:sz w:val="21"/>
                <w:lang w:eastAsia="zh-CN"/>
              </w:rPr>
              <w:t>态保护目标，以及流域水污染防治和水资源保护等规划要求，提出流域入河排污</w:t>
            </w:r>
            <w:r>
              <w:rPr>
                <w:rFonts w:hint="eastAsia"/>
                <w:spacing w:val="-4"/>
                <w:sz w:val="21"/>
                <w:lang w:eastAsia="zh-CN"/>
              </w:rPr>
              <w:t>口布局规划或指导意见。</w:t>
            </w:r>
          </w:p>
          <w:p>
            <w:pPr>
              <w:pStyle w:val="32"/>
              <w:ind w:left="4" w:right="5" w:firstLine="0" w:firstLineChars="0"/>
              <w:jc w:val="both"/>
              <w:rPr>
                <w:sz w:val="21"/>
                <w:lang w:eastAsia="zh-CN"/>
              </w:rPr>
            </w:pPr>
            <w:r>
              <w:rPr>
                <w:rFonts w:hint="eastAsia"/>
                <w:sz w:val="21"/>
                <w:lang w:eastAsia="zh-CN"/>
              </w:rPr>
              <w:t>县级以上地方人民政府水行政主管部门应当会同有关部门，按照经批准的入河排污口布局规划或指导意见，编制入河排污口整治方案，报同级人民政府批准后实施。</w:t>
            </w:r>
          </w:p>
          <w:p>
            <w:pPr>
              <w:pStyle w:val="32"/>
              <w:ind w:left="4" w:right="5" w:firstLine="0" w:firstLineChars="0"/>
              <w:jc w:val="both"/>
              <w:rPr>
                <w:sz w:val="21"/>
                <w:lang w:eastAsia="zh-CN"/>
              </w:rPr>
            </w:pPr>
            <w:r>
              <w:rPr>
                <w:rFonts w:hint="eastAsia"/>
                <w:sz w:val="21"/>
                <w:lang w:eastAsia="zh-CN"/>
              </w:rPr>
              <w:t>在实施河道整治、中小河流治理、河湖水系连通工程时，应当统筹考虑入河排污口的综合整治。</w:t>
            </w:r>
          </w:p>
          <w:p>
            <w:pPr>
              <w:pStyle w:val="32"/>
              <w:ind w:firstLine="0" w:firstLineChars="0"/>
              <w:jc w:val="both"/>
              <w:rPr>
                <w:b/>
                <w:sz w:val="21"/>
                <w:lang w:eastAsia="zh-CN"/>
              </w:rPr>
            </w:pPr>
            <w:r>
              <w:rPr>
                <w:rFonts w:hint="eastAsia"/>
                <w:sz w:val="21"/>
                <w:lang w:eastAsia="zh-CN"/>
              </w:rPr>
              <w:t>第三十一条</w:t>
            </w:r>
            <w:r>
              <w:rPr>
                <w:rFonts w:hint="eastAsia"/>
                <w:b/>
                <w:sz w:val="21"/>
                <w:lang w:eastAsia="zh-CN"/>
              </w:rPr>
              <w:t>水功能区监测评价结果和限制纳污制度落实情况是最严格水资源管</w:t>
            </w:r>
          </w:p>
          <w:p>
            <w:pPr>
              <w:ind w:firstLine="0" w:firstLineChars="0"/>
              <w:rPr>
                <w:sz w:val="21"/>
                <w:szCs w:val="21"/>
              </w:rPr>
            </w:pPr>
            <w:r>
              <w:rPr>
                <w:rFonts w:hint="eastAsia"/>
                <w:b/>
                <w:sz w:val="21"/>
              </w:rPr>
              <w:t>理制度考核的重要内容。考核结果不合格的地区应当按照有关规定整改。整改期间，暂停该地区建设项目新增取水许可和入河排污口设置同意。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pStyle w:val="32"/>
              <w:ind w:left="2" w:right="-15" w:firstLine="0" w:firstLineChars="0"/>
              <w:rPr>
                <w:sz w:val="21"/>
                <w:lang w:eastAsia="zh-CN"/>
              </w:rPr>
            </w:pPr>
            <w:r>
              <w:rPr>
                <w:rFonts w:hint="eastAsia"/>
                <w:spacing w:val="-5"/>
                <w:sz w:val="21"/>
                <w:lang w:eastAsia="zh-CN"/>
              </w:rPr>
              <w:t>（</w:t>
            </w:r>
            <w:r>
              <w:rPr>
                <w:spacing w:val="-5"/>
                <w:sz w:val="21"/>
                <w:lang w:eastAsia="zh-CN"/>
              </w:rPr>
              <w:t>8</w:t>
            </w:r>
            <w:r>
              <w:rPr>
                <w:rFonts w:hint="eastAsia"/>
                <w:spacing w:val="-5"/>
                <w:sz w:val="21"/>
                <w:lang w:eastAsia="zh-CN"/>
              </w:rPr>
              <w:t>）</w:t>
            </w:r>
            <w:r>
              <w:rPr>
                <w:rFonts w:hint="eastAsia"/>
                <w:spacing w:val="-3"/>
                <w:sz w:val="21"/>
                <w:lang w:eastAsia="zh-CN"/>
              </w:rPr>
              <w:t>《黄河水利委员会实施</w:t>
            </w:r>
          </w:p>
          <w:p>
            <w:pPr>
              <w:ind w:firstLine="0" w:firstLineChars="0"/>
              <w:jc w:val="center"/>
              <w:rPr>
                <w:sz w:val="21"/>
                <w:szCs w:val="21"/>
              </w:rPr>
            </w:pPr>
            <w:r>
              <w:rPr>
                <w:sz w:val="21"/>
              </w:rPr>
              <w:t>&lt;</w:t>
            </w:r>
            <w:r>
              <w:rPr>
                <w:rFonts w:hint="eastAsia"/>
                <w:sz w:val="21"/>
              </w:rPr>
              <w:t>入河排污口监督管理办法</w:t>
            </w:r>
            <w:r>
              <w:rPr>
                <w:sz w:val="21"/>
              </w:rPr>
              <w:t>&gt;</w:t>
            </w:r>
            <w:r>
              <w:rPr>
                <w:rFonts w:hint="eastAsia"/>
                <w:sz w:val="21"/>
              </w:rPr>
              <w:t>细则》</w:t>
            </w:r>
          </w:p>
        </w:tc>
        <w:tc>
          <w:tcPr>
            <w:tcW w:w="8224" w:type="dxa"/>
          </w:tcPr>
          <w:p>
            <w:pPr>
              <w:pStyle w:val="32"/>
              <w:tabs>
                <w:tab w:val="left" w:pos="1055"/>
              </w:tabs>
              <w:spacing w:before="97"/>
              <w:ind w:firstLine="0" w:firstLineChars="0"/>
              <w:jc w:val="left"/>
              <w:rPr>
                <w:sz w:val="21"/>
                <w:lang w:eastAsia="zh-CN"/>
              </w:rPr>
            </w:pPr>
            <w:r>
              <w:rPr>
                <w:rFonts w:hint="eastAsia"/>
                <w:sz w:val="21"/>
                <w:lang w:eastAsia="zh-CN"/>
              </w:rPr>
              <w:t>第十</w:t>
            </w:r>
            <w:r>
              <w:rPr>
                <w:rFonts w:hint="eastAsia"/>
                <w:spacing w:val="-3"/>
                <w:sz w:val="21"/>
                <w:lang w:eastAsia="zh-CN"/>
              </w:rPr>
              <w:t>四</w:t>
            </w:r>
            <w:r>
              <w:rPr>
                <w:rFonts w:hint="eastAsia"/>
                <w:sz w:val="21"/>
                <w:lang w:eastAsia="zh-CN"/>
              </w:rPr>
              <w:t>条</w:t>
            </w:r>
            <w:r>
              <w:rPr>
                <w:rFonts w:hint="eastAsia"/>
                <w:sz w:val="21"/>
                <w:lang w:eastAsia="zh-CN"/>
              </w:rPr>
              <w:tab/>
            </w:r>
            <w:r>
              <w:rPr>
                <w:rFonts w:hint="eastAsia"/>
                <w:sz w:val="21"/>
                <w:lang w:eastAsia="zh-CN"/>
              </w:rPr>
              <w:t>有</w:t>
            </w:r>
            <w:r>
              <w:rPr>
                <w:rFonts w:hint="eastAsia"/>
                <w:spacing w:val="-3"/>
                <w:sz w:val="21"/>
                <w:lang w:eastAsia="zh-CN"/>
              </w:rPr>
              <w:t>下</w:t>
            </w:r>
            <w:r>
              <w:rPr>
                <w:rFonts w:hint="eastAsia"/>
                <w:sz w:val="21"/>
                <w:lang w:eastAsia="zh-CN"/>
              </w:rPr>
              <w:t>列</w:t>
            </w:r>
            <w:r>
              <w:rPr>
                <w:rFonts w:hint="eastAsia"/>
                <w:spacing w:val="-3"/>
                <w:sz w:val="21"/>
                <w:lang w:eastAsia="zh-CN"/>
              </w:rPr>
              <w:t>情</w:t>
            </w:r>
            <w:r>
              <w:rPr>
                <w:rFonts w:hint="eastAsia"/>
                <w:sz w:val="21"/>
                <w:lang w:eastAsia="zh-CN"/>
              </w:rPr>
              <w:t>形</w:t>
            </w:r>
            <w:r>
              <w:rPr>
                <w:rFonts w:hint="eastAsia"/>
                <w:spacing w:val="-3"/>
                <w:sz w:val="21"/>
                <w:lang w:eastAsia="zh-CN"/>
              </w:rPr>
              <w:t>之</w:t>
            </w:r>
            <w:r>
              <w:rPr>
                <w:rFonts w:hint="eastAsia"/>
                <w:sz w:val="21"/>
                <w:lang w:eastAsia="zh-CN"/>
              </w:rPr>
              <w:t>一的</w:t>
            </w:r>
            <w:r>
              <w:rPr>
                <w:rFonts w:hint="eastAsia"/>
                <w:spacing w:val="-3"/>
                <w:sz w:val="21"/>
                <w:lang w:eastAsia="zh-CN"/>
              </w:rPr>
              <w:t>，</w:t>
            </w:r>
            <w:r>
              <w:rPr>
                <w:rFonts w:hint="eastAsia"/>
                <w:sz w:val="21"/>
                <w:lang w:eastAsia="zh-CN"/>
              </w:rPr>
              <w:t>不</w:t>
            </w:r>
            <w:r>
              <w:rPr>
                <w:rFonts w:hint="eastAsia"/>
                <w:spacing w:val="-3"/>
                <w:sz w:val="21"/>
                <w:lang w:eastAsia="zh-CN"/>
              </w:rPr>
              <w:t>予</w:t>
            </w:r>
            <w:r>
              <w:rPr>
                <w:rFonts w:hint="eastAsia"/>
                <w:sz w:val="21"/>
                <w:lang w:eastAsia="zh-CN"/>
              </w:rPr>
              <w:t>同</w:t>
            </w:r>
            <w:r>
              <w:rPr>
                <w:rFonts w:hint="eastAsia"/>
                <w:spacing w:val="-3"/>
                <w:sz w:val="21"/>
                <w:lang w:eastAsia="zh-CN"/>
              </w:rPr>
              <w:t>意</w:t>
            </w:r>
            <w:r>
              <w:rPr>
                <w:rFonts w:hint="eastAsia"/>
                <w:sz w:val="21"/>
                <w:lang w:eastAsia="zh-CN"/>
              </w:rPr>
              <w:t>设</w:t>
            </w:r>
            <w:r>
              <w:rPr>
                <w:rFonts w:hint="eastAsia"/>
                <w:spacing w:val="-3"/>
                <w:sz w:val="21"/>
                <w:lang w:eastAsia="zh-CN"/>
              </w:rPr>
              <w:t>置</w:t>
            </w:r>
            <w:r>
              <w:rPr>
                <w:rFonts w:hint="eastAsia"/>
                <w:sz w:val="21"/>
                <w:lang w:eastAsia="zh-CN"/>
              </w:rPr>
              <w:t>入</w:t>
            </w:r>
            <w:r>
              <w:rPr>
                <w:rFonts w:hint="eastAsia"/>
                <w:spacing w:val="-3"/>
                <w:sz w:val="21"/>
                <w:lang w:eastAsia="zh-CN"/>
              </w:rPr>
              <w:t>河</w:t>
            </w:r>
            <w:r>
              <w:rPr>
                <w:rFonts w:hint="eastAsia"/>
                <w:sz w:val="21"/>
                <w:lang w:eastAsia="zh-CN"/>
              </w:rPr>
              <w:t>排污</w:t>
            </w:r>
            <w:r>
              <w:rPr>
                <w:rFonts w:hint="eastAsia"/>
                <w:spacing w:val="-3"/>
                <w:sz w:val="21"/>
                <w:lang w:eastAsia="zh-CN"/>
              </w:rPr>
              <w:t>口</w:t>
            </w:r>
            <w:r>
              <w:rPr>
                <w:rFonts w:hint="eastAsia"/>
                <w:sz w:val="21"/>
                <w:lang w:eastAsia="zh-CN"/>
              </w:rPr>
              <w:t>：</w:t>
            </w:r>
          </w:p>
          <w:p>
            <w:pPr>
              <w:pStyle w:val="32"/>
              <w:ind w:firstLine="0" w:firstLineChars="0"/>
              <w:jc w:val="left"/>
              <w:rPr>
                <w:b/>
                <w:sz w:val="21"/>
                <w:lang w:eastAsia="zh-CN"/>
              </w:rPr>
            </w:pPr>
            <w:r>
              <w:rPr>
                <w:rFonts w:hint="eastAsia"/>
                <w:b/>
                <w:sz w:val="21"/>
                <w:lang w:eastAsia="zh-CN"/>
              </w:rPr>
              <w:t>（一）在饮用水水源保护区内设置入河排污口的；</w:t>
            </w:r>
          </w:p>
          <w:p>
            <w:pPr>
              <w:pStyle w:val="32"/>
              <w:ind w:firstLine="0" w:firstLineChars="0"/>
              <w:jc w:val="left"/>
              <w:rPr>
                <w:b/>
                <w:sz w:val="21"/>
                <w:lang w:eastAsia="zh-CN"/>
              </w:rPr>
            </w:pPr>
            <w:r>
              <w:rPr>
                <w:rFonts w:hint="eastAsia"/>
                <w:b/>
                <w:sz w:val="21"/>
                <w:lang w:eastAsia="zh-CN"/>
              </w:rPr>
              <w:t>（二）在省级以上人民政府要求削减排污总量的水域设置入河排污口的；</w:t>
            </w:r>
          </w:p>
          <w:p>
            <w:pPr>
              <w:pStyle w:val="32"/>
              <w:ind w:firstLine="0" w:firstLineChars="0"/>
              <w:jc w:val="left"/>
              <w:rPr>
                <w:b/>
                <w:sz w:val="21"/>
                <w:lang w:eastAsia="zh-CN"/>
              </w:rPr>
            </w:pPr>
            <w:r>
              <w:rPr>
                <w:rFonts w:hint="eastAsia"/>
                <w:b/>
                <w:sz w:val="21"/>
                <w:lang w:eastAsia="zh-CN"/>
              </w:rPr>
              <w:t>（三）入河排污口设置可能使水域水质达不到水功能区要求的；</w:t>
            </w:r>
          </w:p>
          <w:p>
            <w:pPr>
              <w:pStyle w:val="32"/>
              <w:spacing w:before="1"/>
              <w:ind w:firstLine="0" w:firstLineChars="0"/>
              <w:jc w:val="left"/>
              <w:rPr>
                <w:sz w:val="21"/>
                <w:lang w:eastAsia="zh-CN"/>
              </w:rPr>
            </w:pPr>
            <w:r>
              <w:rPr>
                <w:rFonts w:hint="eastAsia"/>
                <w:sz w:val="21"/>
                <w:lang w:eastAsia="zh-CN"/>
              </w:rPr>
              <w:t>（四）入河排污口设置直接影响合法取水户用水安全的；</w:t>
            </w:r>
          </w:p>
          <w:p>
            <w:pPr>
              <w:pStyle w:val="32"/>
              <w:ind w:firstLine="0" w:firstLineChars="0"/>
              <w:jc w:val="left"/>
              <w:rPr>
                <w:sz w:val="21"/>
                <w:lang w:eastAsia="zh-CN"/>
              </w:rPr>
            </w:pPr>
            <w:r>
              <w:rPr>
                <w:rFonts w:hint="eastAsia"/>
                <w:sz w:val="21"/>
                <w:lang w:eastAsia="zh-CN"/>
              </w:rPr>
              <w:t>（五）入河排污口设置不符合防洪要求的；</w:t>
            </w:r>
          </w:p>
          <w:p>
            <w:pPr>
              <w:pStyle w:val="32"/>
              <w:ind w:firstLine="0" w:firstLineChars="0"/>
              <w:jc w:val="left"/>
              <w:rPr>
                <w:sz w:val="21"/>
                <w:lang w:eastAsia="zh-CN"/>
              </w:rPr>
            </w:pPr>
            <w:r>
              <w:rPr>
                <w:rFonts w:hint="eastAsia"/>
                <w:sz w:val="21"/>
                <w:lang w:eastAsia="zh-CN"/>
              </w:rPr>
              <w:t>（六）不符合法律、法规和国家产业政策规定的；</w:t>
            </w:r>
          </w:p>
          <w:p>
            <w:pPr>
              <w:ind w:firstLine="0" w:firstLineChars="0"/>
              <w:rPr>
                <w:sz w:val="21"/>
              </w:rPr>
            </w:pPr>
            <w:r>
              <w:rPr>
                <w:rFonts w:hint="eastAsia"/>
                <w:sz w:val="21"/>
              </w:rPr>
              <w:t>（七）其他不符合国务院水行政主管部门规定条件的。</w:t>
            </w:r>
          </w:p>
          <w:p>
            <w:pPr>
              <w:pStyle w:val="32"/>
              <w:spacing w:before="97"/>
              <w:ind w:left="4" w:right="-15" w:firstLine="0" w:firstLineChars="0"/>
              <w:jc w:val="both"/>
              <w:rPr>
                <w:sz w:val="21"/>
                <w:lang w:eastAsia="zh-CN"/>
              </w:rPr>
            </w:pPr>
            <w:r>
              <w:rPr>
                <w:rFonts w:hint="eastAsia"/>
                <w:spacing w:val="1"/>
                <w:sz w:val="21"/>
                <w:lang w:eastAsia="zh-CN"/>
              </w:rPr>
              <w:t xml:space="preserve">第十八条 </w:t>
            </w:r>
            <w:r>
              <w:rPr>
                <w:sz w:val="21"/>
                <w:lang w:eastAsia="zh-CN"/>
              </w:rPr>
              <w:t xml:space="preserve">2002 </w:t>
            </w:r>
            <w:r>
              <w:rPr>
                <w:rFonts w:hint="eastAsia"/>
                <w:spacing w:val="-24"/>
                <w:sz w:val="21"/>
                <w:lang w:eastAsia="zh-CN"/>
              </w:rPr>
              <w:t xml:space="preserve">年 </w:t>
            </w:r>
            <w:r>
              <w:rPr>
                <w:sz w:val="21"/>
                <w:lang w:eastAsia="zh-CN"/>
              </w:rPr>
              <w:t xml:space="preserve">10 </w:t>
            </w:r>
            <w:r>
              <w:rPr>
                <w:rFonts w:hint="eastAsia"/>
                <w:spacing w:val="-26"/>
                <w:sz w:val="21"/>
                <w:lang w:eastAsia="zh-CN"/>
              </w:rPr>
              <w:t xml:space="preserve">月 </w:t>
            </w:r>
            <w:r>
              <w:rPr>
                <w:sz w:val="21"/>
                <w:lang w:eastAsia="zh-CN"/>
              </w:rPr>
              <w:t xml:space="preserve">1 </w:t>
            </w:r>
            <w:r>
              <w:rPr>
                <w:rFonts w:hint="eastAsia"/>
                <w:spacing w:val="-6"/>
                <w:sz w:val="21"/>
                <w:lang w:eastAsia="zh-CN"/>
              </w:rPr>
              <w:t>日修订的《中华人民共和国水法》实施前，已经设置入</w:t>
            </w:r>
            <w:r>
              <w:rPr>
                <w:rFonts w:hint="eastAsia"/>
                <w:spacing w:val="-4"/>
                <w:sz w:val="21"/>
                <w:lang w:eastAsia="zh-CN"/>
              </w:rPr>
              <w:t>河排污口，应当到黄河流域水资源保护局进行登记。排污单位在接到入河排污口</w:t>
            </w:r>
            <w:r>
              <w:rPr>
                <w:rFonts w:hint="eastAsia"/>
                <w:spacing w:val="-10"/>
                <w:sz w:val="21"/>
                <w:lang w:eastAsia="zh-CN"/>
              </w:rPr>
              <w:t xml:space="preserve">登记通知之日起 </w:t>
            </w:r>
            <w:r>
              <w:rPr>
                <w:sz w:val="21"/>
                <w:lang w:eastAsia="zh-CN"/>
              </w:rPr>
              <w:t xml:space="preserve">30 </w:t>
            </w:r>
            <w:r>
              <w:rPr>
                <w:rFonts w:hint="eastAsia"/>
                <w:spacing w:val="-3"/>
                <w:sz w:val="21"/>
                <w:lang w:eastAsia="zh-CN"/>
              </w:rPr>
              <w:t>日内，持有关文件到登记机关登记。</w:t>
            </w:r>
          </w:p>
          <w:p>
            <w:pPr>
              <w:pStyle w:val="32"/>
              <w:ind w:firstLine="0" w:firstLineChars="0"/>
              <w:jc w:val="left"/>
              <w:rPr>
                <w:sz w:val="21"/>
                <w:lang w:eastAsia="zh-CN"/>
              </w:rPr>
            </w:pPr>
            <w:r>
              <w:rPr>
                <w:rFonts w:hint="eastAsia"/>
                <w:sz w:val="21"/>
                <w:lang w:eastAsia="zh-CN"/>
              </w:rPr>
              <w:t>入河排污口登记应提交下列加盖排污单位印章的文件：</w:t>
            </w:r>
          </w:p>
          <w:p>
            <w:pPr>
              <w:pStyle w:val="32"/>
              <w:ind w:firstLine="0" w:firstLineChars="0"/>
              <w:jc w:val="left"/>
              <w:rPr>
                <w:sz w:val="21"/>
                <w:lang w:eastAsia="zh-CN"/>
              </w:rPr>
            </w:pPr>
            <w:r>
              <w:rPr>
                <w:rFonts w:hint="eastAsia"/>
                <w:sz w:val="21"/>
                <w:lang w:eastAsia="zh-CN"/>
              </w:rPr>
              <w:t>（一）入河排污口登记表；</w:t>
            </w:r>
          </w:p>
          <w:p>
            <w:pPr>
              <w:pStyle w:val="32"/>
              <w:ind w:firstLine="0" w:firstLineChars="0"/>
              <w:jc w:val="left"/>
              <w:rPr>
                <w:sz w:val="21"/>
                <w:lang w:eastAsia="zh-CN"/>
              </w:rPr>
            </w:pPr>
            <w:r>
              <w:rPr>
                <w:rFonts w:hint="eastAsia"/>
                <w:sz w:val="21"/>
                <w:lang w:eastAsia="zh-CN"/>
              </w:rPr>
              <w:t>（二）环境影响报告书（表）或其他形式的水环境影响分析报告；</w:t>
            </w:r>
          </w:p>
          <w:p>
            <w:pPr>
              <w:pStyle w:val="32"/>
              <w:ind w:firstLine="0" w:firstLineChars="0"/>
              <w:jc w:val="left"/>
              <w:rPr>
                <w:sz w:val="21"/>
                <w:lang w:eastAsia="zh-CN"/>
              </w:rPr>
            </w:pPr>
            <w:r>
              <w:rPr>
                <w:rFonts w:hint="eastAsia"/>
                <w:sz w:val="21"/>
                <w:lang w:eastAsia="zh-CN"/>
              </w:rPr>
              <w:t>（三）人民政府或环境保护主管部门批准其排污的文件</w:t>
            </w:r>
          </w:p>
          <w:p>
            <w:pPr>
              <w:pStyle w:val="32"/>
              <w:ind w:right="-15" w:firstLine="0" w:firstLineChars="0"/>
              <w:jc w:val="left"/>
              <w:rPr>
                <w:sz w:val="21"/>
                <w:lang w:eastAsia="zh-CN"/>
              </w:rPr>
            </w:pPr>
            <w:r>
              <w:rPr>
                <w:rFonts w:hint="eastAsia"/>
                <w:sz w:val="21"/>
                <w:lang w:eastAsia="zh-CN"/>
              </w:rPr>
              <w:t>（四</w:t>
            </w:r>
            <w:r>
              <w:rPr>
                <w:rFonts w:hint="eastAsia"/>
                <w:spacing w:val="-3"/>
                <w:sz w:val="21"/>
                <w:lang w:eastAsia="zh-CN"/>
              </w:rPr>
              <w:t xml:space="preserve">）主要产污环节及排污设施、工艺与水污染防治设施运行情况简要说明。 </w:t>
            </w:r>
            <w:r>
              <w:rPr>
                <w:rFonts w:hint="eastAsia"/>
                <w:spacing w:val="-1"/>
                <w:sz w:val="21"/>
                <w:lang w:eastAsia="zh-CN"/>
              </w:rPr>
              <w:t xml:space="preserve">第十九条 </w:t>
            </w:r>
            <w:r>
              <w:rPr>
                <w:sz w:val="21"/>
                <w:lang w:eastAsia="zh-CN"/>
              </w:rPr>
              <w:t>2002</w:t>
            </w:r>
            <w:r>
              <w:rPr>
                <w:spacing w:val="2"/>
                <w:sz w:val="21"/>
                <w:lang w:eastAsia="zh-CN"/>
              </w:rPr>
              <w:t xml:space="preserve"> </w:t>
            </w:r>
            <w:r>
              <w:rPr>
                <w:rFonts w:hint="eastAsia"/>
                <w:spacing w:val="-24"/>
                <w:sz w:val="21"/>
                <w:lang w:eastAsia="zh-CN"/>
              </w:rPr>
              <w:t xml:space="preserve">年 </w:t>
            </w:r>
            <w:r>
              <w:rPr>
                <w:sz w:val="21"/>
                <w:lang w:eastAsia="zh-CN"/>
              </w:rPr>
              <w:t>10</w:t>
            </w:r>
            <w:r>
              <w:rPr>
                <w:spacing w:val="5"/>
                <w:sz w:val="21"/>
                <w:lang w:eastAsia="zh-CN"/>
              </w:rPr>
              <w:t xml:space="preserve"> </w:t>
            </w:r>
            <w:r>
              <w:rPr>
                <w:rFonts w:hint="eastAsia"/>
                <w:spacing w:val="-26"/>
                <w:sz w:val="21"/>
                <w:lang w:eastAsia="zh-CN"/>
              </w:rPr>
              <w:t xml:space="preserve">月 </w:t>
            </w:r>
            <w:r>
              <w:rPr>
                <w:sz w:val="21"/>
                <w:lang w:eastAsia="zh-CN"/>
              </w:rPr>
              <w:t>1</w:t>
            </w:r>
            <w:r>
              <w:rPr>
                <w:spacing w:val="2"/>
                <w:sz w:val="21"/>
                <w:lang w:eastAsia="zh-CN"/>
              </w:rPr>
              <w:t xml:space="preserve"> </w:t>
            </w:r>
            <w:r>
              <w:rPr>
                <w:rFonts w:hint="eastAsia"/>
                <w:spacing w:val="-6"/>
                <w:sz w:val="21"/>
                <w:lang w:eastAsia="zh-CN"/>
              </w:rPr>
              <w:t>日修订的《中华人民共和国水法》施行后，本实施细则</w:t>
            </w:r>
            <w:r>
              <w:rPr>
                <w:rFonts w:hint="eastAsia"/>
                <w:spacing w:val="-4"/>
                <w:sz w:val="21"/>
                <w:lang w:eastAsia="zh-CN"/>
              </w:rPr>
              <w:t>实施前设置的入河排污口，没有经过黄河水利委员会审查同意的，应当按照本实</w:t>
            </w:r>
          </w:p>
          <w:p>
            <w:pPr>
              <w:ind w:firstLine="0" w:firstLineChars="0"/>
              <w:rPr>
                <w:sz w:val="21"/>
                <w:szCs w:val="21"/>
              </w:rPr>
            </w:pPr>
            <w:r>
              <w:rPr>
                <w:rFonts w:hint="eastAsia"/>
                <w:sz w:val="21"/>
              </w:rPr>
              <w:t>施细则的规定补办申请手续。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ind w:firstLine="0" w:firstLineChars="0"/>
              <w:jc w:val="center"/>
              <w:rPr>
                <w:sz w:val="21"/>
                <w:szCs w:val="21"/>
              </w:rPr>
            </w:pPr>
            <w:r>
              <w:rPr>
                <w:rFonts w:hint="eastAsia"/>
                <w:spacing w:val="-5"/>
                <w:sz w:val="21"/>
              </w:rPr>
              <w:t>（</w:t>
            </w:r>
            <w:r>
              <w:rPr>
                <w:spacing w:val="-5"/>
                <w:sz w:val="21"/>
              </w:rPr>
              <w:t>9</w:t>
            </w:r>
            <w:r>
              <w:rPr>
                <w:rFonts w:hint="eastAsia"/>
                <w:spacing w:val="-5"/>
                <w:sz w:val="21"/>
              </w:rPr>
              <w:t>）</w:t>
            </w:r>
            <w:r>
              <w:rPr>
                <w:rFonts w:hint="eastAsia"/>
                <w:spacing w:val="-3"/>
                <w:sz w:val="21"/>
              </w:rPr>
              <w:t>《甘肃省实行最严格的水资源管理制度办法》</w:t>
            </w:r>
          </w:p>
        </w:tc>
        <w:tc>
          <w:tcPr>
            <w:tcW w:w="8224" w:type="dxa"/>
          </w:tcPr>
          <w:p>
            <w:pPr>
              <w:pStyle w:val="32"/>
              <w:spacing w:before="97"/>
              <w:ind w:firstLine="0" w:firstLineChars="0"/>
              <w:jc w:val="left"/>
              <w:rPr>
                <w:b/>
                <w:sz w:val="21"/>
                <w:lang w:eastAsia="zh-CN"/>
              </w:rPr>
            </w:pPr>
            <w:r>
              <w:rPr>
                <w:rFonts w:hint="eastAsia"/>
                <w:b/>
                <w:sz w:val="21"/>
                <w:lang w:eastAsia="zh-CN"/>
              </w:rPr>
              <w:t>第四章 纳污能力管理</w:t>
            </w:r>
          </w:p>
          <w:p>
            <w:pPr>
              <w:pStyle w:val="32"/>
              <w:ind w:firstLine="0" w:firstLineChars="0"/>
              <w:jc w:val="left"/>
              <w:rPr>
                <w:sz w:val="21"/>
                <w:lang w:eastAsia="zh-CN"/>
              </w:rPr>
            </w:pPr>
            <w:r>
              <w:rPr>
                <w:rFonts w:hint="eastAsia"/>
                <w:sz w:val="21"/>
                <w:lang w:eastAsia="zh-CN"/>
              </w:rPr>
              <w:t>第三十一条 省水行政主管部门负责编制全省入河排污口布设规划。</w:t>
            </w:r>
          </w:p>
          <w:p>
            <w:pPr>
              <w:pStyle w:val="32"/>
              <w:ind w:right="-15" w:firstLine="0" w:firstLineChars="0"/>
              <w:jc w:val="both"/>
              <w:rPr>
                <w:sz w:val="21"/>
                <w:lang w:eastAsia="zh-CN"/>
              </w:rPr>
            </w:pPr>
            <w:r>
              <w:rPr>
                <w:rFonts w:hint="eastAsia"/>
                <w:spacing w:val="-7"/>
                <w:sz w:val="21"/>
                <w:lang w:eastAsia="zh-CN"/>
              </w:rPr>
              <w:t>第三十二条 各级水行政主管部门应按照管理权限，组织开展重点入河排污口整治</w:t>
            </w:r>
            <w:r>
              <w:rPr>
                <w:rFonts w:hint="eastAsia"/>
                <w:spacing w:val="-5"/>
                <w:sz w:val="21"/>
                <w:lang w:eastAsia="zh-CN"/>
              </w:rPr>
              <w:t>和规范化管理。省属流域机构应按照省水行政主管部门的要求，组织实施跨市州</w:t>
            </w:r>
            <w:r>
              <w:rPr>
                <w:rFonts w:hint="eastAsia"/>
                <w:spacing w:val="-4"/>
                <w:sz w:val="21"/>
                <w:lang w:eastAsia="zh-CN"/>
              </w:rPr>
              <w:t>河流入河排污口的监督管理</w:t>
            </w:r>
          </w:p>
          <w:p>
            <w:pPr>
              <w:pStyle w:val="32"/>
              <w:ind w:left="4" w:right="5" w:firstLine="0" w:firstLineChars="0"/>
              <w:jc w:val="left"/>
              <w:rPr>
                <w:sz w:val="21"/>
                <w:lang w:eastAsia="zh-CN"/>
              </w:rPr>
            </w:pPr>
            <w:r>
              <w:rPr>
                <w:rFonts w:hint="eastAsia"/>
                <w:sz w:val="21"/>
                <w:lang w:eastAsia="zh-CN"/>
              </w:rPr>
              <w:t>市州、县市区水行政主管部门要加强新建、改建入河排污口管理，严格入河排污口设置，满足水功能区达标率以及水功能区限制排污总量的要求</w:t>
            </w:r>
          </w:p>
          <w:p>
            <w:pPr>
              <w:pStyle w:val="32"/>
              <w:spacing w:before="2"/>
              <w:ind w:left="4" w:right="5" w:firstLine="0" w:firstLineChars="0"/>
              <w:jc w:val="left"/>
              <w:rPr>
                <w:sz w:val="21"/>
                <w:lang w:eastAsia="zh-CN"/>
              </w:rPr>
            </w:pPr>
            <w:r>
              <w:rPr>
                <w:rFonts w:hint="eastAsia"/>
                <w:sz w:val="21"/>
                <w:lang w:eastAsia="zh-CN"/>
              </w:rPr>
              <w:t>对现状排污量超出水功能区限制排污总量的地区，有管辖权的水行政主管部门应当限制审批新增取水及入河排污口并逐步核减排污量，排污总量应控制在我省制</w:t>
            </w:r>
          </w:p>
          <w:p>
            <w:pPr>
              <w:ind w:firstLine="0" w:firstLineChars="0"/>
              <w:rPr>
                <w:sz w:val="21"/>
                <w:szCs w:val="21"/>
              </w:rPr>
            </w:pPr>
            <w:r>
              <w:rPr>
                <w:rFonts w:hint="eastAsia"/>
                <w:sz w:val="21"/>
              </w:rPr>
              <w:t>定的纳污红线以内。</w:t>
            </w:r>
          </w:p>
        </w:tc>
      </w:tr>
    </w:tbl>
    <w:p>
      <w:pPr>
        <w:ind w:firstLine="480"/>
      </w:pPr>
    </w:p>
    <w:p>
      <w:pPr>
        <w:pStyle w:val="3"/>
      </w:pPr>
      <w:bookmarkStart w:id="25" w:name="_Toc57964366"/>
      <w:r>
        <w:rPr>
          <w:rFonts w:hint="eastAsia"/>
        </w:rPr>
        <w:t xml:space="preserve">5.2 </w:t>
      </w:r>
      <w:r>
        <w:t>水功能区纳污能力及限制排放总量</w:t>
      </w:r>
      <w:bookmarkEnd w:id="25"/>
    </w:p>
    <w:p>
      <w:pPr>
        <w:ind w:firstLine="480"/>
      </w:pPr>
      <w:r>
        <w:t>水功能区限制排污总量是根据水功能区纳污能力和现状污染物入河量，综合考虑水功能区水质状况和达标需求、当地技术经济条件和经济社会发展水平，在确定的时间内，允许污染物进入水功能区的最大数量。《国务院关于实行最严格水资源管理制度的意见（国发〔2012〕3 号）》明确提出按照水功能区对水质的要求和水体的自然净化能力，核定水域纳污能力，提出限制排污总量意见，强调各级政府要把限制排污</w:t>
      </w:r>
      <w:r>
        <w:rPr>
          <w:lang w:val="en-US" w:bidi="ar-SA"/>
        </w:rPr>
        <w:pict>
          <v:shape id="文本框 8" o:spid="_x0000_s1026" o:spt="202" type="#_x0000_t202" style="position:absolute;left:0pt;margin-left:118.45pt;margin-top:518.65pt;height:10.6pt;width:10.6pt;mso-position-horizontal-relative:page;mso-position-vertical-relative:pag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">
            <v:path/>
            <v:fill on="f" focussize="0,0"/>
            <v:stroke on="f" joinstyle="miter"/>
            <v:imagedata o:title=""/>
            <o:lock v:ext="edit"/>
            <v:textbox inset="0mm,0mm,0mm,0mm">
              <w:txbxContent>
                <w:p>
                  <w:pPr>
                    <w:spacing w:line="211" w:lineRule="exact"/>
                    <w:ind w:firstLine="420"/>
                    <w:rPr>
                      <w:sz w:val="21"/>
                    </w:rPr>
                  </w:pPr>
                  <w:r>
                    <w:rPr>
                      <w:sz w:val="21"/>
                    </w:rPr>
                    <w:t>、</w:t>
                  </w:r>
                </w:p>
              </w:txbxContent>
            </v:textbox>
          </v:shape>
        </w:pict>
      </w:r>
      <w:r>
        <w:rPr>
          <w:lang w:val="en-US" w:bidi="ar-SA"/>
        </w:rPr>
        <w:pict>
          <v:rect id="矩形 7" o:spid="_x0000_s1028" o:spt="1" style="position:absolute;left:0pt;margin-left:124.6pt;margin-top:604.4pt;height:112.25pt;width:52.9pt;mso-position-horizontal-relative:page;mso-position-vertical-relative:page;z-index:-251656192;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">
            <v:path/>
            <v:fill focussize="0,0"/>
            <v:stroke on="f"/>
            <v:imagedata o:title=""/>
            <o:lock v:ext="edit"/>
          </v:rect>
        </w:pict>
      </w:r>
      <w:r>
        <w:rPr>
          <w:lang w:val="en-US" w:bidi="ar-SA"/>
        </w:rPr>
        <w:pict>
          <v:rect id="_x0000_s1027" o:spid="_x0000_s1027" o:spt="1" style="position:absolute;left:0pt;margin-left:125.05pt;margin-top:512.35pt;height:23.05pt;width:51.95pt;mso-position-horizontal-relative:page;mso-position-vertical-relative:page;z-index:-25165414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">
            <v:path/>
            <v:fill focussize="0,0"/>
            <v:stroke on="f"/>
            <v:imagedata o:title=""/>
            <o:lock v:ext="edit"/>
          </v:rect>
        </w:pict>
      </w:r>
      <w:r>
        <w:t>总量作为水污染防治和污染减排工作的重要依据。</w:t>
      </w:r>
    </w:p>
    <w:p>
      <w:pPr>
        <w:ind w:firstLine="480"/>
      </w:pPr>
      <w:r>
        <w:t>庆阳市城东污水处理厂入河排污口所在水功能区为马莲河环县、庆城、合水、宁县工业、农业用水区，根据《庆阳市地表水功能区限制纳污红线方案》，2020、2030 年 COD 和氨氮纳污能力为 3901.1 t/a、125.1t/a。</w:t>
      </w:r>
    </w:p>
    <w:p>
      <w:pPr>
        <w:pStyle w:val="7"/>
        <w:spacing w:before="22" w:line="333" w:lineRule="auto"/>
        <w:ind w:right="174" w:firstLine="480"/>
        <w:jc w:val="both"/>
      </w:pPr>
      <w:r>
        <w:rPr>
          <w:rFonts w:eastAsia="Times New Roman" w:cs="Times New Roman"/>
        </w:rPr>
        <w:t xml:space="preserve">2020 </w:t>
      </w:r>
      <w:r>
        <w:t>年</w:t>
      </w:r>
      <w:r>
        <w:rPr>
          <w:spacing w:val="-60"/>
        </w:rPr>
        <w:t xml:space="preserve"> </w:t>
      </w:r>
      <w:r>
        <w:rPr>
          <w:rFonts w:eastAsia="Times New Roman" w:cs="Times New Roman"/>
        </w:rPr>
        <w:t>COD</w:t>
      </w:r>
      <w:r>
        <w:rPr>
          <w:rFonts w:eastAsia="Times New Roman" w:cs="Times New Roman"/>
          <w:spacing w:val="-1"/>
        </w:rPr>
        <w:t xml:space="preserve"> </w:t>
      </w:r>
      <w:r>
        <w:t>和氨氮的限制排污总量分别为</w:t>
      </w:r>
      <w:r>
        <w:rPr>
          <w:spacing w:val="-60"/>
        </w:rPr>
        <w:t xml:space="preserve"> </w:t>
      </w:r>
      <w:r>
        <w:rPr>
          <w:rFonts w:eastAsia="Times New Roman" w:cs="Times New Roman"/>
          <w:spacing w:val="-4"/>
        </w:rPr>
        <w:t>3721.7t/a</w:t>
      </w:r>
      <w:r>
        <w:rPr>
          <w:spacing w:val="-4"/>
        </w:rPr>
        <w:t>、</w:t>
      </w:r>
      <w:r>
        <w:rPr>
          <w:rFonts w:eastAsia="Times New Roman" w:cs="Times New Roman"/>
          <w:spacing w:val="-4"/>
        </w:rPr>
        <w:t>202.1t/a</w:t>
      </w:r>
      <w:r>
        <w:rPr>
          <w:spacing w:val="-4"/>
        </w:rPr>
        <w:t>，</w:t>
      </w:r>
      <w:r>
        <w:rPr>
          <w:rFonts w:eastAsia="Times New Roman" w:cs="Times New Roman"/>
          <w:spacing w:val="-4"/>
        </w:rPr>
        <w:t>2030</w:t>
      </w:r>
      <w:r>
        <w:rPr>
          <w:rFonts w:eastAsia="Times New Roman" w:cs="Times New Roman"/>
        </w:rPr>
        <w:t xml:space="preserve"> </w:t>
      </w:r>
      <w:r>
        <w:t>年</w:t>
      </w:r>
      <w:r>
        <w:rPr>
          <w:spacing w:val="-60"/>
        </w:rPr>
        <w:t xml:space="preserve"> </w:t>
      </w:r>
      <w:r>
        <w:rPr>
          <w:rFonts w:eastAsia="Times New Roman" w:cs="Times New Roman"/>
        </w:rPr>
        <w:t>COD</w:t>
      </w:r>
      <w:r>
        <w:rPr>
          <w:rFonts w:eastAsia="Times New Roman" w:cs="Times New Roman"/>
          <w:spacing w:val="-1"/>
        </w:rPr>
        <w:t xml:space="preserve"> </w:t>
      </w:r>
      <w:r>
        <w:t>和 氨氮的限制排污总量分别为</w:t>
      </w:r>
      <w:r>
        <w:rPr>
          <w:spacing w:val="-63"/>
        </w:rPr>
        <w:t xml:space="preserve"> </w:t>
      </w:r>
      <w:r>
        <w:rPr>
          <w:rFonts w:eastAsia="Times New Roman" w:cs="Times New Roman"/>
        </w:rPr>
        <w:t>3362.3</w:t>
      </w:r>
      <w:r>
        <w:rPr>
          <w:rFonts w:eastAsia="Times New Roman" w:cs="Times New Roman"/>
          <w:spacing w:val="-3"/>
        </w:rPr>
        <w:t xml:space="preserve"> t/a</w:t>
      </w:r>
      <w:r>
        <w:rPr>
          <w:spacing w:val="-3"/>
        </w:rPr>
        <w:t>、</w:t>
      </w:r>
      <w:r>
        <w:rPr>
          <w:rFonts w:eastAsia="Times New Roman" w:cs="Times New Roman"/>
          <w:spacing w:val="-3"/>
        </w:rPr>
        <w:t xml:space="preserve">115.2 </w:t>
      </w:r>
      <w:r>
        <w:rPr>
          <w:rFonts w:eastAsia="Times New Roman" w:cs="Times New Roman"/>
        </w:rPr>
        <w:t>t/a</w:t>
      </w:r>
      <w:r>
        <w:t>。水功能区的水域纳污能力及限排总量见表</w:t>
      </w:r>
      <w:r>
        <w:rPr>
          <w:spacing w:val="-62"/>
        </w:rPr>
        <w:t xml:space="preserve"> </w:t>
      </w:r>
      <w:r>
        <w:rPr>
          <w:rFonts w:eastAsia="Times New Roman" w:cs="Times New Roman"/>
        </w:rPr>
        <w:t>5.2-1</w:t>
      </w:r>
      <w:r>
        <w:t>。</w:t>
      </w:r>
    </w:p>
    <w:p>
      <w:pPr>
        <w:pStyle w:val="7"/>
        <w:spacing w:before="22" w:line="333" w:lineRule="auto"/>
        <w:ind w:right="174" w:firstLine="0" w:firstLineChars="0"/>
        <w:jc w:val="center"/>
      </w:pPr>
      <w:r>
        <w:rPr>
          <w:b/>
          <w:sz w:val="21"/>
        </w:rPr>
        <w:t>表</w:t>
      </w:r>
      <w:r>
        <w:rPr>
          <w:b/>
          <w:spacing w:val="-52"/>
          <w:sz w:val="21"/>
        </w:rPr>
        <w:t xml:space="preserve"> </w:t>
      </w:r>
      <w:r>
        <w:rPr>
          <w:rFonts w:eastAsia="Times New Roman"/>
          <w:b/>
          <w:sz w:val="21"/>
        </w:rPr>
        <w:t>5.</w:t>
      </w:r>
      <w:r>
        <w:rPr>
          <w:rFonts w:hint="eastAsia" w:eastAsiaTheme="minorEastAsia"/>
          <w:b/>
          <w:sz w:val="21"/>
        </w:rPr>
        <w:t>2</w:t>
      </w:r>
      <w:r>
        <w:rPr>
          <w:rFonts w:eastAsia="Times New Roman"/>
          <w:b/>
          <w:sz w:val="21"/>
        </w:rPr>
        <w:t>-</w:t>
      </w:r>
      <w:r>
        <w:rPr>
          <w:rFonts w:hint="eastAsia" w:eastAsiaTheme="minorEastAsia"/>
          <w:b/>
          <w:sz w:val="21"/>
        </w:rPr>
        <w:t xml:space="preserve">1  </w:t>
      </w:r>
      <w:r>
        <w:rPr>
          <w:rFonts w:hint="eastAsia"/>
          <w:b/>
          <w:sz w:val="21"/>
        </w:rPr>
        <w:t>水功能区分阶段纳污能力统计表</w:t>
      </w:r>
    </w:p>
    <w:tbl>
      <w:tblPr>
        <w:tblStyle w:val="31"/>
        <w:tblW w:w="0" w:type="auto"/>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1"/>
        <w:gridCol w:w="1068"/>
        <w:gridCol w:w="1258"/>
        <w:gridCol w:w="1032"/>
        <w:gridCol w:w="884"/>
        <w:gridCol w:w="730"/>
        <w:gridCol w:w="864"/>
        <w:gridCol w:w="590"/>
        <w:gridCol w:w="658"/>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2009" w:type="dxa"/>
            <w:gridSpan w:val="2"/>
            <w:vAlign w:val="center"/>
          </w:tcPr>
          <w:p>
            <w:pPr>
              <w:pStyle w:val="32"/>
              <w:spacing w:before="79"/>
              <w:ind w:firstLine="199" w:firstLineChars="95"/>
              <w:rPr>
                <w:rFonts w:ascii="宋体" w:hAnsi="宋体" w:eastAsiaTheme="minorEastAsia"/>
                <w:sz w:val="21"/>
                <w:szCs w:val="21"/>
              </w:rPr>
            </w:pPr>
            <w:r>
              <w:rPr>
                <w:rFonts w:ascii="宋体" w:hAnsi="宋体" w:eastAsiaTheme="minorEastAsia"/>
                <w:sz w:val="21"/>
                <w:szCs w:val="21"/>
              </w:rPr>
              <w:t>水功能区</w:t>
            </w:r>
          </w:p>
        </w:tc>
        <w:tc>
          <w:tcPr>
            <w:tcW w:w="1258" w:type="dxa"/>
            <w:vMerge w:val="restart"/>
            <w:vAlign w:val="center"/>
          </w:tcPr>
          <w:p>
            <w:pPr>
              <w:pStyle w:val="32"/>
              <w:ind w:firstLine="0" w:firstLineChars="0"/>
              <w:rPr>
                <w:rFonts w:ascii="宋体" w:hAnsi="宋体" w:eastAsiaTheme="minorEastAsia"/>
                <w:sz w:val="21"/>
                <w:szCs w:val="21"/>
              </w:rPr>
            </w:pPr>
            <w:r>
              <w:rPr>
                <w:rFonts w:ascii="宋体" w:hAnsi="宋体" w:eastAsiaTheme="minorEastAsia"/>
                <w:sz w:val="21"/>
                <w:szCs w:val="21"/>
              </w:rPr>
              <w:t>县区</w:t>
            </w:r>
          </w:p>
        </w:tc>
        <w:tc>
          <w:tcPr>
            <w:tcW w:w="1032" w:type="dxa"/>
            <w:vMerge w:val="restart"/>
            <w:vAlign w:val="center"/>
          </w:tcPr>
          <w:p>
            <w:pPr>
              <w:pStyle w:val="32"/>
              <w:ind w:firstLine="0" w:firstLineChars="0"/>
              <w:rPr>
                <w:rFonts w:ascii="宋体" w:hAnsi="宋体" w:eastAsiaTheme="minorEastAsia"/>
                <w:sz w:val="21"/>
                <w:szCs w:val="21"/>
              </w:rPr>
            </w:pPr>
            <w:r>
              <w:rPr>
                <w:rFonts w:ascii="宋体" w:hAnsi="宋体" w:eastAsiaTheme="minorEastAsia"/>
                <w:sz w:val="21"/>
                <w:szCs w:val="21"/>
              </w:rPr>
              <w:t>水平年</w:t>
            </w:r>
          </w:p>
        </w:tc>
        <w:tc>
          <w:tcPr>
            <w:tcW w:w="2478" w:type="dxa"/>
            <w:gridSpan w:val="3"/>
            <w:vAlign w:val="center"/>
          </w:tcPr>
          <w:p>
            <w:pPr>
              <w:pStyle w:val="32"/>
              <w:spacing w:before="79"/>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COD</w:t>
            </w:r>
            <w:r>
              <w:rPr>
                <w:rFonts w:ascii="宋体" w:hAnsi="宋体" w:eastAsiaTheme="minorEastAsia"/>
                <w:sz w:val="21"/>
                <w:szCs w:val="21"/>
              </w:rPr>
              <w:t>（</w:t>
            </w:r>
            <w:r>
              <w:rPr>
                <w:rFonts w:eastAsia="Times New Roman" w:cs="Times New Roman" w:asciiTheme="minorHAnsi" w:hAnsiTheme="minorHAnsi"/>
                <w:position w:val="1"/>
                <w:sz w:val="21"/>
                <w:szCs w:val="21"/>
              </w:rPr>
              <w:t>t</w:t>
            </w:r>
            <w:r>
              <w:rPr>
                <w:rFonts w:ascii="宋体" w:hAnsi="宋体" w:eastAsiaTheme="minorEastAsia"/>
                <w:sz w:val="21"/>
                <w:szCs w:val="21"/>
              </w:rPr>
              <w:t>）</w:t>
            </w:r>
          </w:p>
        </w:tc>
        <w:tc>
          <w:tcPr>
            <w:tcW w:w="2043" w:type="dxa"/>
            <w:gridSpan w:val="3"/>
            <w:vAlign w:val="center"/>
          </w:tcPr>
          <w:p>
            <w:pPr>
              <w:pStyle w:val="32"/>
              <w:spacing w:before="79"/>
              <w:ind w:firstLine="0" w:firstLineChars="0"/>
              <w:rPr>
                <w:rFonts w:ascii="宋体" w:hAnsi="宋体" w:eastAsiaTheme="minorEastAsia"/>
                <w:sz w:val="21"/>
                <w:szCs w:val="21"/>
              </w:rPr>
            </w:pPr>
            <w:r>
              <w:rPr>
                <w:rFonts w:ascii="宋体" w:hAnsi="宋体" w:eastAsiaTheme="minorEastAsia"/>
                <w:sz w:val="21"/>
                <w:szCs w:val="21"/>
              </w:rPr>
              <w:t>氨氮（</w:t>
            </w:r>
            <w:r>
              <w:rPr>
                <w:rFonts w:eastAsia="Times New Roman" w:cs="Times New Roman" w:asciiTheme="minorHAnsi" w:hAnsiTheme="minorHAnsi"/>
                <w:position w:val="1"/>
                <w:sz w:val="21"/>
                <w:szCs w:val="21"/>
              </w:rPr>
              <w:t>t</w:t>
            </w:r>
            <w:r>
              <w:rPr>
                <w:rFonts w:ascii="宋体" w:hAnsi="宋体"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exact"/>
        </w:trPr>
        <w:tc>
          <w:tcPr>
            <w:tcW w:w="941" w:type="dxa"/>
            <w:vAlign w:val="center"/>
          </w:tcPr>
          <w:p>
            <w:pPr>
              <w:pStyle w:val="32"/>
              <w:ind w:firstLine="0" w:firstLineChars="0"/>
              <w:rPr>
                <w:rFonts w:ascii="宋体" w:hAnsi="宋体" w:eastAsiaTheme="minorEastAsia"/>
                <w:sz w:val="21"/>
                <w:szCs w:val="21"/>
              </w:rPr>
            </w:pPr>
            <w:r>
              <w:rPr>
                <w:rFonts w:ascii="宋体" w:hAnsi="宋体" w:eastAsiaTheme="minorEastAsia"/>
                <w:sz w:val="21"/>
                <w:szCs w:val="21"/>
              </w:rPr>
              <w:t>一级</w:t>
            </w:r>
          </w:p>
        </w:tc>
        <w:tc>
          <w:tcPr>
            <w:tcW w:w="1068" w:type="dxa"/>
            <w:vAlign w:val="center"/>
          </w:tcPr>
          <w:p>
            <w:pPr>
              <w:pStyle w:val="32"/>
              <w:ind w:firstLine="0" w:firstLineChars="0"/>
              <w:rPr>
                <w:rFonts w:ascii="宋体" w:hAnsi="宋体" w:eastAsiaTheme="minorEastAsia"/>
                <w:sz w:val="21"/>
                <w:szCs w:val="21"/>
              </w:rPr>
            </w:pPr>
            <w:r>
              <w:rPr>
                <w:rFonts w:ascii="宋体" w:hAnsi="宋体" w:eastAsiaTheme="minorEastAsia"/>
                <w:sz w:val="21"/>
                <w:szCs w:val="21"/>
              </w:rPr>
              <w:t>二级</w:t>
            </w:r>
          </w:p>
        </w:tc>
        <w:tc>
          <w:tcPr>
            <w:tcW w:w="1258" w:type="dxa"/>
            <w:vMerge w:val="continue"/>
            <w:vAlign w:val="center"/>
          </w:tcPr>
          <w:p>
            <w:pPr>
              <w:ind w:firstLine="480"/>
              <w:jc w:val="center"/>
              <w:rPr>
                <w:rFonts w:asciiTheme="minorHAnsi" w:hAnsiTheme="minorHAnsi" w:eastAsiaTheme="minorEastAsia"/>
                <w:lang w:eastAsia="en-US"/>
              </w:rPr>
            </w:pPr>
          </w:p>
        </w:tc>
        <w:tc>
          <w:tcPr>
            <w:tcW w:w="1032" w:type="dxa"/>
            <w:vMerge w:val="continue"/>
            <w:vAlign w:val="center"/>
          </w:tcPr>
          <w:p>
            <w:pPr>
              <w:ind w:firstLine="480"/>
              <w:jc w:val="center"/>
              <w:rPr>
                <w:rFonts w:asciiTheme="minorHAnsi" w:hAnsiTheme="minorHAnsi" w:eastAsiaTheme="minorEastAsia"/>
                <w:lang w:eastAsia="en-US"/>
              </w:rPr>
            </w:pPr>
          </w:p>
        </w:tc>
        <w:tc>
          <w:tcPr>
            <w:tcW w:w="884" w:type="dxa"/>
            <w:vAlign w:val="center"/>
          </w:tcPr>
          <w:p>
            <w:pPr>
              <w:pStyle w:val="32"/>
              <w:ind w:firstLine="0" w:firstLineChars="0"/>
              <w:rPr>
                <w:rFonts w:ascii="宋体" w:hAnsi="宋体" w:eastAsiaTheme="minorEastAsia"/>
                <w:sz w:val="21"/>
                <w:szCs w:val="21"/>
              </w:rPr>
            </w:pPr>
            <w:r>
              <w:rPr>
                <w:rFonts w:ascii="宋体" w:hAnsi="宋体" w:eastAsiaTheme="minorEastAsia"/>
                <w:sz w:val="21"/>
                <w:szCs w:val="21"/>
              </w:rPr>
              <w:t>入河量</w:t>
            </w:r>
          </w:p>
        </w:tc>
        <w:tc>
          <w:tcPr>
            <w:tcW w:w="730" w:type="dxa"/>
            <w:vAlign w:val="center"/>
          </w:tcPr>
          <w:p>
            <w:pPr>
              <w:pStyle w:val="32"/>
              <w:spacing w:before="78"/>
              <w:ind w:firstLine="0" w:firstLineChars="0"/>
              <w:rPr>
                <w:rFonts w:ascii="宋体" w:hAnsi="宋体" w:eastAsiaTheme="minorEastAsia"/>
                <w:sz w:val="21"/>
                <w:szCs w:val="21"/>
                <w:lang w:eastAsia="zh-CN"/>
              </w:rPr>
            </w:pPr>
            <w:r>
              <w:rPr>
                <w:rFonts w:ascii="宋体" w:hAnsi="宋体" w:eastAsiaTheme="minorEastAsia"/>
                <w:sz w:val="21"/>
                <w:szCs w:val="21"/>
              </w:rPr>
              <w:t>纳污</w:t>
            </w:r>
          </w:p>
          <w:p>
            <w:pPr>
              <w:pStyle w:val="32"/>
              <w:spacing w:before="78"/>
              <w:ind w:firstLine="0" w:firstLineChars="0"/>
              <w:rPr>
                <w:rFonts w:ascii="宋体" w:hAnsi="宋体" w:eastAsiaTheme="minorEastAsia"/>
                <w:sz w:val="21"/>
                <w:szCs w:val="21"/>
                <w:lang w:eastAsia="zh-CN"/>
              </w:rPr>
            </w:pPr>
            <w:r>
              <w:rPr>
                <w:rFonts w:ascii="宋体" w:hAnsi="宋体" w:eastAsiaTheme="minorEastAsia"/>
                <w:sz w:val="21"/>
                <w:szCs w:val="21"/>
              </w:rPr>
              <w:t>能</w:t>
            </w:r>
            <w:r>
              <w:rPr>
                <w:rFonts w:hint="eastAsia" w:ascii="宋体" w:hAnsi="宋体" w:eastAsiaTheme="minorEastAsia"/>
                <w:sz w:val="21"/>
                <w:szCs w:val="21"/>
                <w:lang w:eastAsia="zh-CN"/>
              </w:rPr>
              <w:t>力</w:t>
            </w:r>
          </w:p>
          <w:p>
            <w:pPr>
              <w:pStyle w:val="32"/>
              <w:ind w:right="2" w:firstLine="0" w:firstLineChars="0"/>
              <w:rPr>
                <w:rFonts w:ascii="宋体" w:hAnsi="宋体" w:eastAsiaTheme="minorEastAsia"/>
                <w:sz w:val="21"/>
                <w:szCs w:val="21"/>
              </w:rPr>
            </w:pPr>
            <w:r>
              <w:rPr>
                <w:rFonts w:ascii="宋体" w:hAnsi="宋体" w:eastAsiaTheme="minorEastAsia"/>
                <w:sz w:val="21"/>
                <w:szCs w:val="21"/>
              </w:rPr>
              <w:t>力</w:t>
            </w:r>
          </w:p>
        </w:tc>
        <w:tc>
          <w:tcPr>
            <w:tcW w:w="864" w:type="dxa"/>
            <w:vAlign w:val="center"/>
          </w:tcPr>
          <w:p>
            <w:pPr>
              <w:pStyle w:val="32"/>
              <w:spacing w:before="78"/>
              <w:ind w:left="110" w:firstLine="0" w:firstLineChars="0"/>
              <w:rPr>
                <w:rFonts w:ascii="宋体" w:hAnsi="宋体" w:eastAsiaTheme="minorEastAsia"/>
                <w:sz w:val="21"/>
                <w:szCs w:val="21"/>
              </w:rPr>
            </w:pPr>
            <w:r>
              <w:rPr>
                <w:rFonts w:ascii="宋体" w:hAnsi="宋体" w:eastAsiaTheme="minorEastAsia"/>
                <w:sz w:val="21"/>
                <w:szCs w:val="21"/>
              </w:rPr>
              <w:t>限制排污总量</w:t>
            </w:r>
          </w:p>
        </w:tc>
        <w:tc>
          <w:tcPr>
            <w:tcW w:w="590" w:type="dxa"/>
            <w:vAlign w:val="center"/>
          </w:tcPr>
          <w:p>
            <w:pPr>
              <w:pStyle w:val="32"/>
              <w:spacing w:before="78"/>
              <w:ind w:firstLine="0" w:firstLineChars="0"/>
              <w:rPr>
                <w:rFonts w:ascii="宋体" w:hAnsi="宋体" w:eastAsiaTheme="minorEastAsia"/>
                <w:sz w:val="21"/>
                <w:szCs w:val="21"/>
              </w:rPr>
            </w:pPr>
            <w:r>
              <w:rPr>
                <w:rFonts w:ascii="宋体" w:hAnsi="宋体" w:eastAsiaTheme="minorEastAsia"/>
                <w:sz w:val="21"/>
                <w:szCs w:val="21"/>
              </w:rPr>
              <w:t>入河量</w:t>
            </w:r>
          </w:p>
        </w:tc>
        <w:tc>
          <w:tcPr>
            <w:tcW w:w="658" w:type="dxa"/>
            <w:vAlign w:val="center"/>
          </w:tcPr>
          <w:p>
            <w:pPr>
              <w:pStyle w:val="32"/>
              <w:spacing w:before="78"/>
              <w:ind w:firstLine="0" w:firstLineChars="0"/>
              <w:rPr>
                <w:rFonts w:ascii="宋体" w:hAnsi="宋体" w:eastAsiaTheme="minorEastAsia"/>
                <w:sz w:val="21"/>
                <w:szCs w:val="21"/>
                <w:lang w:eastAsia="zh-CN"/>
              </w:rPr>
            </w:pPr>
            <w:r>
              <w:rPr>
                <w:rFonts w:ascii="宋体" w:hAnsi="宋体" w:eastAsiaTheme="minorEastAsia"/>
                <w:sz w:val="21"/>
                <w:szCs w:val="21"/>
              </w:rPr>
              <w:t>纳污</w:t>
            </w:r>
          </w:p>
          <w:p>
            <w:pPr>
              <w:pStyle w:val="32"/>
              <w:spacing w:before="78"/>
              <w:ind w:firstLine="0" w:firstLineChars="0"/>
              <w:rPr>
                <w:rFonts w:ascii="宋体" w:hAnsi="宋体" w:eastAsiaTheme="minorEastAsia"/>
                <w:sz w:val="21"/>
                <w:szCs w:val="21"/>
              </w:rPr>
            </w:pPr>
            <w:r>
              <w:rPr>
                <w:rFonts w:ascii="宋体" w:hAnsi="宋体" w:eastAsiaTheme="minorEastAsia"/>
                <w:sz w:val="21"/>
                <w:szCs w:val="21"/>
              </w:rPr>
              <w:t>能力</w:t>
            </w:r>
          </w:p>
        </w:tc>
        <w:tc>
          <w:tcPr>
            <w:tcW w:w="795" w:type="dxa"/>
            <w:vAlign w:val="center"/>
          </w:tcPr>
          <w:p>
            <w:pPr>
              <w:pStyle w:val="32"/>
              <w:spacing w:before="78"/>
              <w:ind w:left="74" w:firstLine="0" w:firstLineChars="0"/>
              <w:rPr>
                <w:rFonts w:ascii="宋体" w:hAnsi="宋体" w:eastAsiaTheme="minorEastAsia"/>
                <w:sz w:val="21"/>
                <w:szCs w:val="21"/>
              </w:rPr>
            </w:pPr>
            <w:r>
              <w:rPr>
                <w:rFonts w:ascii="宋体" w:hAnsi="宋体" w:eastAsiaTheme="minorEastAsia"/>
                <w:sz w:val="21"/>
                <w:szCs w:val="21"/>
              </w:rPr>
              <w:t>限制排污总量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restart"/>
            <w:vAlign w:val="center"/>
          </w:tcPr>
          <w:p>
            <w:pPr>
              <w:pStyle w:val="32"/>
              <w:spacing w:before="166" w:line="400" w:lineRule="auto"/>
              <w:ind w:right="41" w:firstLine="0" w:firstLineChars="0"/>
              <w:rPr>
                <w:rFonts w:ascii="宋体" w:hAnsi="宋体" w:eastAsiaTheme="minorEastAsia"/>
                <w:sz w:val="21"/>
                <w:szCs w:val="21"/>
                <w:lang w:eastAsia="zh-CN"/>
              </w:rPr>
            </w:pPr>
            <w:r>
              <w:rPr>
                <w:rFonts w:ascii="宋体" w:hAnsi="宋体" w:eastAsiaTheme="minorEastAsia"/>
                <w:sz w:val="21"/>
                <w:szCs w:val="21"/>
                <w:lang w:eastAsia="zh-CN"/>
              </w:rPr>
              <w:t xml:space="preserve">马莲河环 </w:t>
            </w:r>
            <w:r>
              <w:rPr>
                <w:rFonts w:ascii="宋体" w:hAnsi="宋体" w:eastAsiaTheme="minorEastAsia"/>
                <w:spacing w:val="-9"/>
                <w:sz w:val="21"/>
                <w:szCs w:val="21"/>
                <w:lang w:eastAsia="zh-CN"/>
              </w:rPr>
              <w:t>县、庆城</w:t>
            </w:r>
            <w:r>
              <w:rPr>
                <w:rFonts w:ascii="宋体" w:hAnsi="宋体" w:eastAsiaTheme="minorEastAsia"/>
                <w:sz w:val="21"/>
                <w:szCs w:val="21"/>
                <w:lang w:eastAsia="zh-CN"/>
              </w:rPr>
              <w:t xml:space="preserve"> 合水、宁 县开发利 用区</w:t>
            </w:r>
          </w:p>
        </w:tc>
        <w:tc>
          <w:tcPr>
            <w:tcW w:w="1068" w:type="dxa"/>
            <w:vMerge w:val="restart"/>
            <w:vAlign w:val="center"/>
          </w:tcPr>
          <w:p>
            <w:pPr>
              <w:pStyle w:val="32"/>
              <w:spacing w:line="400" w:lineRule="auto"/>
              <w:ind w:right="-5" w:firstLine="0" w:firstLineChars="0"/>
              <w:rPr>
                <w:rFonts w:ascii="宋体" w:hAnsi="宋体" w:eastAsiaTheme="minorEastAsia"/>
                <w:sz w:val="21"/>
                <w:szCs w:val="21"/>
                <w:lang w:eastAsia="zh-CN"/>
              </w:rPr>
            </w:pPr>
            <w:r>
              <w:rPr>
                <w:rFonts w:ascii="宋体" w:hAnsi="宋体" w:eastAsiaTheme="minorEastAsia"/>
                <w:sz w:val="21"/>
                <w:szCs w:val="21"/>
                <w:lang w:eastAsia="zh-CN"/>
              </w:rPr>
              <w:t xml:space="preserve">马莲河环 县、庆城、 </w:t>
            </w:r>
            <w:r>
              <w:rPr>
                <w:rFonts w:ascii="宋体" w:hAnsi="宋体" w:eastAsiaTheme="minorEastAsia"/>
                <w:spacing w:val="-3"/>
                <w:sz w:val="21"/>
                <w:szCs w:val="21"/>
                <w:lang w:eastAsia="zh-CN"/>
              </w:rPr>
              <w:t>合水、宁县</w:t>
            </w:r>
            <w:r>
              <w:rPr>
                <w:rFonts w:ascii="宋体" w:hAnsi="宋体" w:eastAsiaTheme="minorEastAsia"/>
                <w:sz w:val="21"/>
                <w:szCs w:val="21"/>
                <w:lang w:eastAsia="zh-CN"/>
              </w:rPr>
              <w:t xml:space="preserve"> </w:t>
            </w:r>
            <w:r>
              <w:rPr>
                <w:rFonts w:ascii="宋体" w:hAnsi="宋体" w:eastAsiaTheme="minorEastAsia"/>
                <w:spacing w:val="-3"/>
                <w:sz w:val="21"/>
                <w:szCs w:val="21"/>
                <w:lang w:eastAsia="zh-CN"/>
              </w:rPr>
              <w:t>工业、农业</w:t>
            </w:r>
            <w:r>
              <w:rPr>
                <w:rFonts w:ascii="宋体" w:hAnsi="宋体" w:eastAsiaTheme="minorEastAsia"/>
                <w:sz w:val="21"/>
                <w:szCs w:val="21"/>
                <w:lang w:eastAsia="zh-CN"/>
              </w:rPr>
              <w:t xml:space="preserve"> 用水区</w:t>
            </w:r>
          </w:p>
        </w:tc>
        <w:tc>
          <w:tcPr>
            <w:tcW w:w="1258" w:type="dxa"/>
            <w:vAlign w:val="center"/>
          </w:tcPr>
          <w:p>
            <w:pPr>
              <w:pStyle w:val="32"/>
              <w:spacing w:before="76"/>
              <w:ind w:firstLine="0" w:firstLineChars="0"/>
              <w:rPr>
                <w:rFonts w:ascii="宋体" w:hAnsi="宋体" w:eastAsiaTheme="minorEastAsia"/>
                <w:sz w:val="21"/>
                <w:szCs w:val="21"/>
              </w:rPr>
            </w:pPr>
            <w:r>
              <w:rPr>
                <w:rFonts w:ascii="宋体" w:hAnsi="宋体" w:eastAsiaTheme="minorEastAsia"/>
                <w:sz w:val="21"/>
                <w:szCs w:val="21"/>
              </w:rPr>
              <w:t>环县</w:t>
            </w:r>
          </w:p>
        </w:tc>
        <w:tc>
          <w:tcPr>
            <w:tcW w:w="1032" w:type="dxa"/>
            <w:vAlign w:val="center"/>
          </w:tcPr>
          <w:p>
            <w:pPr>
              <w:pStyle w:val="32"/>
              <w:spacing w:before="76"/>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2015 </w:t>
            </w:r>
            <w:r>
              <w:rPr>
                <w:rFonts w:ascii="宋体" w:hAnsi="宋体" w:eastAsiaTheme="minorEastAsia"/>
                <w:sz w:val="21"/>
                <w:szCs w:val="21"/>
              </w:rPr>
              <w:t>年</w:t>
            </w:r>
          </w:p>
        </w:tc>
        <w:tc>
          <w:tcPr>
            <w:tcW w:w="88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229.3</w:t>
            </w:r>
          </w:p>
        </w:tc>
        <w:tc>
          <w:tcPr>
            <w:tcW w:w="73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195.1</w:t>
            </w:r>
          </w:p>
        </w:tc>
        <w:tc>
          <w:tcPr>
            <w:tcW w:w="86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174</w:t>
            </w:r>
          </w:p>
        </w:tc>
        <w:tc>
          <w:tcPr>
            <w:tcW w:w="59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13.4</w:t>
            </w:r>
          </w:p>
        </w:tc>
        <w:tc>
          <w:tcPr>
            <w:tcW w:w="658"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3.3</w:t>
            </w:r>
          </w:p>
        </w:tc>
        <w:tc>
          <w:tcPr>
            <w:tcW w:w="795"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8"/>
              <w:ind w:firstLine="0" w:firstLineChars="0"/>
              <w:rPr>
                <w:rFonts w:ascii="宋体" w:hAnsi="宋体" w:eastAsiaTheme="minorEastAsia"/>
                <w:sz w:val="21"/>
                <w:szCs w:val="21"/>
              </w:rPr>
            </w:pPr>
            <w:r>
              <w:rPr>
                <w:rFonts w:ascii="宋体" w:hAnsi="宋体" w:eastAsiaTheme="minorEastAsia"/>
                <w:sz w:val="21"/>
                <w:szCs w:val="21"/>
              </w:rPr>
              <w:t>环县</w:t>
            </w:r>
          </w:p>
        </w:tc>
        <w:tc>
          <w:tcPr>
            <w:tcW w:w="1032" w:type="dxa"/>
            <w:vAlign w:val="center"/>
          </w:tcPr>
          <w:p>
            <w:pPr>
              <w:pStyle w:val="32"/>
              <w:spacing w:before="78"/>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2020 </w:t>
            </w:r>
            <w:r>
              <w:rPr>
                <w:rFonts w:ascii="宋体" w:hAnsi="宋体" w:eastAsiaTheme="minorEastAsia"/>
                <w:sz w:val="21"/>
                <w:szCs w:val="21"/>
              </w:rPr>
              <w:t>年</w:t>
            </w:r>
          </w:p>
        </w:tc>
        <w:tc>
          <w:tcPr>
            <w:tcW w:w="88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256.9</w:t>
            </w:r>
          </w:p>
        </w:tc>
        <w:tc>
          <w:tcPr>
            <w:tcW w:w="73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195.1</w:t>
            </w:r>
          </w:p>
        </w:tc>
        <w:tc>
          <w:tcPr>
            <w:tcW w:w="86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186.1</w:t>
            </w:r>
          </w:p>
        </w:tc>
        <w:tc>
          <w:tcPr>
            <w:tcW w:w="59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14.3</w:t>
            </w:r>
          </w:p>
        </w:tc>
        <w:tc>
          <w:tcPr>
            <w:tcW w:w="658"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3.3</w:t>
            </w:r>
          </w:p>
        </w:tc>
        <w:tc>
          <w:tcPr>
            <w:tcW w:w="795"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8"/>
              <w:ind w:firstLine="0" w:firstLineChars="0"/>
              <w:rPr>
                <w:rFonts w:ascii="宋体" w:hAnsi="宋体" w:eastAsiaTheme="minorEastAsia"/>
                <w:sz w:val="21"/>
                <w:szCs w:val="21"/>
              </w:rPr>
            </w:pPr>
            <w:r>
              <w:rPr>
                <w:rFonts w:ascii="宋体" w:hAnsi="宋体" w:eastAsiaTheme="minorEastAsia"/>
                <w:sz w:val="21"/>
                <w:szCs w:val="21"/>
              </w:rPr>
              <w:t>环县</w:t>
            </w:r>
          </w:p>
        </w:tc>
        <w:tc>
          <w:tcPr>
            <w:tcW w:w="1032" w:type="dxa"/>
            <w:vAlign w:val="center"/>
          </w:tcPr>
          <w:p>
            <w:pPr>
              <w:pStyle w:val="32"/>
              <w:spacing w:before="78"/>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2030 </w:t>
            </w:r>
            <w:r>
              <w:rPr>
                <w:rFonts w:ascii="宋体" w:hAnsi="宋体" w:eastAsiaTheme="minorEastAsia"/>
                <w:sz w:val="21"/>
                <w:szCs w:val="21"/>
              </w:rPr>
              <w:t>年</w:t>
            </w:r>
          </w:p>
        </w:tc>
        <w:tc>
          <w:tcPr>
            <w:tcW w:w="88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251</w:t>
            </w:r>
          </w:p>
        </w:tc>
        <w:tc>
          <w:tcPr>
            <w:tcW w:w="73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195.1</w:t>
            </w:r>
          </w:p>
        </w:tc>
        <w:tc>
          <w:tcPr>
            <w:tcW w:w="86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168.1</w:t>
            </w:r>
          </w:p>
        </w:tc>
        <w:tc>
          <w:tcPr>
            <w:tcW w:w="59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14.2</w:t>
            </w:r>
          </w:p>
        </w:tc>
        <w:tc>
          <w:tcPr>
            <w:tcW w:w="658"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3.3</w:t>
            </w:r>
          </w:p>
        </w:tc>
        <w:tc>
          <w:tcPr>
            <w:tcW w:w="795" w:type="dxa"/>
            <w:vAlign w:val="center"/>
          </w:tcPr>
          <w:p>
            <w:pPr>
              <w:pStyle w:val="32"/>
              <w:spacing w:before="125"/>
              <w:ind w:right="5" w:firstLine="0" w:firstLineChars="0"/>
              <w:rPr>
                <w:rFonts w:eastAsia="Times New Roman" w:cs="Times New Roman" w:asciiTheme="minorHAnsi" w:hAnsiTheme="minorHAnsi"/>
                <w:sz w:val="21"/>
                <w:szCs w:val="21"/>
              </w:rPr>
            </w:pPr>
            <w:r>
              <w:rPr>
                <w:rFonts w:asciiTheme="minorHAnsi" w:hAnsiTheme="minorHAnsi" w:eastAsiaTheme="minorEastAsia"/>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8"/>
              <w:ind w:firstLine="0" w:firstLineChars="0"/>
              <w:rPr>
                <w:rFonts w:ascii="宋体" w:hAnsi="宋体" w:eastAsiaTheme="minorEastAsia"/>
                <w:sz w:val="21"/>
                <w:szCs w:val="21"/>
              </w:rPr>
            </w:pPr>
            <w:r>
              <w:rPr>
                <w:rFonts w:ascii="宋体" w:hAnsi="宋体" w:eastAsiaTheme="minorEastAsia"/>
                <w:sz w:val="21"/>
                <w:szCs w:val="21"/>
              </w:rPr>
              <w:t>庆城县</w:t>
            </w:r>
          </w:p>
        </w:tc>
        <w:tc>
          <w:tcPr>
            <w:tcW w:w="1032" w:type="dxa"/>
            <w:vAlign w:val="center"/>
          </w:tcPr>
          <w:p>
            <w:pPr>
              <w:pStyle w:val="32"/>
              <w:spacing w:before="78"/>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2015 </w:t>
            </w:r>
            <w:r>
              <w:rPr>
                <w:rFonts w:ascii="宋体" w:hAnsi="宋体" w:eastAsiaTheme="minorEastAsia"/>
                <w:sz w:val="21"/>
                <w:szCs w:val="21"/>
              </w:rPr>
              <w:t>年</w:t>
            </w:r>
          </w:p>
        </w:tc>
        <w:tc>
          <w:tcPr>
            <w:tcW w:w="88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302.6</w:t>
            </w:r>
          </w:p>
        </w:tc>
        <w:tc>
          <w:tcPr>
            <w:tcW w:w="73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257.5</w:t>
            </w:r>
          </w:p>
        </w:tc>
        <w:tc>
          <w:tcPr>
            <w:tcW w:w="86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229.7</w:t>
            </w:r>
          </w:p>
        </w:tc>
        <w:tc>
          <w:tcPr>
            <w:tcW w:w="59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60.9</w:t>
            </w:r>
          </w:p>
        </w:tc>
        <w:tc>
          <w:tcPr>
            <w:tcW w:w="658"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14.8</w:t>
            </w:r>
          </w:p>
        </w:tc>
        <w:tc>
          <w:tcPr>
            <w:tcW w:w="795"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8"/>
              <w:ind w:firstLine="0" w:firstLineChars="0"/>
              <w:rPr>
                <w:rFonts w:ascii="宋体" w:hAnsi="宋体" w:eastAsiaTheme="minorEastAsia"/>
                <w:sz w:val="21"/>
                <w:szCs w:val="21"/>
              </w:rPr>
            </w:pPr>
            <w:r>
              <w:rPr>
                <w:rFonts w:ascii="宋体" w:hAnsi="宋体" w:eastAsiaTheme="minorEastAsia"/>
                <w:sz w:val="21"/>
                <w:szCs w:val="21"/>
              </w:rPr>
              <w:t>庆城县</w:t>
            </w:r>
          </w:p>
        </w:tc>
        <w:tc>
          <w:tcPr>
            <w:tcW w:w="1032" w:type="dxa"/>
            <w:vAlign w:val="center"/>
          </w:tcPr>
          <w:p>
            <w:pPr>
              <w:pStyle w:val="32"/>
              <w:spacing w:before="78"/>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2020 </w:t>
            </w:r>
            <w:r>
              <w:rPr>
                <w:rFonts w:ascii="宋体" w:hAnsi="宋体" w:eastAsiaTheme="minorEastAsia"/>
                <w:sz w:val="21"/>
                <w:szCs w:val="21"/>
              </w:rPr>
              <w:t>年</w:t>
            </w:r>
          </w:p>
        </w:tc>
        <w:tc>
          <w:tcPr>
            <w:tcW w:w="88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339.1</w:t>
            </w:r>
          </w:p>
        </w:tc>
        <w:tc>
          <w:tcPr>
            <w:tcW w:w="73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257.5</w:t>
            </w:r>
          </w:p>
        </w:tc>
        <w:tc>
          <w:tcPr>
            <w:tcW w:w="86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245.6</w:t>
            </w:r>
          </w:p>
        </w:tc>
        <w:tc>
          <w:tcPr>
            <w:tcW w:w="59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64.8</w:t>
            </w:r>
          </w:p>
        </w:tc>
        <w:tc>
          <w:tcPr>
            <w:tcW w:w="658"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14.8</w:t>
            </w:r>
          </w:p>
        </w:tc>
        <w:tc>
          <w:tcPr>
            <w:tcW w:w="795"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8"/>
              <w:ind w:firstLine="0" w:firstLineChars="0"/>
              <w:rPr>
                <w:rFonts w:ascii="宋体" w:hAnsi="宋体" w:eastAsiaTheme="minorEastAsia"/>
                <w:sz w:val="21"/>
                <w:szCs w:val="21"/>
              </w:rPr>
            </w:pPr>
            <w:r>
              <w:rPr>
                <w:rFonts w:ascii="宋体" w:hAnsi="宋体" w:eastAsiaTheme="minorEastAsia"/>
                <w:sz w:val="21"/>
                <w:szCs w:val="21"/>
              </w:rPr>
              <w:t>庆城县</w:t>
            </w:r>
          </w:p>
        </w:tc>
        <w:tc>
          <w:tcPr>
            <w:tcW w:w="1032" w:type="dxa"/>
            <w:vAlign w:val="center"/>
          </w:tcPr>
          <w:p>
            <w:pPr>
              <w:pStyle w:val="32"/>
              <w:spacing w:before="78"/>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2030 </w:t>
            </w:r>
            <w:r>
              <w:rPr>
                <w:rFonts w:ascii="宋体" w:hAnsi="宋体" w:eastAsiaTheme="minorEastAsia"/>
                <w:sz w:val="21"/>
                <w:szCs w:val="21"/>
              </w:rPr>
              <w:t>年</w:t>
            </w:r>
          </w:p>
        </w:tc>
        <w:tc>
          <w:tcPr>
            <w:tcW w:w="88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331.3</w:t>
            </w:r>
          </w:p>
        </w:tc>
        <w:tc>
          <w:tcPr>
            <w:tcW w:w="73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257.5</w:t>
            </w:r>
          </w:p>
        </w:tc>
        <w:tc>
          <w:tcPr>
            <w:tcW w:w="86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221.9</w:t>
            </w:r>
          </w:p>
        </w:tc>
        <w:tc>
          <w:tcPr>
            <w:tcW w:w="59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64.4</w:t>
            </w:r>
          </w:p>
        </w:tc>
        <w:tc>
          <w:tcPr>
            <w:tcW w:w="658"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14.8</w:t>
            </w:r>
          </w:p>
        </w:tc>
        <w:tc>
          <w:tcPr>
            <w:tcW w:w="795"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6"/>
              <w:ind w:firstLine="0" w:firstLineChars="0"/>
              <w:rPr>
                <w:rFonts w:ascii="宋体" w:hAnsi="宋体" w:eastAsiaTheme="minorEastAsia"/>
                <w:sz w:val="21"/>
                <w:szCs w:val="21"/>
              </w:rPr>
            </w:pPr>
            <w:r>
              <w:rPr>
                <w:rFonts w:ascii="宋体" w:hAnsi="宋体" w:eastAsiaTheme="minorEastAsia"/>
                <w:sz w:val="21"/>
                <w:szCs w:val="21"/>
              </w:rPr>
              <w:t>西峰区</w:t>
            </w:r>
          </w:p>
        </w:tc>
        <w:tc>
          <w:tcPr>
            <w:tcW w:w="1032" w:type="dxa"/>
            <w:vAlign w:val="center"/>
          </w:tcPr>
          <w:p>
            <w:pPr>
              <w:pStyle w:val="32"/>
              <w:spacing w:before="76"/>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2015 </w:t>
            </w:r>
            <w:r>
              <w:rPr>
                <w:rFonts w:ascii="宋体" w:hAnsi="宋体" w:eastAsiaTheme="minorEastAsia"/>
                <w:sz w:val="21"/>
                <w:szCs w:val="21"/>
              </w:rPr>
              <w:t>年</w:t>
            </w:r>
          </w:p>
        </w:tc>
        <w:tc>
          <w:tcPr>
            <w:tcW w:w="88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2737.5</w:t>
            </w:r>
          </w:p>
        </w:tc>
        <w:tc>
          <w:tcPr>
            <w:tcW w:w="73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2328.9</w:t>
            </w:r>
          </w:p>
        </w:tc>
        <w:tc>
          <w:tcPr>
            <w:tcW w:w="86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2078</w:t>
            </w:r>
          </w:p>
        </w:tc>
        <w:tc>
          <w:tcPr>
            <w:tcW w:w="59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272.5</w:t>
            </w:r>
          </w:p>
        </w:tc>
        <w:tc>
          <w:tcPr>
            <w:tcW w:w="658"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66</w:t>
            </w:r>
          </w:p>
        </w:tc>
        <w:tc>
          <w:tcPr>
            <w:tcW w:w="795"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166.5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6"/>
              <w:ind w:firstLine="0" w:firstLineChars="0"/>
              <w:rPr>
                <w:rFonts w:ascii="宋体" w:hAnsi="宋体" w:eastAsiaTheme="minorEastAsia"/>
                <w:sz w:val="21"/>
                <w:szCs w:val="21"/>
              </w:rPr>
            </w:pPr>
            <w:r>
              <w:rPr>
                <w:rFonts w:ascii="宋体" w:hAnsi="宋体" w:eastAsiaTheme="minorEastAsia"/>
                <w:sz w:val="21"/>
                <w:szCs w:val="21"/>
              </w:rPr>
              <w:t>西峰区</w:t>
            </w:r>
          </w:p>
        </w:tc>
        <w:tc>
          <w:tcPr>
            <w:tcW w:w="1032" w:type="dxa"/>
            <w:vAlign w:val="center"/>
          </w:tcPr>
          <w:p>
            <w:pPr>
              <w:pStyle w:val="32"/>
              <w:spacing w:before="76"/>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2020 </w:t>
            </w:r>
            <w:r>
              <w:rPr>
                <w:rFonts w:ascii="宋体" w:hAnsi="宋体" w:eastAsiaTheme="minorEastAsia"/>
                <w:sz w:val="21"/>
                <w:szCs w:val="21"/>
              </w:rPr>
              <w:t>年</w:t>
            </w:r>
          </w:p>
        </w:tc>
        <w:tc>
          <w:tcPr>
            <w:tcW w:w="88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3067.2</w:t>
            </w:r>
          </w:p>
        </w:tc>
        <w:tc>
          <w:tcPr>
            <w:tcW w:w="73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2328.9</w:t>
            </w:r>
          </w:p>
        </w:tc>
        <w:tc>
          <w:tcPr>
            <w:tcW w:w="86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2221.9</w:t>
            </w:r>
          </w:p>
        </w:tc>
        <w:tc>
          <w:tcPr>
            <w:tcW w:w="59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289.7</w:t>
            </w:r>
          </w:p>
        </w:tc>
        <w:tc>
          <w:tcPr>
            <w:tcW w:w="658"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66</w:t>
            </w:r>
          </w:p>
        </w:tc>
        <w:tc>
          <w:tcPr>
            <w:tcW w:w="795"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6"/>
              <w:ind w:firstLine="0" w:firstLineChars="0"/>
              <w:rPr>
                <w:rFonts w:ascii="宋体" w:hAnsi="宋体" w:eastAsiaTheme="minorEastAsia"/>
                <w:sz w:val="21"/>
                <w:szCs w:val="21"/>
              </w:rPr>
            </w:pPr>
            <w:r>
              <w:rPr>
                <w:rFonts w:ascii="宋体" w:hAnsi="宋体" w:eastAsiaTheme="minorEastAsia"/>
                <w:sz w:val="21"/>
                <w:szCs w:val="21"/>
              </w:rPr>
              <w:t>西峰区</w:t>
            </w:r>
          </w:p>
        </w:tc>
        <w:tc>
          <w:tcPr>
            <w:tcW w:w="1032" w:type="dxa"/>
            <w:vAlign w:val="center"/>
          </w:tcPr>
          <w:p>
            <w:pPr>
              <w:pStyle w:val="32"/>
              <w:spacing w:before="76"/>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2030 </w:t>
            </w:r>
            <w:r>
              <w:rPr>
                <w:rFonts w:ascii="宋体" w:hAnsi="宋体" w:eastAsiaTheme="minorEastAsia"/>
                <w:sz w:val="21"/>
                <w:szCs w:val="21"/>
              </w:rPr>
              <w:t>年</w:t>
            </w:r>
          </w:p>
        </w:tc>
        <w:tc>
          <w:tcPr>
            <w:tcW w:w="88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2996.7</w:t>
            </w:r>
          </w:p>
        </w:tc>
        <w:tc>
          <w:tcPr>
            <w:tcW w:w="73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2328.9</w:t>
            </w:r>
          </w:p>
        </w:tc>
        <w:tc>
          <w:tcPr>
            <w:tcW w:w="86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2007.3</w:t>
            </w:r>
          </w:p>
        </w:tc>
        <w:tc>
          <w:tcPr>
            <w:tcW w:w="59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288.2</w:t>
            </w:r>
          </w:p>
        </w:tc>
        <w:tc>
          <w:tcPr>
            <w:tcW w:w="658"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66</w:t>
            </w:r>
          </w:p>
        </w:tc>
        <w:tc>
          <w:tcPr>
            <w:tcW w:w="795"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6"/>
              <w:ind w:firstLine="0" w:firstLineChars="0"/>
              <w:rPr>
                <w:rFonts w:ascii="宋体" w:hAnsi="宋体" w:eastAsiaTheme="minorEastAsia"/>
                <w:sz w:val="21"/>
                <w:szCs w:val="21"/>
              </w:rPr>
            </w:pPr>
            <w:r>
              <w:rPr>
                <w:rFonts w:ascii="宋体" w:hAnsi="宋体" w:eastAsiaTheme="minorEastAsia"/>
                <w:sz w:val="21"/>
                <w:szCs w:val="21"/>
              </w:rPr>
              <w:t>合水县</w:t>
            </w:r>
          </w:p>
        </w:tc>
        <w:tc>
          <w:tcPr>
            <w:tcW w:w="1032" w:type="dxa"/>
            <w:vAlign w:val="center"/>
          </w:tcPr>
          <w:p>
            <w:pPr>
              <w:pStyle w:val="32"/>
              <w:spacing w:before="76"/>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2015 </w:t>
            </w:r>
            <w:r>
              <w:rPr>
                <w:rFonts w:ascii="宋体" w:hAnsi="宋体" w:eastAsiaTheme="minorEastAsia"/>
                <w:sz w:val="21"/>
                <w:szCs w:val="21"/>
              </w:rPr>
              <w:t>年</w:t>
            </w:r>
          </w:p>
        </w:tc>
        <w:tc>
          <w:tcPr>
            <w:tcW w:w="88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830</w:t>
            </w:r>
          </w:p>
        </w:tc>
        <w:tc>
          <w:tcPr>
            <w:tcW w:w="73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706.1</w:t>
            </w:r>
          </w:p>
        </w:tc>
        <w:tc>
          <w:tcPr>
            <w:tcW w:w="86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630</w:t>
            </w:r>
          </w:p>
        </w:tc>
        <w:tc>
          <w:tcPr>
            <w:tcW w:w="59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70.7</w:t>
            </w:r>
          </w:p>
        </w:tc>
        <w:tc>
          <w:tcPr>
            <w:tcW w:w="658"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17.1</w:t>
            </w:r>
          </w:p>
        </w:tc>
        <w:tc>
          <w:tcPr>
            <w:tcW w:w="795"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6"/>
              <w:ind w:firstLine="0" w:firstLineChars="0"/>
              <w:rPr>
                <w:rFonts w:ascii="宋体" w:hAnsi="宋体" w:eastAsiaTheme="minorEastAsia"/>
                <w:sz w:val="21"/>
                <w:szCs w:val="21"/>
              </w:rPr>
            </w:pPr>
            <w:r>
              <w:rPr>
                <w:rFonts w:ascii="宋体" w:hAnsi="宋体" w:eastAsiaTheme="minorEastAsia"/>
                <w:sz w:val="21"/>
                <w:szCs w:val="21"/>
              </w:rPr>
              <w:t>合水县</w:t>
            </w:r>
          </w:p>
        </w:tc>
        <w:tc>
          <w:tcPr>
            <w:tcW w:w="1032" w:type="dxa"/>
            <w:vAlign w:val="center"/>
          </w:tcPr>
          <w:p>
            <w:pPr>
              <w:pStyle w:val="32"/>
              <w:spacing w:before="76"/>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2020 </w:t>
            </w:r>
            <w:r>
              <w:rPr>
                <w:rFonts w:ascii="宋体" w:hAnsi="宋体" w:eastAsiaTheme="minorEastAsia"/>
                <w:sz w:val="21"/>
                <w:szCs w:val="21"/>
              </w:rPr>
              <w:t>年</w:t>
            </w:r>
          </w:p>
        </w:tc>
        <w:tc>
          <w:tcPr>
            <w:tcW w:w="88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929.9</w:t>
            </w:r>
          </w:p>
        </w:tc>
        <w:tc>
          <w:tcPr>
            <w:tcW w:w="73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706.1</w:t>
            </w:r>
          </w:p>
        </w:tc>
        <w:tc>
          <w:tcPr>
            <w:tcW w:w="86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673.6</w:t>
            </w:r>
          </w:p>
        </w:tc>
        <w:tc>
          <w:tcPr>
            <w:tcW w:w="59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75.2</w:t>
            </w:r>
          </w:p>
        </w:tc>
        <w:tc>
          <w:tcPr>
            <w:tcW w:w="658"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17.1</w:t>
            </w:r>
          </w:p>
        </w:tc>
        <w:tc>
          <w:tcPr>
            <w:tcW w:w="795"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6"/>
              <w:ind w:firstLine="0" w:firstLineChars="0"/>
              <w:rPr>
                <w:rFonts w:ascii="宋体" w:hAnsi="宋体" w:eastAsiaTheme="minorEastAsia"/>
                <w:sz w:val="21"/>
                <w:szCs w:val="21"/>
              </w:rPr>
            </w:pPr>
            <w:r>
              <w:rPr>
                <w:rFonts w:ascii="宋体" w:hAnsi="宋体" w:eastAsiaTheme="minorEastAsia"/>
                <w:sz w:val="21"/>
                <w:szCs w:val="21"/>
              </w:rPr>
              <w:t>合水县</w:t>
            </w:r>
          </w:p>
        </w:tc>
        <w:tc>
          <w:tcPr>
            <w:tcW w:w="1032" w:type="dxa"/>
            <w:vAlign w:val="center"/>
          </w:tcPr>
          <w:p>
            <w:pPr>
              <w:pStyle w:val="32"/>
              <w:spacing w:before="76"/>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2030 </w:t>
            </w:r>
            <w:r>
              <w:rPr>
                <w:rFonts w:ascii="宋体" w:hAnsi="宋体" w:eastAsiaTheme="minorEastAsia"/>
                <w:sz w:val="21"/>
                <w:szCs w:val="21"/>
              </w:rPr>
              <w:t>年</w:t>
            </w:r>
          </w:p>
        </w:tc>
        <w:tc>
          <w:tcPr>
            <w:tcW w:w="88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908.6</w:t>
            </w:r>
          </w:p>
        </w:tc>
        <w:tc>
          <w:tcPr>
            <w:tcW w:w="73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706.1</w:t>
            </w:r>
          </w:p>
        </w:tc>
        <w:tc>
          <w:tcPr>
            <w:tcW w:w="86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608.6</w:t>
            </w:r>
          </w:p>
        </w:tc>
        <w:tc>
          <w:tcPr>
            <w:tcW w:w="59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74.8</w:t>
            </w:r>
          </w:p>
        </w:tc>
        <w:tc>
          <w:tcPr>
            <w:tcW w:w="658"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17.1</w:t>
            </w:r>
          </w:p>
        </w:tc>
        <w:tc>
          <w:tcPr>
            <w:tcW w:w="795"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7"/>
              <w:ind w:firstLine="0" w:firstLineChars="0"/>
              <w:rPr>
                <w:rFonts w:ascii="宋体" w:hAnsi="宋体" w:eastAsiaTheme="minorEastAsia"/>
                <w:sz w:val="21"/>
                <w:szCs w:val="21"/>
              </w:rPr>
            </w:pPr>
            <w:r>
              <w:rPr>
                <w:rFonts w:ascii="宋体" w:hAnsi="宋体" w:eastAsiaTheme="minorEastAsia"/>
                <w:sz w:val="21"/>
                <w:szCs w:val="21"/>
              </w:rPr>
              <w:t>宁县</w:t>
            </w:r>
          </w:p>
        </w:tc>
        <w:tc>
          <w:tcPr>
            <w:tcW w:w="1032" w:type="dxa"/>
            <w:vAlign w:val="center"/>
          </w:tcPr>
          <w:p>
            <w:pPr>
              <w:pStyle w:val="32"/>
              <w:spacing w:before="77"/>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2015 </w:t>
            </w:r>
            <w:r>
              <w:rPr>
                <w:rFonts w:ascii="宋体" w:hAnsi="宋体" w:eastAsiaTheme="minorEastAsia"/>
                <w:sz w:val="21"/>
                <w:szCs w:val="21"/>
              </w:rPr>
              <w:t>年</w:t>
            </w:r>
          </w:p>
        </w:tc>
        <w:tc>
          <w:tcPr>
            <w:tcW w:w="88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486.1</w:t>
            </w:r>
          </w:p>
        </w:tc>
        <w:tc>
          <w:tcPr>
            <w:tcW w:w="73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413.5</w:t>
            </w:r>
          </w:p>
        </w:tc>
        <w:tc>
          <w:tcPr>
            <w:tcW w:w="86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369</w:t>
            </w:r>
          </w:p>
        </w:tc>
        <w:tc>
          <w:tcPr>
            <w:tcW w:w="59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98.6</w:t>
            </w:r>
          </w:p>
        </w:tc>
        <w:tc>
          <w:tcPr>
            <w:tcW w:w="658"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23.9</w:t>
            </w:r>
          </w:p>
        </w:tc>
        <w:tc>
          <w:tcPr>
            <w:tcW w:w="795"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8"/>
              <w:ind w:firstLine="0" w:firstLineChars="0"/>
              <w:rPr>
                <w:rFonts w:ascii="宋体" w:hAnsi="宋体" w:eastAsiaTheme="minorEastAsia"/>
                <w:sz w:val="21"/>
                <w:szCs w:val="21"/>
              </w:rPr>
            </w:pPr>
            <w:r>
              <w:rPr>
                <w:rFonts w:ascii="宋体" w:hAnsi="宋体" w:eastAsiaTheme="minorEastAsia"/>
                <w:sz w:val="21"/>
                <w:szCs w:val="21"/>
              </w:rPr>
              <w:t>宁县</w:t>
            </w:r>
          </w:p>
        </w:tc>
        <w:tc>
          <w:tcPr>
            <w:tcW w:w="1032" w:type="dxa"/>
            <w:vAlign w:val="center"/>
          </w:tcPr>
          <w:p>
            <w:pPr>
              <w:pStyle w:val="32"/>
              <w:spacing w:before="78"/>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2020 </w:t>
            </w:r>
            <w:r>
              <w:rPr>
                <w:rFonts w:ascii="宋体" w:hAnsi="宋体" w:eastAsiaTheme="minorEastAsia"/>
                <w:sz w:val="21"/>
                <w:szCs w:val="21"/>
              </w:rPr>
              <w:t>年</w:t>
            </w:r>
          </w:p>
        </w:tc>
        <w:tc>
          <w:tcPr>
            <w:tcW w:w="88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544.6</w:t>
            </w:r>
          </w:p>
        </w:tc>
        <w:tc>
          <w:tcPr>
            <w:tcW w:w="73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413.5</w:t>
            </w:r>
          </w:p>
        </w:tc>
        <w:tc>
          <w:tcPr>
            <w:tcW w:w="86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394.5</w:t>
            </w:r>
          </w:p>
        </w:tc>
        <w:tc>
          <w:tcPr>
            <w:tcW w:w="59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104.8</w:t>
            </w:r>
          </w:p>
        </w:tc>
        <w:tc>
          <w:tcPr>
            <w:tcW w:w="658"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23.9</w:t>
            </w:r>
          </w:p>
        </w:tc>
        <w:tc>
          <w:tcPr>
            <w:tcW w:w="795"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941" w:type="dxa"/>
            <w:vMerge w:val="continue"/>
          </w:tcPr>
          <w:p>
            <w:pPr>
              <w:ind w:firstLine="480"/>
              <w:rPr>
                <w:rFonts w:asciiTheme="minorHAnsi" w:hAnsiTheme="minorHAnsi" w:eastAsiaTheme="minorEastAsia"/>
                <w:lang w:eastAsia="en-US"/>
              </w:rPr>
            </w:pPr>
          </w:p>
        </w:tc>
        <w:tc>
          <w:tcPr>
            <w:tcW w:w="1068" w:type="dxa"/>
            <w:vMerge w:val="continue"/>
          </w:tcPr>
          <w:p>
            <w:pPr>
              <w:ind w:firstLine="480"/>
              <w:rPr>
                <w:rFonts w:asciiTheme="minorHAnsi" w:hAnsiTheme="minorHAnsi" w:eastAsiaTheme="minorEastAsia"/>
                <w:lang w:eastAsia="en-US"/>
              </w:rPr>
            </w:pPr>
          </w:p>
        </w:tc>
        <w:tc>
          <w:tcPr>
            <w:tcW w:w="1258" w:type="dxa"/>
            <w:vAlign w:val="center"/>
          </w:tcPr>
          <w:p>
            <w:pPr>
              <w:pStyle w:val="32"/>
              <w:spacing w:before="78"/>
              <w:ind w:firstLine="0" w:firstLineChars="0"/>
              <w:rPr>
                <w:rFonts w:ascii="宋体" w:hAnsi="宋体" w:eastAsiaTheme="minorEastAsia"/>
                <w:sz w:val="21"/>
                <w:szCs w:val="21"/>
              </w:rPr>
            </w:pPr>
            <w:r>
              <w:rPr>
                <w:rFonts w:ascii="宋体" w:hAnsi="宋体" w:eastAsiaTheme="minorEastAsia"/>
                <w:sz w:val="21"/>
                <w:szCs w:val="21"/>
              </w:rPr>
              <w:t>宁县</w:t>
            </w:r>
          </w:p>
        </w:tc>
        <w:tc>
          <w:tcPr>
            <w:tcW w:w="1032" w:type="dxa"/>
            <w:vAlign w:val="center"/>
          </w:tcPr>
          <w:p>
            <w:pPr>
              <w:pStyle w:val="32"/>
              <w:spacing w:before="78"/>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2030 </w:t>
            </w:r>
            <w:r>
              <w:rPr>
                <w:rFonts w:ascii="宋体" w:hAnsi="宋体" w:eastAsiaTheme="minorEastAsia"/>
                <w:sz w:val="21"/>
                <w:szCs w:val="21"/>
              </w:rPr>
              <w:t>年</w:t>
            </w:r>
          </w:p>
        </w:tc>
        <w:tc>
          <w:tcPr>
            <w:tcW w:w="88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532.1</w:t>
            </w:r>
          </w:p>
        </w:tc>
        <w:tc>
          <w:tcPr>
            <w:tcW w:w="73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413.5</w:t>
            </w:r>
          </w:p>
        </w:tc>
        <w:tc>
          <w:tcPr>
            <w:tcW w:w="86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356.4</w:t>
            </w:r>
          </w:p>
        </w:tc>
        <w:tc>
          <w:tcPr>
            <w:tcW w:w="59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104.2</w:t>
            </w:r>
          </w:p>
        </w:tc>
        <w:tc>
          <w:tcPr>
            <w:tcW w:w="658"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23.9</w:t>
            </w:r>
          </w:p>
        </w:tc>
        <w:tc>
          <w:tcPr>
            <w:tcW w:w="795" w:type="dxa"/>
            <w:vAlign w:val="center"/>
          </w:tcPr>
          <w:p>
            <w:pPr>
              <w:pStyle w:val="32"/>
              <w:spacing w:before="125"/>
              <w:ind w:right="5" w:firstLine="0" w:firstLineChars="0"/>
              <w:rPr>
                <w:rFonts w:eastAsia="Times New Roman" w:cs="Times New Roman" w:asciiTheme="minorHAnsi" w:hAnsiTheme="minorHAnsi"/>
                <w:sz w:val="21"/>
                <w:szCs w:val="21"/>
              </w:rPr>
            </w:pPr>
            <w:r>
              <w:rPr>
                <w:rFonts w:asciiTheme="minorHAnsi" w:hAnsiTheme="minorHAnsi" w:eastAsiaTheme="minorEastAsia"/>
                <w:sz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exact"/>
        </w:trPr>
        <w:tc>
          <w:tcPr>
            <w:tcW w:w="3267" w:type="dxa"/>
            <w:gridSpan w:val="3"/>
            <w:vMerge w:val="restart"/>
            <w:vAlign w:val="center"/>
          </w:tcPr>
          <w:p>
            <w:pPr>
              <w:pStyle w:val="32"/>
              <w:ind w:right="1" w:firstLine="0" w:firstLineChars="0"/>
              <w:rPr>
                <w:rFonts w:ascii="宋体" w:hAnsi="宋体" w:eastAsiaTheme="minorEastAsia"/>
                <w:sz w:val="21"/>
                <w:szCs w:val="21"/>
              </w:rPr>
            </w:pPr>
            <w:r>
              <w:rPr>
                <w:rFonts w:ascii="宋体" w:hAnsi="宋体" w:eastAsiaTheme="minorEastAsia"/>
                <w:sz w:val="21"/>
                <w:szCs w:val="21"/>
              </w:rPr>
              <w:t>合计</w:t>
            </w:r>
          </w:p>
        </w:tc>
        <w:tc>
          <w:tcPr>
            <w:tcW w:w="1032" w:type="dxa"/>
            <w:vAlign w:val="center"/>
          </w:tcPr>
          <w:p>
            <w:pPr>
              <w:pStyle w:val="32"/>
              <w:spacing w:before="78"/>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2015 </w:t>
            </w:r>
            <w:r>
              <w:rPr>
                <w:rFonts w:ascii="宋体" w:hAnsi="宋体" w:eastAsiaTheme="minorEastAsia"/>
                <w:sz w:val="21"/>
                <w:szCs w:val="21"/>
              </w:rPr>
              <w:t>年</w:t>
            </w:r>
          </w:p>
        </w:tc>
        <w:tc>
          <w:tcPr>
            <w:tcW w:w="88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4585.5</w:t>
            </w:r>
          </w:p>
        </w:tc>
        <w:tc>
          <w:tcPr>
            <w:tcW w:w="73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3901.1</w:t>
            </w:r>
          </w:p>
        </w:tc>
        <w:tc>
          <w:tcPr>
            <w:tcW w:w="86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3480.7</w:t>
            </w:r>
          </w:p>
        </w:tc>
        <w:tc>
          <w:tcPr>
            <w:tcW w:w="59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516.1</w:t>
            </w:r>
          </w:p>
        </w:tc>
        <w:tc>
          <w:tcPr>
            <w:tcW w:w="658"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125.1</w:t>
            </w:r>
          </w:p>
        </w:tc>
        <w:tc>
          <w:tcPr>
            <w:tcW w:w="795"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exact"/>
        </w:trPr>
        <w:tc>
          <w:tcPr>
            <w:tcW w:w="3267" w:type="dxa"/>
            <w:gridSpan w:val="3"/>
            <w:vMerge w:val="continue"/>
            <w:vAlign w:val="center"/>
          </w:tcPr>
          <w:p>
            <w:pPr>
              <w:ind w:firstLine="480"/>
              <w:jc w:val="center"/>
              <w:rPr>
                <w:rFonts w:asciiTheme="minorHAnsi" w:hAnsiTheme="minorHAnsi" w:eastAsiaTheme="minorEastAsia"/>
                <w:lang w:eastAsia="en-US"/>
              </w:rPr>
            </w:pPr>
          </w:p>
        </w:tc>
        <w:tc>
          <w:tcPr>
            <w:tcW w:w="1032" w:type="dxa"/>
            <w:vAlign w:val="center"/>
          </w:tcPr>
          <w:p>
            <w:pPr>
              <w:pStyle w:val="32"/>
              <w:spacing w:before="78"/>
              <w:ind w:firstLine="0" w:firstLineChars="0"/>
              <w:rPr>
                <w:rFonts w:ascii="宋体" w:hAnsi="宋体" w:eastAsiaTheme="minorEastAsia"/>
                <w:sz w:val="21"/>
                <w:szCs w:val="21"/>
              </w:rPr>
            </w:pPr>
            <w:r>
              <w:rPr>
                <w:rFonts w:eastAsia="Times New Roman" w:cs="Times New Roman" w:asciiTheme="minorHAnsi" w:hAnsiTheme="minorHAnsi"/>
                <w:position w:val="1"/>
                <w:sz w:val="21"/>
                <w:szCs w:val="21"/>
              </w:rPr>
              <w:t xml:space="preserve">2020 </w:t>
            </w:r>
            <w:r>
              <w:rPr>
                <w:rFonts w:ascii="宋体" w:hAnsi="宋体" w:eastAsiaTheme="minorEastAsia"/>
                <w:sz w:val="21"/>
                <w:szCs w:val="21"/>
              </w:rPr>
              <w:t>年</w:t>
            </w:r>
          </w:p>
        </w:tc>
        <w:tc>
          <w:tcPr>
            <w:tcW w:w="88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5137.7</w:t>
            </w:r>
          </w:p>
        </w:tc>
        <w:tc>
          <w:tcPr>
            <w:tcW w:w="73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3901.1</w:t>
            </w:r>
          </w:p>
        </w:tc>
        <w:tc>
          <w:tcPr>
            <w:tcW w:w="864"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3721.7</w:t>
            </w:r>
          </w:p>
        </w:tc>
        <w:tc>
          <w:tcPr>
            <w:tcW w:w="590"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548.8</w:t>
            </w:r>
          </w:p>
        </w:tc>
        <w:tc>
          <w:tcPr>
            <w:tcW w:w="658"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125.1</w:t>
            </w:r>
          </w:p>
        </w:tc>
        <w:tc>
          <w:tcPr>
            <w:tcW w:w="795" w:type="dxa"/>
            <w:vAlign w:val="center"/>
          </w:tcPr>
          <w:p>
            <w:pPr>
              <w:pStyle w:val="32"/>
              <w:spacing w:before="125"/>
              <w:ind w:firstLine="0" w:firstLineChars="0"/>
              <w:rPr>
                <w:rFonts w:eastAsia="Times New Roman" w:cs="Times New Roman" w:asciiTheme="minorHAnsi" w:hAnsiTheme="minorHAnsi"/>
                <w:sz w:val="21"/>
                <w:szCs w:val="21"/>
              </w:rPr>
            </w:pPr>
            <w:r>
              <w:rPr>
                <w:rFonts w:asciiTheme="minorHAnsi" w:hAnsiTheme="minorHAnsi" w:eastAsiaTheme="minorEastAsia"/>
                <w:sz w:val="21"/>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exact"/>
        </w:trPr>
        <w:tc>
          <w:tcPr>
            <w:tcW w:w="3267" w:type="dxa"/>
            <w:gridSpan w:val="3"/>
            <w:vMerge w:val="continue"/>
            <w:vAlign w:val="center"/>
          </w:tcPr>
          <w:p>
            <w:pPr>
              <w:ind w:firstLine="480"/>
              <w:jc w:val="center"/>
              <w:rPr>
                <w:rFonts w:asciiTheme="minorHAnsi" w:hAnsiTheme="minorHAnsi" w:eastAsiaTheme="minorEastAsia"/>
                <w:lang w:eastAsia="en-US"/>
              </w:rPr>
            </w:pPr>
          </w:p>
        </w:tc>
        <w:tc>
          <w:tcPr>
            <w:tcW w:w="1032" w:type="dxa"/>
            <w:vAlign w:val="center"/>
          </w:tcPr>
          <w:p>
            <w:pPr>
              <w:pStyle w:val="32"/>
              <w:spacing w:before="78"/>
              <w:ind w:firstLine="0" w:firstLineChars="0"/>
              <w:rPr>
                <w:rFonts w:cs="Times New Roman" w:asciiTheme="minorHAnsi" w:hAnsiTheme="minorHAnsi" w:eastAsiaTheme="minorEastAsia"/>
                <w:position w:val="1"/>
                <w:sz w:val="21"/>
                <w:szCs w:val="21"/>
                <w:lang w:eastAsia="zh-CN"/>
              </w:rPr>
            </w:pPr>
            <w:r>
              <w:rPr>
                <w:rFonts w:hint="eastAsia" w:cs="Times New Roman" w:asciiTheme="minorHAnsi" w:hAnsiTheme="minorHAnsi" w:eastAsiaTheme="minorEastAsia"/>
                <w:position w:val="1"/>
                <w:sz w:val="21"/>
                <w:szCs w:val="21"/>
                <w:lang w:eastAsia="zh-CN"/>
              </w:rPr>
              <w:t>2030年</w:t>
            </w:r>
          </w:p>
        </w:tc>
        <w:tc>
          <w:tcPr>
            <w:tcW w:w="88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5019.7</w:t>
            </w:r>
          </w:p>
        </w:tc>
        <w:tc>
          <w:tcPr>
            <w:tcW w:w="73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3901.1</w:t>
            </w:r>
          </w:p>
        </w:tc>
        <w:tc>
          <w:tcPr>
            <w:tcW w:w="864"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3362.3</w:t>
            </w:r>
          </w:p>
        </w:tc>
        <w:tc>
          <w:tcPr>
            <w:tcW w:w="590"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545.8</w:t>
            </w:r>
          </w:p>
        </w:tc>
        <w:tc>
          <w:tcPr>
            <w:tcW w:w="658"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125.1</w:t>
            </w:r>
          </w:p>
        </w:tc>
        <w:tc>
          <w:tcPr>
            <w:tcW w:w="795" w:type="dxa"/>
            <w:vAlign w:val="center"/>
          </w:tcPr>
          <w:p>
            <w:pPr>
              <w:pStyle w:val="32"/>
              <w:spacing w:before="123"/>
              <w:ind w:firstLine="0" w:firstLineChars="0"/>
              <w:rPr>
                <w:rFonts w:eastAsia="Times New Roman" w:cs="Times New Roman" w:asciiTheme="minorHAnsi" w:hAnsiTheme="minorHAnsi"/>
                <w:sz w:val="21"/>
                <w:szCs w:val="21"/>
              </w:rPr>
            </w:pPr>
            <w:r>
              <w:rPr>
                <w:rFonts w:asciiTheme="minorHAnsi" w:hAnsiTheme="minorHAnsi" w:eastAsiaTheme="minorEastAsia"/>
                <w:sz w:val="21"/>
              </w:rPr>
              <w:t>115.2</w:t>
            </w:r>
          </w:p>
        </w:tc>
      </w:tr>
    </w:tbl>
    <w:p>
      <w:pPr>
        <w:ind w:firstLine="480"/>
        <w:rPr>
          <w:color w:val="FF0000"/>
        </w:rPr>
      </w:pPr>
      <w:r>
        <w:rPr>
          <w:rFonts w:hint="eastAsia"/>
        </w:rPr>
        <w:t>根据合水县何家畔镇何家畔村截污控源工程建设项目环评报告，项目污水处理采取“预处理+</w:t>
      </w:r>
      <w:r>
        <w:t>一体化多级生物接触氧化处理系统</w:t>
      </w:r>
      <w:r>
        <w:rPr>
          <w:rFonts w:hint="eastAsia"/>
        </w:rPr>
        <w:t>+</w:t>
      </w:r>
      <w:r>
        <w:t>过滤</w:t>
      </w:r>
      <w:r>
        <w:rPr>
          <w:rFonts w:hint="eastAsia"/>
        </w:rPr>
        <w:t>”工艺，处理标准执行《城镇污水处理厂污染物排放标准》一级A标准后排入马莲河，马莲河、环县、庆城、合水、宁县工业、农业用水区，该排污口的入河量指标为：</w:t>
      </w:r>
      <w:r>
        <w:rPr>
          <w:rFonts w:hint="eastAsia"/>
          <w:color w:val="000000" w:themeColor="text1"/>
        </w:rPr>
        <w:t>CODcr32.85t/a，NH</w:t>
      </w:r>
      <w:r>
        <w:rPr>
          <w:rFonts w:hint="eastAsia"/>
          <w:color w:val="000000" w:themeColor="text1"/>
          <w:vertAlign w:val="subscript"/>
        </w:rPr>
        <w:t>3</w:t>
      </w:r>
      <w:r>
        <w:rPr>
          <w:rFonts w:hint="eastAsia"/>
          <w:color w:val="000000" w:themeColor="text1"/>
        </w:rPr>
        <w:t>-N2.555t/a 。</w:t>
      </w:r>
    </w:p>
    <w:p>
      <w:pPr>
        <w:pStyle w:val="3"/>
      </w:pPr>
      <w:bookmarkStart w:id="26" w:name="_Toc57964367"/>
      <w:r>
        <w:rPr>
          <w:rFonts w:hint="eastAsia"/>
        </w:rPr>
        <w:t xml:space="preserve">5.3 </w:t>
      </w:r>
      <w:r>
        <w:t>所在水功能区纳污状况</w:t>
      </w:r>
      <w:bookmarkEnd w:id="26"/>
    </w:p>
    <w:p>
      <w:pPr>
        <w:pStyle w:val="4"/>
      </w:pPr>
      <w:r>
        <w:rPr>
          <w:rFonts w:hint="eastAsia"/>
        </w:rPr>
        <w:t>5.3.1主要排污口污染物入河量</w:t>
      </w:r>
    </w:p>
    <w:p>
      <w:pPr>
        <w:pStyle w:val="5"/>
      </w:pPr>
      <w:r>
        <w:rPr>
          <w:rFonts w:hint="eastAsia"/>
        </w:rPr>
        <w:t>5.3.1.1 入河排污口概况</w:t>
      </w:r>
    </w:p>
    <w:p>
      <w:pPr>
        <w:ind w:firstLine="480"/>
      </w:pPr>
      <w:r>
        <w:t>结合本论证现场查勘及</w:t>
      </w:r>
      <w:r>
        <w:rPr>
          <w:rFonts w:hint="eastAsia"/>
        </w:rPr>
        <w:t>合水县环境保护</w:t>
      </w:r>
      <w:r>
        <w:t>局</w:t>
      </w:r>
      <w:r>
        <w:rPr>
          <w:rFonts w:eastAsia="Times New Roman"/>
        </w:rPr>
        <w:t>“201</w:t>
      </w:r>
      <w:r>
        <w:rPr>
          <w:rFonts w:hint="eastAsia" w:eastAsiaTheme="minorEastAsia"/>
        </w:rPr>
        <w:t>8</w:t>
      </w:r>
      <w:r>
        <w:rPr>
          <w:spacing w:val="-1"/>
        </w:rPr>
        <w:t>年度庆阳市入河排污口基本信息调查</w:t>
      </w:r>
      <w:r>
        <w:t>表</w:t>
      </w:r>
      <w:r>
        <w:rPr>
          <w:rFonts w:eastAsia="Times New Roman"/>
        </w:rPr>
        <w:t>”</w:t>
      </w:r>
      <w:r>
        <w:t>初步调查成果，</w:t>
      </w:r>
      <w:r>
        <w:rPr>
          <w:rFonts w:hint="eastAsia"/>
          <w:color w:val="000000" w:themeColor="text1"/>
        </w:rPr>
        <w:t>马莲河环县、庆城、合水、宁县工业、农业用水区</w:t>
      </w:r>
      <w:r>
        <w:rPr>
          <w:rFonts w:hint="eastAsia"/>
          <w:color w:val="000000" w:themeColor="text1"/>
          <w:spacing w:val="-5"/>
        </w:rPr>
        <w:t>有一定数量的</w:t>
      </w:r>
      <w:r>
        <w:rPr>
          <w:spacing w:val="-4"/>
        </w:rPr>
        <w:t>入河排污口</w:t>
      </w:r>
      <w:r>
        <w:rPr>
          <w:rFonts w:hint="eastAsia"/>
          <w:spacing w:val="-4"/>
        </w:rPr>
        <w:t>，具体见3.2.2</w:t>
      </w:r>
      <w:r>
        <w:rPr>
          <w:rFonts w:hint="eastAsia"/>
        </w:rPr>
        <w:t>。</w:t>
      </w:r>
    </w:p>
    <w:p>
      <w:pPr>
        <w:pStyle w:val="5"/>
      </w:pPr>
      <w:r>
        <w:rPr>
          <w:rFonts w:hint="eastAsia"/>
        </w:rPr>
        <w:t>5.3.1.2 污染物入河量</w:t>
      </w:r>
    </w:p>
    <w:p>
      <w:pPr>
        <w:ind w:firstLine="480"/>
      </w:pPr>
      <w:r>
        <w:rPr>
          <w:rFonts w:hint="eastAsia"/>
        </w:rPr>
        <w:t>（1）2021年近期污染物入河量预测</w:t>
      </w:r>
    </w:p>
    <w:p>
      <w:pPr>
        <w:ind w:firstLine="480"/>
        <w:rPr>
          <w:color w:val="000000" w:themeColor="text1"/>
        </w:rPr>
      </w:pPr>
      <w:r>
        <w:rPr>
          <w:rFonts w:hint="eastAsia" w:eastAsiaTheme="minorEastAsia"/>
        </w:rPr>
        <w:t>到</w:t>
      </w:r>
      <w:r>
        <w:rPr>
          <w:rFonts w:eastAsia="Times New Roman"/>
        </w:rPr>
        <w:t>202</w:t>
      </w:r>
      <w:r>
        <w:rPr>
          <w:rFonts w:hint="eastAsia" w:eastAsiaTheme="minorEastAsia"/>
        </w:rPr>
        <w:t>1</w:t>
      </w:r>
      <w:r>
        <w:rPr>
          <w:rFonts w:eastAsia="Times New Roman"/>
        </w:rPr>
        <w:t xml:space="preserve"> </w:t>
      </w:r>
      <w:r>
        <w:t>年，考虑到现状污水外排口</w:t>
      </w:r>
      <w:r>
        <w:rPr>
          <w:color w:val="000000" w:themeColor="text1"/>
        </w:rPr>
        <w:t>是通过</w:t>
      </w:r>
      <w:r>
        <w:rPr>
          <w:rFonts w:hint="eastAsia"/>
          <w:color w:val="000000" w:themeColor="text1"/>
        </w:rPr>
        <w:t>管道排至盖家川</w:t>
      </w:r>
      <w:r>
        <w:rPr>
          <w:color w:val="000000" w:themeColor="text1"/>
        </w:rPr>
        <w:t>，最终汇入</w:t>
      </w:r>
      <w:r>
        <w:rPr>
          <w:rFonts w:hint="eastAsia"/>
          <w:color w:val="000000" w:themeColor="text1"/>
        </w:rPr>
        <w:t>马莲河</w:t>
      </w:r>
      <w:r>
        <w:rPr>
          <w:color w:val="000000" w:themeColor="text1"/>
        </w:rPr>
        <w:t>，</w:t>
      </w:r>
      <w:r>
        <w:t xml:space="preserve"> </w:t>
      </w:r>
      <w:r>
        <w:rPr>
          <w:spacing w:val="-6"/>
        </w:rPr>
        <w:t>本次计算按最不利情况考虑，即假设中途无渗漏损失，所排污水全部进入</w:t>
      </w:r>
      <w:r>
        <w:rPr>
          <w:rFonts w:hint="eastAsia"/>
          <w:spacing w:val="-6"/>
        </w:rPr>
        <w:t>盖家川</w:t>
      </w:r>
      <w:r>
        <w:rPr>
          <w:spacing w:val="-6"/>
        </w:rPr>
        <w:t>。</w:t>
      </w:r>
      <w:r>
        <w:rPr>
          <w:rFonts w:hint="eastAsia"/>
          <w:spacing w:val="-6"/>
        </w:rPr>
        <w:t>合水县何家畔镇何家畔村截污控源工程项目</w:t>
      </w:r>
      <w:r>
        <w:rPr>
          <w:spacing w:val="-6"/>
        </w:rPr>
        <w:t>尚未运行，按设计排放</w:t>
      </w:r>
      <w:r>
        <w:rPr>
          <w:color w:val="000000" w:themeColor="text1"/>
          <w:spacing w:val="-6"/>
        </w:rPr>
        <w:t>标准预测，即一级</w:t>
      </w:r>
      <w:r>
        <w:rPr>
          <w:rFonts w:hint="eastAsia" w:eastAsiaTheme="minorEastAsia"/>
          <w:color w:val="000000" w:themeColor="text1"/>
        </w:rPr>
        <w:t>A</w:t>
      </w:r>
      <w:r>
        <w:rPr>
          <w:color w:val="000000" w:themeColor="text1"/>
          <w:spacing w:val="-2"/>
        </w:rPr>
        <w:t>标准</w:t>
      </w:r>
      <w:r>
        <w:rPr>
          <w:color w:val="000000" w:themeColor="text1"/>
        </w:rPr>
        <w:t>。</w:t>
      </w:r>
      <w:r>
        <w:rPr>
          <w:rFonts w:hint="eastAsia"/>
          <w:color w:val="000000" w:themeColor="text1"/>
        </w:rPr>
        <w:t>其余城镇污水处理厂入河排污口的污水排放量及主要污染物浓度按照现状情况预测。污水排放量根据“2018年度庆阳市入河排污口基本信息调查表”确定，排放浓度按污水处理厂进水水质预测。</w:t>
      </w:r>
    </w:p>
    <w:p>
      <w:pPr>
        <w:ind w:firstLine="476"/>
      </w:pPr>
      <w:r>
        <w:rPr>
          <w:rFonts w:hint="eastAsia"/>
          <w:color w:val="000000" w:themeColor="text1"/>
          <w:spacing w:val="-1"/>
        </w:rPr>
        <w:t>何家畔村</w:t>
      </w:r>
      <w:r>
        <w:rPr>
          <w:color w:val="000000" w:themeColor="text1"/>
          <w:spacing w:val="-1"/>
        </w:rPr>
        <w:t>污水入河量近期</w:t>
      </w:r>
      <w:r>
        <w:rPr>
          <w:color w:val="000000" w:themeColor="text1"/>
        </w:rPr>
        <w:t>（</w:t>
      </w:r>
      <w:r>
        <w:rPr>
          <w:rFonts w:eastAsia="Times New Roman"/>
          <w:color w:val="000000" w:themeColor="text1"/>
        </w:rPr>
        <w:t>202</w:t>
      </w:r>
      <w:r>
        <w:rPr>
          <w:rFonts w:hint="eastAsia" w:eastAsiaTheme="minorEastAsia"/>
          <w:color w:val="000000" w:themeColor="text1"/>
        </w:rPr>
        <w:t>1</w:t>
      </w:r>
      <w:r>
        <w:rPr>
          <w:color w:val="000000" w:themeColor="text1"/>
        </w:rPr>
        <w:t>年）</w:t>
      </w:r>
      <w:r>
        <w:rPr>
          <w:rFonts w:hint="eastAsia" w:eastAsiaTheme="minorEastAsia"/>
          <w:color w:val="000000" w:themeColor="text1"/>
        </w:rPr>
        <w:t>7.3</w:t>
      </w:r>
      <w:r>
        <w:rPr>
          <w:color w:val="000000" w:themeColor="text1"/>
          <w:spacing w:val="-30"/>
        </w:rPr>
        <w:t xml:space="preserve">万 </w:t>
      </w:r>
      <w:r>
        <w:rPr>
          <w:rFonts w:eastAsia="Times New Roman"/>
          <w:color w:val="000000" w:themeColor="text1"/>
          <w:spacing w:val="-15"/>
        </w:rPr>
        <w:t xml:space="preserve">m³/a </w:t>
      </w:r>
      <w:r>
        <w:rPr>
          <w:color w:val="000000" w:themeColor="text1"/>
          <w:spacing w:val="-11"/>
        </w:rPr>
        <w:t xml:space="preserve">，主要污染物 </w:t>
      </w:r>
      <w:r>
        <w:rPr>
          <w:rFonts w:eastAsia="Times New Roman"/>
          <w:color w:val="000000" w:themeColor="text1"/>
        </w:rPr>
        <w:t>COD</w:t>
      </w:r>
      <w:r>
        <w:rPr>
          <w:color w:val="000000" w:themeColor="text1"/>
          <w:spacing w:val="-4"/>
        </w:rPr>
        <w:t>、氨氮的入河量分</w:t>
      </w:r>
      <w:r>
        <w:rPr>
          <w:color w:val="000000" w:themeColor="text1"/>
          <w:spacing w:val="-21"/>
        </w:rPr>
        <w:t xml:space="preserve">别为 </w:t>
      </w:r>
      <w:r>
        <w:rPr>
          <w:rFonts w:hint="eastAsia" w:eastAsiaTheme="minorEastAsia"/>
          <w:color w:val="000000" w:themeColor="text1"/>
        </w:rPr>
        <w:t>3.65</w:t>
      </w:r>
      <w:r>
        <w:rPr>
          <w:rFonts w:eastAsia="Times New Roman"/>
          <w:color w:val="000000" w:themeColor="text1"/>
        </w:rPr>
        <w:t>t/a</w:t>
      </w:r>
      <w:r>
        <w:rPr>
          <w:color w:val="000000" w:themeColor="text1"/>
        </w:rPr>
        <w:t>，</w:t>
      </w:r>
      <w:r>
        <w:rPr>
          <w:rFonts w:hint="eastAsia" w:eastAsiaTheme="minorEastAsia"/>
          <w:color w:val="000000" w:themeColor="text1"/>
        </w:rPr>
        <w:t>0.365</w:t>
      </w:r>
      <w:r>
        <w:rPr>
          <w:rFonts w:eastAsia="Times New Roman"/>
          <w:color w:val="000000" w:themeColor="text1"/>
        </w:rPr>
        <w:t xml:space="preserve"> t/a</w:t>
      </w:r>
      <w:r>
        <w:rPr>
          <w:color w:val="000000" w:themeColor="text1"/>
          <w:spacing w:val="-3"/>
        </w:rPr>
        <w:t>。排污口污</w:t>
      </w:r>
      <w:r>
        <w:rPr>
          <w:spacing w:val="-3"/>
        </w:rPr>
        <w:t xml:space="preserve">水及主要污染物入河量统计及预测见表 </w:t>
      </w:r>
      <w:r>
        <w:rPr>
          <w:rFonts w:eastAsia="Times New Roman"/>
        </w:rPr>
        <w:t>5.3-</w:t>
      </w:r>
      <w:r>
        <w:rPr>
          <w:rFonts w:hint="eastAsia" w:eastAsiaTheme="minorEastAsia"/>
        </w:rPr>
        <w:t>1</w:t>
      </w:r>
      <w:r>
        <w:t>。</w:t>
      </w:r>
    </w:p>
    <w:p>
      <w:pPr>
        <w:tabs>
          <w:tab w:val="left" w:pos="2291"/>
        </w:tabs>
        <w:ind w:left="220" w:firstLine="422"/>
        <w:jc w:val="center"/>
        <w:rPr>
          <w:b/>
          <w:sz w:val="21"/>
        </w:rPr>
      </w:pPr>
      <w:r>
        <w:rPr>
          <w:b/>
          <w:sz w:val="21"/>
        </w:rPr>
        <w:t>表</w:t>
      </w:r>
      <w:r>
        <w:rPr>
          <w:b/>
          <w:spacing w:val="-52"/>
          <w:sz w:val="21"/>
        </w:rPr>
        <w:t xml:space="preserve"> </w:t>
      </w:r>
      <w:r>
        <w:rPr>
          <w:rFonts w:eastAsia="Times New Roman"/>
          <w:b/>
          <w:sz w:val="21"/>
        </w:rPr>
        <w:t>5.3-</w:t>
      </w:r>
      <w:r>
        <w:rPr>
          <w:rFonts w:hint="eastAsia" w:eastAsiaTheme="minorEastAsia"/>
          <w:b/>
          <w:sz w:val="21"/>
        </w:rPr>
        <w:t xml:space="preserve">1  </w:t>
      </w:r>
      <w:r>
        <w:rPr>
          <w:b/>
          <w:sz w:val="21"/>
        </w:rPr>
        <w:t>入河排污口主要污染</w:t>
      </w:r>
      <w:r>
        <w:rPr>
          <w:b/>
          <w:spacing w:val="-3"/>
          <w:sz w:val="21"/>
        </w:rPr>
        <w:t>物</w:t>
      </w:r>
      <w:r>
        <w:rPr>
          <w:b/>
          <w:sz w:val="21"/>
        </w:rPr>
        <w:t>排</w:t>
      </w:r>
      <w:r>
        <w:rPr>
          <w:b/>
          <w:spacing w:val="-3"/>
          <w:sz w:val="21"/>
        </w:rPr>
        <w:t>放</w:t>
      </w:r>
      <w:r>
        <w:rPr>
          <w:b/>
          <w:sz w:val="21"/>
        </w:rPr>
        <w:t>量预测表（</w:t>
      </w:r>
      <w:r>
        <w:rPr>
          <w:rFonts w:eastAsia="Times New Roman"/>
          <w:b/>
          <w:sz w:val="21"/>
        </w:rPr>
        <w:t>202</w:t>
      </w:r>
      <w:r>
        <w:rPr>
          <w:rFonts w:hint="eastAsia" w:eastAsiaTheme="minorEastAsia"/>
          <w:b/>
          <w:sz w:val="21"/>
        </w:rPr>
        <w:t>0</w:t>
      </w:r>
      <w:r>
        <w:rPr>
          <w:rFonts w:eastAsia="Times New Roman"/>
          <w:b/>
          <w:spacing w:val="-3"/>
          <w:sz w:val="21"/>
        </w:rPr>
        <w:t xml:space="preserve"> </w:t>
      </w:r>
      <w:r>
        <w:rPr>
          <w:b/>
          <w:sz w:val="21"/>
        </w:rPr>
        <w:t>年）</w:t>
      </w:r>
    </w:p>
    <w:p>
      <w:pPr>
        <w:pStyle w:val="7"/>
        <w:spacing w:before="6"/>
        <w:ind w:firstLine="161"/>
        <w:rPr>
          <w:b/>
          <w:sz w:val="8"/>
        </w:rPr>
      </w:pPr>
    </w:p>
    <w:tbl>
      <w:tblPr>
        <w:tblStyle w:val="31"/>
        <w:tblW w:w="91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3036"/>
        <w:gridCol w:w="863"/>
        <w:gridCol w:w="1422"/>
        <w:gridCol w:w="992"/>
        <w:gridCol w:w="1134"/>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427" w:type="dxa"/>
            <w:vMerge w:val="restart"/>
            <w:vAlign w:val="center"/>
          </w:tcPr>
          <w:p>
            <w:pPr>
              <w:pStyle w:val="32"/>
              <w:spacing w:line="408" w:lineRule="auto"/>
              <w:ind w:right="98" w:firstLine="0" w:firstLineChars="0"/>
              <w:rPr>
                <w:rFonts w:asciiTheme="minorHAnsi" w:hAnsiTheme="minorHAnsi" w:eastAsiaTheme="minorEastAsia"/>
                <w:sz w:val="21"/>
              </w:rPr>
            </w:pPr>
            <w:r>
              <w:rPr>
                <w:rFonts w:hint="eastAsia" w:asciiTheme="minorHAnsi" w:hAnsiTheme="minorHAnsi" w:eastAsiaTheme="minorEastAsia"/>
                <w:sz w:val="21"/>
              </w:rPr>
              <w:t>序号</w:t>
            </w:r>
          </w:p>
        </w:tc>
        <w:tc>
          <w:tcPr>
            <w:tcW w:w="3036" w:type="dxa"/>
            <w:vMerge w:val="restart"/>
            <w:vAlign w:val="center"/>
          </w:tcPr>
          <w:p>
            <w:pPr>
              <w:pStyle w:val="32"/>
              <w:ind w:firstLine="0" w:firstLineChars="0"/>
              <w:rPr>
                <w:rFonts w:asciiTheme="minorHAnsi" w:hAnsiTheme="minorHAnsi" w:eastAsiaTheme="minorEastAsia"/>
                <w:sz w:val="21"/>
              </w:rPr>
            </w:pPr>
            <w:r>
              <w:rPr>
                <w:rFonts w:hint="eastAsia" w:asciiTheme="minorHAnsi" w:hAnsiTheme="minorHAnsi" w:eastAsiaTheme="minorEastAsia"/>
                <w:sz w:val="21"/>
              </w:rPr>
              <w:t>入河排污口名称</w:t>
            </w:r>
          </w:p>
        </w:tc>
        <w:tc>
          <w:tcPr>
            <w:tcW w:w="863" w:type="dxa"/>
            <w:vMerge w:val="restart"/>
          </w:tcPr>
          <w:p>
            <w:pPr>
              <w:pStyle w:val="32"/>
              <w:spacing w:before="133" w:line="408" w:lineRule="auto"/>
              <w:ind w:left="115" w:right="101" w:firstLine="0" w:firstLineChars="0"/>
              <w:jc w:val="left"/>
              <w:rPr>
                <w:rFonts w:asciiTheme="minorHAnsi" w:hAnsiTheme="minorHAnsi" w:eastAsiaTheme="minorEastAsia"/>
                <w:sz w:val="21"/>
              </w:rPr>
            </w:pPr>
            <w:r>
              <w:rPr>
                <w:rFonts w:hint="eastAsia" w:asciiTheme="minorHAnsi" w:hAnsiTheme="minorHAnsi" w:eastAsiaTheme="minorEastAsia"/>
                <w:sz w:val="21"/>
              </w:rPr>
              <w:t>污水排放量万</w:t>
            </w:r>
          </w:p>
          <w:p>
            <w:pPr>
              <w:pStyle w:val="32"/>
              <w:spacing w:before="16"/>
              <w:ind w:left="107" w:right="101" w:firstLine="0" w:firstLineChars="0"/>
              <w:jc w:val="left"/>
              <w:rPr>
                <w:rFonts w:asciiTheme="minorHAnsi" w:hAnsiTheme="minorHAnsi" w:eastAsiaTheme="minorEastAsia"/>
                <w:sz w:val="21"/>
              </w:rPr>
            </w:pPr>
            <w:r>
              <w:rPr>
                <w:rFonts w:asciiTheme="minorHAnsi" w:hAnsiTheme="minorHAnsi" w:eastAsiaTheme="minorEastAsia"/>
                <w:sz w:val="21"/>
              </w:rPr>
              <w:t>m</w:t>
            </w:r>
            <w:r>
              <w:rPr>
                <w:rFonts w:asciiTheme="minorHAnsi" w:hAnsiTheme="minorHAnsi" w:eastAsiaTheme="minorEastAsia"/>
                <w:sz w:val="21"/>
                <w:vertAlign w:val="superscript"/>
              </w:rPr>
              <w:t>3</w:t>
            </w:r>
            <w:r>
              <w:rPr>
                <w:rFonts w:asciiTheme="minorHAnsi" w:hAnsiTheme="minorHAnsi" w:eastAsiaTheme="minorEastAsia"/>
                <w:sz w:val="21"/>
              </w:rPr>
              <w:t>/a</w:t>
            </w:r>
          </w:p>
        </w:tc>
        <w:tc>
          <w:tcPr>
            <w:tcW w:w="2414" w:type="dxa"/>
            <w:gridSpan w:val="2"/>
            <w:vAlign w:val="center"/>
          </w:tcPr>
          <w:p>
            <w:pPr>
              <w:pStyle w:val="32"/>
              <w:spacing w:before="111"/>
              <w:ind w:firstLine="0" w:firstLineChars="0"/>
              <w:rPr>
                <w:rFonts w:asciiTheme="minorHAnsi" w:hAnsiTheme="minorHAnsi" w:eastAsiaTheme="minorEastAsia"/>
                <w:sz w:val="21"/>
              </w:rPr>
            </w:pPr>
            <w:r>
              <w:rPr>
                <w:rFonts w:hint="eastAsia" w:asciiTheme="minorHAnsi" w:hAnsiTheme="minorHAnsi" w:eastAsiaTheme="minorEastAsia"/>
                <w:sz w:val="21"/>
              </w:rPr>
              <w:t>污水设计排放浓度</w:t>
            </w:r>
          </w:p>
        </w:tc>
        <w:tc>
          <w:tcPr>
            <w:tcW w:w="2410" w:type="dxa"/>
            <w:gridSpan w:val="2"/>
            <w:vAlign w:val="center"/>
          </w:tcPr>
          <w:p>
            <w:pPr>
              <w:pStyle w:val="32"/>
              <w:spacing w:before="111"/>
              <w:ind w:firstLine="0" w:firstLineChars="0"/>
              <w:rPr>
                <w:rFonts w:asciiTheme="minorHAnsi" w:hAnsiTheme="minorHAnsi" w:eastAsiaTheme="minorEastAsia"/>
                <w:sz w:val="21"/>
              </w:rPr>
            </w:pPr>
            <w:r>
              <w:rPr>
                <w:rFonts w:hint="eastAsia" w:asciiTheme="minorHAnsi" w:hAnsiTheme="minorHAnsi" w:eastAsiaTheme="minorEastAsia"/>
                <w:sz w:val="21"/>
              </w:rPr>
              <w:t>污染物排放量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jc w:val="center"/>
        </w:trPr>
        <w:tc>
          <w:tcPr>
            <w:tcW w:w="427" w:type="dxa"/>
            <w:vMerge w:val="continue"/>
            <w:tcBorders>
              <w:top w:val="nil"/>
            </w:tcBorders>
          </w:tcPr>
          <w:p>
            <w:pPr>
              <w:ind w:firstLine="40"/>
              <w:rPr>
                <w:rFonts w:asciiTheme="minorHAnsi" w:hAnsiTheme="minorHAnsi" w:eastAsiaTheme="minorEastAsia"/>
                <w:sz w:val="2"/>
                <w:szCs w:val="2"/>
                <w:lang w:eastAsia="en-US"/>
              </w:rPr>
            </w:pPr>
          </w:p>
        </w:tc>
        <w:tc>
          <w:tcPr>
            <w:tcW w:w="3036" w:type="dxa"/>
            <w:vMerge w:val="continue"/>
            <w:tcBorders>
              <w:top w:val="nil"/>
            </w:tcBorders>
          </w:tcPr>
          <w:p>
            <w:pPr>
              <w:ind w:firstLine="40"/>
              <w:rPr>
                <w:rFonts w:asciiTheme="minorHAnsi" w:hAnsiTheme="minorHAnsi" w:eastAsiaTheme="minorEastAsia"/>
                <w:sz w:val="2"/>
                <w:szCs w:val="2"/>
                <w:lang w:eastAsia="en-US"/>
              </w:rPr>
            </w:pPr>
          </w:p>
        </w:tc>
        <w:tc>
          <w:tcPr>
            <w:tcW w:w="863" w:type="dxa"/>
            <w:vMerge w:val="continue"/>
            <w:tcBorders>
              <w:top w:val="nil"/>
            </w:tcBorders>
          </w:tcPr>
          <w:p>
            <w:pPr>
              <w:ind w:firstLine="40"/>
              <w:rPr>
                <w:rFonts w:asciiTheme="minorHAnsi" w:hAnsiTheme="minorHAnsi" w:eastAsiaTheme="minorEastAsia"/>
                <w:sz w:val="2"/>
                <w:szCs w:val="2"/>
                <w:lang w:eastAsia="en-US"/>
              </w:rPr>
            </w:pPr>
          </w:p>
        </w:tc>
        <w:tc>
          <w:tcPr>
            <w:tcW w:w="1422" w:type="dxa"/>
            <w:vAlign w:val="center"/>
          </w:tcPr>
          <w:p>
            <w:pPr>
              <w:pStyle w:val="32"/>
              <w:spacing w:before="125"/>
              <w:ind w:right="16"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COD（mg/L）</w:t>
            </w:r>
          </w:p>
        </w:tc>
        <w:tc>
          <w:tcPr>
            <w:tcW w:w="992" w:type="dxa"/>
            <w:vAlign w:val="center"/>
          </w:tcPr>
          <w:p>
            <w:pPr>
              <w:pStyle w:val="32"/>
              <w:ind w:right="-58" w:firstLine="0" w:firstLineChars="0"/>
              <w:rPr>
                <w:rFonts w:asciiTheme="minorHAnsi" w:hAnsiTheme="minorHAnsi" w:eastAsiaTheme="minorEastAsia"/>
                <w:sz w:val="21"/>
              </w:rPr>
            </w:pPr>
            <w:r>
              <w:rPr>
                <w:rFonts w:hint="eastAsia" w:asciiTheme="minorHAnsi" w:hAnsiTheme="minorHAnsi" w:eastAsiaTheme="minorEastAsia"/>
                <w:spacing w:val="-23"/>
                <w:sz w:val="21"/>
              </w:rPr>
              <w:t>氨氮</w:t>
            </w:r>
            <w:r>
              <w:rPr>
                <w:rFonts w:hint="eastAsia" w:asciiTheme="minorHAnsi" w:hAnsiTheme="minorHAnsi" w:eastAsiaTheme="minorEastAsia"/>
                <w:spacing w:val="-13"/>
                <w:sz w:val="21"/>
              </w:rPr>
              <w:t>（</w:t>
            </w:r>
            <w:r>
              <w:rPr>
                <w:rFonts w:asciiTheme="minorHAnsi" w:hAnsiTheme="minorHAnsi" w:eastAsiaTheme="minorEastAsia"/>
                <w:spacing w:val="-13"/>
                <w:position w:val="1"/>
                <w:sz w:val="21"/>
              </w:rPr>
              <w:t>mg/L</w:t>
            </w:r>
            <w:r>
              <w:rPr>
                <w:rFonts w:hint="eastAsia" w:asciiTheme="minorHAnsi" w:hAnsiTheme="minorHAnsi" w:eastAsiaTheme="minorEastAsia"/>
                <w:spacing w:val="-13"/>
                <w:sz w:val="21"/>
              </w:rPr>
              <w:t>）</w:t>
            </w:r>
          </w:p>
        </w:tc>
        <w:tc>
          <w:tcPr>
            <w:tcW w:w="1134" w:type="dxa"/>
            <w:vAlign w:val="center"/>
          </w:tcPr>
          <w:p>
            <w:pPr>
              <w:pStyle w:val="32"/>
              <w:ind w:right="12" w:firstLine="0" w:firstLineChars="0"/>
              <w:rPr>
                <w:rFonts w:asciiTheme="minorHAnsi" w:hAnsiTheme="minorHAnsi" w:eastAsiaTheme="minorEastAsia"/>
                <w:sz w:val="21"/>
              </w:rPr>
            </w:pPr>
            <w:r>
              <w:rPr>
                <w:rFonts w:asciiTheme="minorHAnsi" w:hAnsiTheme="minorHAnsi" w:eastAsiaTheme="minorEastAsia"/>
                <w:position w:val="1"/>
                <w:sz w:val="21"/>
              </w:rPr>
              <w:t>C</w:t>
            </w:r>
            <w:r>
              <w:rPr>
                <w:rFonts w:hint="eastAsia" w:asciiTheme="minorHAnsi" w:hAnsiTheme="minorHAnsi" w:eastAsiaTheme="minorEastAsia"/>
                <w:position w:val="1"/>
                <w:sz w:val="21"/>
                <w:lang w:eastAsia="zh-CN"/>
              </w:rPr>
              <w:t>OD</w:t>
            </w:r>
            <w:r>
              <w:rPr>
                <w:rFonts w:hint="eastAsia" w:asciiTheme="minorHAnsi" w:hAnsiTheme="minorHAnsi" w:eastAsiaTheme="minorEastAsia"/>
                <w:sz w:val="21"/>
              </w:rPr>
              <w:t>（</w:t>
            </w:r>
            <w:r>
              <w:rPr>
                <w:rFonts w:asciiTheme="minorHAnsi" w:hAnsiTheme="minorHAnsi" w:eastAsiaTheme="minorEastAsia"/>
                <w:position w:val="1"/>
                <w:sz w:val="21"/>
              </w:rPr>
              <w:t>t/a</w:t>
            </w:r>
            <w:r>
              <w:rPr>
                <w:rFonts w:hint="eastAsia" w:asciiTheme="minorHAnsi" w:hAnsiTheme="minorHAnsi" w:eastAsiaTheme="minorEastAsia"/>
                <w:sz w:val="21"/>
              </w:rPr>
              <w:t>）</w:t>
            </w:r>
          </w:p>
        </w:tc>
        <w:tc>
          <w:tcPr>
            <w:tcW w:w="1276" w:type="dxa"/>
            <w:vAlign w:val="center"/>
          </w:tcPr>
          <w:p>
            <w:pPr>
              <w:pStyle w:val="32"/>
              <w:ind w:right="-15" w:firstLine="0" w:firstLineChars="0"/>
              <w:rPr>
                <w:rFonts w:asciiTheme="minorHAnsi" w:hAnsiTheme="minorHAnsi" w:eastAsiaTheme="minorEastAsia"/>
                <w:sz w:val="21"/>
              </w:rPr>
            </w:pPr>
            <w:r>
              <w:rPr>
                <w:rFonts w:hint="eastAsia" w:asciiTheme="minorHAnsi" w:hAnsiTheme="minorHAnsi" w:eastAsiaTheme="minorEastAsia"/>
                <w:sz w:val="21"/>
              </w:rPr>
              <w:t>氨氮</w:t>
            </w:r>
            <w:r>
              <w:rPr>
                <w:rFonts w:hint="eastAsia" w:asciiTheme="minorHAnsi" w:hAnsiTheme="minorHAnsi" w:eastAsiaTheme="minorEastAsia"/>
                <w:spacing w:val="-5"/>
                <w:sz w:val="21"/>
              </w:rPr>
              <w:t>（</w:t>
            </w:r>
            <w:r>
              <w:rPr>
                <w:rFonts w:asciiTheme="minorHAnsi" w:hAnsiTheme="minorHAnsi" w:eastAsiaTheme="minorEastAsia"/>
                <w:spacing w:val="-5"/>
                <w:position w:val="1"/>
                <w:sz w:val="21"/>
              </w:rPr>
              <w:t>t/a</w:t>
            </w:r>
            <w:r>
              <w:rPr>
                <w:rFonts w:hint="eastAsia" w:asciiTheme="minorHAnsi" w:hAnsiTheme="minorHAnsi" w:eastAsiaTheme="minorEastAsia"/>
                <w:spacing w:val="-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27"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1</w:t>
            </w:r>
          </w:p>
        </w:tc>
        <w:tc>
          <w:tcPr>
            <w:tcW w:w="3036" w:type="dxa"/>
            <w:vAlign w:val="center"/>
          </w:tcPr>
          <w:p>
            <w:pPr>
              <w:pStyle w:val="32"/>
              <w:spacing w:before="114"/>
              <w:ind w:right="16"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规模以上排污口</w:t>
            </w:r>
          </w:p>
        </w:tc>
        <w:tc>
          <w:tcPr>
            <w:tcW w:w="863"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1974.94</w:t>
            </w:r>
          </w:p>
        </w:tc>
        <w:tc>
          <w:tcPr>
            <w:tcW w:w="1422" w:type="dxa"/>
          </w:tcPr>
          <w:p>
            <w:pPr>
              <w:pStyle w:val="32"/>
              <w:spacing w:before="123"/>
              <w:ind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60</w:t>
            </w:r>
          </w:p>
        </w:tc>
        <w:tc>
          <w:tcPr>
            <w:tcW w:w="99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8</w:t>
            </w:r>
          </w:p>
        </w:tc>
        <w:tc>
          <w:tcPr>
            <w:tcW w:w="1134"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1185.20</w:t>
            </w:r>
          </w:p>
        </w:tc>
        <w:tc>
          <w:tcPr>
            <w:tcW w:w="1276"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158.03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27"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2</w:t>
            </w:r>
          </w:p>
        </w:tc>
        <w:tc>
          <w:tcPr>
            <w:tcW w:w="3036" w:type="dxa"/>
            <w:vAlign w:val="center"/>
          </w:tcPr>
          <w:p>
            <w:pPr>
              <w:pStyle w:val="32"/>
              <w:spacing w:before="114"/>
              <w:ind w:right="16"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其他污水排放口</w:t>
            </w:r>
          </w:p>
        </w:tc>
        <w:tc>
          <w:tcPr>
            <w:tcW w:w="863"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335.06</w:t>
            </w:r>
          </w:p>
        </w:tc>
        <w:tc>
          <w:tcPr>
            <w:tcW w:w="142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400</w:t>
            </w:r>
          </w:p>
        </w:tc>
        <w:tc>
          <w:tcPr>
            <w:tcW w:w="99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40</w:t>
            </w:r>
          </w:p>
        </w:tc>
        <w:tc>
          <w:tcPr>
            <w:tcW w:w="1134" w:type="dxa"/>
          </w:tcPr>
          <w:p>
            <w:pPr>
              <w:pStyle w:val="32"/>
              <w:spacing w:before="126"/>
              <w:ind w:firstLine="0" w:firstLineChars="0"/>
              <w:rPr>
                <w:rFonts w:asciiTheme="minorHAnsi" w:hAnsiTheme="minorHAnsi" w:eastAsiaTheme="minorEastAsia"/>
                <w:color w:val="000000" w:themeColor="text1"/>
                <w:sz w:val="21"/>
                <w:lang w:eastAsia="zh-CN"/>
              </w:rPr>
            </w:pPr>
            <w:r>
              <w:rPr>
                <w:rFonts w:asciiTheme="minorHAnsi" w:hAnsiTheme="minorHAnsi" w:eastAsiaTheme="minorEastAsia"/>
                <w:color w:val="000000" w:themeColor="text1"/>
                <w:sz w:val="21"/>
                <w:lang w:eastAsia="zh-CN"/>
              </w:rPr>
              <w:t>13</w:t>
            </w:r>
            <w:r>
              <w:rPr>
                <w:rFonts w:hint="eastAsia" w:asciiTheme="minorHAnsi" w:hAnsiTheme="minorHAnsi" w:eastAsiaTheme="minorEastAsia"/>
                <w:color w:val="000000" w:themeColor="text1"/>
                <w:sz w:val="21"/>
                <w:lang w:eastAsia="zh-CN"/>
              </w:rPr>
              <w:t>40</w:t>
            </w:r>
            <w:r>
              <w:rPr>
                <w:rFonts w:asciiTheme="minorHAnsi" w:hAnsiTheme="minorHAnsi" w:eastAsiaTheme="minorEastAsia"/>
                <w:color w:val="000000" w:themeColor="text1"/>
                <w:sz w:val="21"/>
                <w:lang w:eastAsia="zh-CN"/>
              </w:rPr>
              <w:t>.24</w:t>
            </w:r>
          </w:p>
        </w:tc>
        <w:tc>
          <w:tcPr>
            <w:tcW w:w="1276" w:type="dxa"/>
          </w:tcPr>
          <w:p>
            <w:pPr>
              <w:pStyle w:val="32"/>
              <w:spacing w:before="126"/>
              <w:ind w:firstLine="0" w:firstLineChars="0"/>
              <w:rPr>
                <w:rFonts w:asciiTheme="minorHAnsi" w:hAnsiTheme="minorHAnsi" w:eastAsiaTheme="minorEastAsia"/>
                <w:color w:val="000000" w:themeColor="text1"/>
                <w:sz w:val="21"/>
                <w:lang w:eastAsia="zh-CN"/>
              </w:rPr>
            </w:pPr>
            <w:r>
              <w:rPr>
                <w:rFonts w:asciiTheme="minorHAnsi" w:hAnsiTheme="minorHAnsi" w:eastAsiaTheme="minorEastAsia"/>
                <w:color w:val="000000" w:themeColor="text1"/>
                <w:sz w:val="21"/>
                <w:lang w:eastAsia="zh-CN"/>
              </w:rPr>
              <w:t>13</w:t>
            </w:r>
            <w:r>
              <w:rPr>
                <w:rFonts w:hint="eastAsia" w:asciiTheme="minorHAnsi" w:hAnsiTheme="minorHAnsi" w:eastAsiaTheme="minorEastAsia"/>
                <w:color w:val="000000" w:themeColor="text1"/>
                <w:sz w:val="21"/>
                <w:lang w:eastAsia="zh-CN"/>
              </w:rPr>
              <w:t>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27"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3</w:t>
            </w:r>
          </w:p>
        </w:tc>
        <w:tc>
          <w:tcPr>
            <w:tcW w:w="3036" w:type="dxa"/>
            <w:vAlign w:val="center"/>
          </w:tcPr>
          <w:p>
            <w:pPr>
              <w:pStyle w:val="32"/>
              <w:spacing w:before="114"/>
              <w:ind w:right="16"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何家畔村污水处理厂排污口</w:t>
            </w:r>
          </w:p>
        </w:tc>
        <w:tc>
          <w:tcPr>
            <w:tcW w:w="863"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7.3</w:t>
            </w:r>
          </w:p>
        </w:tc>
        <w:tc>
          <w:tcPr>
            <w:tcW w:w="142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asciiTheme="minorHAnsi" w:hAnsiTheme="minorHAnsi" w:eastAsiaTheme="minorEastAsia"/>
                <w:color w:val="000000" w:themeColor="text1"/>
                <w:sz w:val="21"/>
                <w:lang w:eastAsia="zh-CN"/>
              </w:rPr>
              <w:t>50</w:t>
            </w:r>
          </w:p>
        </w:tc>
        <w:tc>
          <w:tcPr>
            <w:tcW w:w="99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asciiTheme="minorHAnsi" w:hAnsiTheme="minorHAnsi" w:eastAsiaTheme="minorEastAsia"/>
                <w:color w:val="000000" w:themeColor="text1"/>
                <w:sz w:val="21"/>
                <w:lang w:eastAsia="zh-CN"/>
              </w:rPr>
              <w:t>5</w:t>
            </w:r>
          </w:p>
        </w:tc>
        <w:tc>
          <w:tcPr>
            <w:tcW w:w="1134"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3.65</w:t>
            </w:r>
          </w:p>
        </w:tc>
        <w:tc>
          <w:tcPr>
            <w:tcW w:w="1276"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0.365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27"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10</w:t>
            </w:r>
          </w:p>
        </w:tc>
        <w:tc>
          <w:tcPr>
            <w:tcW w:w="3036" w:type="dxa"/>
            <w:vAlign w:val="center"/>
          </w:tcPr>
          <w:p>
            <w:pPr>
              <w:pStyle w:val="32"/>
              <w:spacing w:before="114"/>
              <w:ind w:right="16"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合计</w:t>
            </w:r>
          </w:p>
        </w:tc>
        <w:tc>
          <w:tcPr>
            <w:tcW w:w="863"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2317.3</w:t>
            </w:r>
          </w:p>
        </w:tc>
        <w:tc>
          <w:tcPr>
            <w:tcW w:w="142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w:t>
            </w:r>
          </w:p>
        </w:tc>
        <w:tc>
          <w:tcPr>
            <w:tcW w:w="99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w:t>
            </w:r>
          </w:p>
        </w:tc>
        <w:tc>
          <w:tcPr>
            <w:tcW w:w="1134"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2529.09</w:t>
            </w:r>
          </w:p>
        </w:tc>
        <w:tc>
          <w:tcPr>
            <w:tcW w:w="1276"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292.42</w:t>
            </w:r>
          </w:p>
        </w:tc>
      </w:tr>
    </w:tbl>
    <w:p>
      <w:pPr>
        <w:ind w:firstLine="480"/>
      </w:pPr>
      <w:r>
        <w:rPr>
          <w:rFonts w:hint="eastAsia"/>
        </w:rPr>
        <w:t>（2</w:t>
      </w:r>
      <w:r>
        <w:t>）20</w:t>
      </w:r>
      <w:r>
        <w:rPr>
          <w:rFonts w:hint="eastAsia"/>
        </w:rPr>
        <w:t>30</w:t>
      </w:r>
      <w:r>
        <w:t>年</w:t>
      </w:r>
      <w:r>
        <w:rPr>
          <w:rFonts w:hint="eastAsia"/>
        </w:rPr>
        <w:t>远</w:t>
      </w:r>
      <w:r>
        <w:t>期污染物入河量预测</w:t>
      </w:r>
    </w:p>
    <w:p>
      <w:pPr>
        <w:ind w:firstLine="480"/>
      </w:pPr>
      <w:r>
        <w:t>20</w:t>
      </w:r>
      <w:r>
        <w:rPr>
          <w:rFonts w:hint="eastAsia"/>
        </w:rPr>
        <w:t>30</w:t>
      </w:r>
      <w:r>
        <w:t>年，考虑到各城镇污水处理厂正在或将要开展提标改造工程，故</w:t>
      </w:r>
      <w:r>
        <w:rPr>
          <w:rFonts w:hint="eastAsia"/>
        </w:rPr>
        <w:t>庆阳市污水处理厂排污口等6座污水处理厂</w:t>
      </w:r>
      <w:r>
        <w:rPr>
          <w:color w:val="000000" w:themeColor="text1"/>
        </w:rPr>
        <w:t>外排标准按照一级A</w:t>
      </w:r>
      <w:r>
        <w:t>标准预测，污水排放量根据“201</w:t>
      </w:r>
      <w:r>
        <w:rPr>
          <w:rFonts w:hint="eastAsia"/>
        </w:rPr>
        <w:t>8</w:t>
      </w:r>
      <w:r>
        <w:t>年度庆阳市入河排污口基本信息调查表”确定，排放浓度按污水处理厂进水水质预测。</w:t>
      </w:r>
    </w:p>
    <w:p>
      <w:pPr>
        <w:ind w:firstLine="480"/>
        <w:rPr>
          <w:color w:val="000000" w:themeColor="text1"/>
        </w:rPr>
      </w:pPr>
      <w:r>
        <w:rPr>
          <w:rFonts w:hint="eastAsia"/>
          <w:color w:val="000000" w:themeColor="text1"/>
        </w:rPr>
        <w:t>污水入河量远期（</w:t>
      </w:r>
      <w:r>
        <w:rPr>
          <w:color w:val="000000" w:themeColor="text1"/>
        </w:rPr>
        <w:t>20</w:t>
      </w:r>
      <w:r>
        <w:rPr>
          <w:rFonts w:hint="eastAsia"/>
          <w:color w:val="000000" w:themeColor="text1"/>
        </w:rPr>
        <w:t>30</w:t>
      </w:r>
      <w:r>
        <w:rPr>
          <w:color w:val="000000" w:themeColor="text1"/>
        </w:rPr>
        <w:t xml:space="preserve"> 年）</w:t>
      </w:r>
      <w:r>
        <w:rPr>
          <w:rFonts w:hint="eastAsia"/>
          <w:color w:val="000000" w:themeColor="text1"/>
        </w:rPr>
        <w:t>4855</w:t>
      </w:r>
      <w:r>
        <w:rPr>
          <w:color w:val="000000" w:themeColor="text1"/>
        </w:rPr>
        <w:t xml:space="preserve">万 m³/a ，主要污染物 COD、氨氮的入河量分别为 </w:t>
      </w:r>
      <w:r>
        <w:rPr>
          <w:rFonts w:hint="eastAsia"/>
          <w:color w:val="000000" w:themeColor="text1"/>
        </w:rPr>
        <w:t>3600.21</w:t>
      </w:r>
      <w:r>
        <w:rPr>
          <w:color w:val="000000" w:themeColor="text1"/>
        </w:rPr>
        <w:t>t/a，</w:t>
      </w:r>
      <w:r>
        <w:rPr>
          <w:rFonts w:hint="eastAsia"/>
          <w:color w:val="000000" w:themeColor="text1"/>
        </w:rPr>
        <w:t>360.21</w:t>
      </w:r>
      <w:r>
        <w:rPr>
          <w:color w:val="000000" w:themeColor="text1"/>
        </w:rPr>
        <w:t>t/a。排污口污水及主要污染物入河量统计及预测见表 5.3-</w:t>
      </w:r>
      <w:r>
        <w:rPr>
          <w:rFonts w:hint="eastAsia"/>
          <w:color w:val="000000" w:themeColor="text1"/>
        </w:rPr>
        <w:t>2</w:t>
      </w:r>
      <w:r>
        <w:rPr>
          <w:color w:val="000000" w:themeColor="text1"/>
        </w:rPr>
        <w:t>。</w:t>
      </w:r>
    </w:p>
    <w:p>
      <w:pPr>
        <w:tabs>
          <w:tab w:val="left" w:pos="2291"/>
        </w:tabs>
        <w:ind w:left="220" w:firstLine="422"/>
        <w:jc w:val="center"/>
        <w:rPr>
          <w:b/>
          <w:sz w:val="21"/>
        </w:rPr>
      </w:pPr>
      <w:r>
        <w:rPr>
          <w:rFonts w:hint="eastAsia"/>
          <w:b/>
          <w:sz w:val="21"/>
        </w:rPr>
        <w:t>表</w:t>
      </w:r>
      <w:r>
        <w:rPr>
          <w:b/>
          <w:sz w:val="21"/>
        </w:rPr>
        <w:t xml:space="preserve"> 5.3-</w:t>
      </w:r>
      <w:r>
        <w:rPr>
          <w:rFonts w:hint="eastAsia"/>
          <w:b/>
          <w:sz w:val="21"/>
        </w:rPr>
        <w:t xml:space="preserve">2  </w:t>
      </w:r>
      <w:r>
        <w:rPr>
          <w:b/>
          <w:sz w:val="21"/>
        </w:rPr>
        <w:t>入河排污口主要污染物排放量预测（远期20</w:t>
      </w:r>
      <w:r>
        <w:rPr>
          <w:rFonts w:hint="eastAsia"/>
          <w:b/>
          <w:sz w:val="21"/>
        </w:rPr>
        <w:t>30</w:t>
      </w:r>
      <w:r>
        <w:rPr>
          <w:b/>
          <w:sz w:val="21"/>
        </w:rPr>
        <w:t>年）</w:t>
      </w:r>
    </w:p>
    <w:tbl>
      <w:tblPr>
        <w:tblStyle w:val="31"/>
        <w:tblW w:w="91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
        <w:gridCol w:w="3036"/>
        <w:gridCol w:w="863"/>
        <w:gridCol w:w="1422"/>
        <w:gridCol w:w="992"/>
        <w:gridCol w:w="1134"/>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427" w:type="dxa"/>
            <w:vMerge w:val="restart"/>
            <w:vAlign w:val="center"/>
          </w:tcPr>
          <w:p>
            <w:pPr>
              <w:pStyle w:val="32"/>
              <w:spacing w:line="408" w:lineRule="auto"/>
              <w:ind w:right="98" w:firstLine="0" w:firstLineChars="0"/>
              <w:rPr>
                <w:rFonts w:asciiTheme="minorHAnsi" w:hAnsiTheme="minorHAnsi" w:eastAsiaTheme="minorEastAsia"/>
                <w:sz w:val="21"/>
              </w:rPr>
            </w:pPr>
            <w:r>
              <w:rPr>
                <w:rFonts w:hint="eastAsia" w:asciiTheme="minorHAnsi" w:hAnsiTheme="minorHAnsi" w:eastAsiaTheme="minorEastAsia"/>
                <w:sz w:val="21"/>
              </w:rPr>
              <w:t>序号</w:t>
            </w:r>
          </w:p>
        </w:tc>
        <w:tc>
          <w:tcPr>
            <w:tcW w:w="3036" w:type="dxa"/>
            <w:vMerge w:val="restart"/>
            <w:vAlign w:val="center"/>
          </w:tcPr>
          <w:p>
            <w:pPr>
              <w:pStyle w:val="32"/>
              <w:ind w:firstLine="0" w:firstLineChars="0"/>
              <w:rPr>
                <w:rFonts w:asciiTheme="minorHAnsi" w:hAnsiTheme="minorHAnsi" w:eastAsiaTheme="minorEastAsia"/>
                <w:sz w:val="21"/>
              </w:rPr>
            </w:pPr>
            <w:r>
              <w:rPr>
                <w:rFonts w:hint="eastAsia" w:asciiTheme="minorHAnsi" w:hAnsiTheme="minorHAnsi" w:eastAsiaTheme="minorEastAsia"/>
                <w:sz w:val="21"/>
              </w:rPr>
              <w:t>入河排污口名称</w:t>
            </w:r>
          </w:p>
        </w:tc>
        <w:tc>
          <w:tcPr>
            <w:tcW w:w="863" w:type="dxa"/>
            <w:vMerge w:val="restart"/>
          </w:tcPr>
          <w:p>
            <w:pPr>
              <w:pStyle w:val="32"/>
              <w:spacing w:before="133" w:line="408" w:lineRule="auto"/>
              <w:ind w:left="115" w:right="101" w:firstLine="0" w:firstLineChars="0"/>
              <w:jc w:val="left"/>
              <w:rPr>
                <w:rFonts w:asciiTheme="minorHAnsi" w:hAnsiTheme="minorHAnsi" w:eastAsiaTheme="minorEastAsia"/>
                <w:sz w:val="21"/>
              </w:rPr>
            </w:pPr>
            <w:r>
              <w:rPr>
                <w:rFonts w:hint="eastAsia" w:asciiTheme="minorHAnsi" w:hAnsiTheme="minorHAnsi" w:eastAsiaTheme="minorEastAsia"/>
                <w:sz w:val="21"/>
              </w:rPr>
              <w:t>污水排放量万</w:t>
            </w:r>
          </w:p>
          <w:p>
            <w:pPr>
              <w:pStyle w:val="32"/>
              <w:spacing w:before="16"/>
              <w:ind w:left="107" w:right="101" w:firstLine="0" w:firstLineChars="0"/>
              <w:jc w:val="left"/>
              <w:rPr>
                <w:rFonts w:asciiTheme="minorHAnsi" w:hAnsiTheme="minorHAnsi" w:eastAsiaTheme="minorEastAsia"/>
                <w:sz w:val="21"/>
              </w:rPr>
            </w:pPr>
            <w:r>
              <w:rPr>
                <w:rFonts w:asciiTheme="minorHAnsi" w:hAnsiTheme="minorHAnsi" w:eastAsiaTheme="minorEastAsia"/>
                <w:sz w:val="21"/>
              </w:rPr>
              <w:t>m</w:t>
            </w:r>
            <w:r>
              <w:rPr>
                <w:rFonts w:asciiTheme="minorHAnsi" w:hAnsiTheme="minorHAnsi" w:eastAsiaTheme="minorEastAsia"/>
                <w:sz w:val="21"/>
                <w:vertAlign w:val="superscript"/>
              </w:rPr>
              <w:t>3</w:t>
            </w:r>
            <w:r>
              <w:rPr>
                <w:rFonts w:asciiTheme="minorHAnsi" w:hAnsiTheme="minorHAnsi" w:eastAsiaTheme="minorEastAsia"/>
                <w:sz w:val="21"/>
              </w:rPr>
              <w:t>/a</w:t>
            </w:r>
          </w:p>
        </w:tc>
        <w:tc>
          <w:tcPr>
            <w:tcW w:w="2414" w:type="dxa"/>
            <w:gridSpan w:val="2"/>
            <w:vAlign w:val="center"/>
          </w:tcPr>
          <w:p>
            <w:pPr>
              <w:pStyle w:val="32"/>
              <w:spacing w:before="111"/>
              <w:ind w:firstLine="0" w:firstLineChars="0"/>
              <w:rPr>
                <w:rFonts w:asciiTheme="minorHAnsi" w:hAnsiTheme="minorHAnsi" w:eastAsiaTheme="minorEastAsia"/>
                <w:sz w:val="21"/>
              </w:rPr>
            </w:pPr>
            <w:r>
              <w:rPr>
                <w:rFonts w:hint="eastAsia" w:asciiTheme="minorHAnsi" w:hAnsiTheme="minorHAnsi" w:eastAsiaTheme="minorEastAsia"/>
                <w:sz w:val="21"/>
              </w:rPr>
              <w:t>污水设计排放浓度</w:t>
            </w:r>
          </w:p>
        </w:tc>
        <w:tc>
          <w:tcPr>
            <w:tcW w:w="2410" w:type="dxa"/>
            <w:gridSpan w:val="2"/>
            <w:vAlign w:val="center"/>
          </w:tcPr>
          <w:p>
            <w:pPr>
              <w:pStyle w:val="32"/>
              <w:spacing w:before="111"/>
              <w:ind w:firstLine="0" w:firstLineChars="0"/>
              <w:rPr>
                <w:rFonts w:asciiTheme="minorHAnsi" w:hAnsiTheme="minorHAnsi" w:eastAsiaTheme="minorEastAsia"/>
                <w:sz w:val="21"/>
              </w:rPr>
            </w:pPr>
            <w:r>
              <w:rPr>
                <w:rFonts w:hint="eastAsia" w:asciiTheme="minorHAnsi" w:hAnsiTheme="minorHAnsi" w:eastAsiaTheme="minorEastAsia"/>
                <w:sz w:val="21"/>
              </w:rPr>
              <w:t>污染物排放量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jc w:val="center"/>
        </w:trPr>
        <w:tc>
          <w:tcPr>
            <w:tcW w:w="427" w:type="dxa"/>
            <w:vMerge w:val="continue"/>
            <w:tcBorders>
              <w:top w:val="nil"/>
            </w:tcBorders>
          </w:tcPr>
          <w:p>
            <w:pPr>
              <w:ind w:firstLine="40"/>
              <w:rPr>
                <w:rFonts w:asciiTheme="minorHAnsi" w:hAnsiTheme="minorHAnsi" w:eastAsiaTheme="minorEastAsia"/>
                <w:sz w:val="2"/>
                <w:szCs w:val="2"/>
                <w:lang w:eastAsia="en-US"/>
              </w:rPr>
            </w:pPr>
          </w:p>
        </w:tc>
        <w:tc>
          <w:tcPr>
            <w:tcW w:w="3036" w:type="dxa"/>
            <w:vMerge w:val="continue"/>
            <w:tcBorders>
              <w:top w:val="nil"/>
            </w:tcBorders>
          </w:tcPr>
          <w:p>
            <w:pPr>
              <w:ind w:firstLine="40"/>
              <w:rPr>
                <w:rFonts w:asciiTheme="minorHAnsi" w:hAnsiTheme="minorHAnsi" w:eastAsiaTheme="minorEastAsia"/>
                <w:sz w:val="2"/>
                <w:szCs w:val="2"/>
                <w:lang w:eastAsia="en-US"/>
              </w:rPr>
            </w:pPr>
          </w:p>
        </w:tc>
        <w:tc>
          <w:tcPr>
            <w:tcW w:w="863" w:type="dxa"/>
            <w:vMerge w:val="continue"/>
            <w:tcBorders>
              <w:top w:val="nil"/>
            </w:tcBorders>
          </w:tcPr>
          <w:p>
            <w:pPr>
              <w:ind w:firstLine="40"/>
              <w:rPr>
                <w:rFonts w:asciiTheme="minorHAnsi" w:hAnsiTheme="minorHAnsi" w:eastAsiaTheme="minorEastAsia"/>
                <w:sz w:val="2"/>
                <w:szCs w:val="2"/>
                <w:lang w:eastAsia="en-US"/>
              </w:rPr>
            </w:pPr>
          </w:p>
        </w:tc>
        <w:tc>
          <w:tcPr>
            <w:tcW w:w="1422" w:type="dxa"/>
            <w:vAlign w:val="center"/>
          </w:tcPr>
          <w:p>
            <w:pPr>
              <w:pStyle w:val="32"/>
              <w:spacing w:before="125"/>
              <w:ind w:right="16"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COD（mg/L）</w:t>
            </w:r>
          </w:p>
        </w:tc>
        <w:tc>
          <w:tcPr>
            <w:tcW w:w="992" w:type="dxa"/>
            <w:vAlign w:val="center"/>
          </w:tcPr>
          <w:p>
            <w:pPr>
              <w:pStyle w:val="32"/>
              <w:ind w:right="-58" w:firstLine="0" w:firstLineChars="0"/>
              <w:rPr>
                <w:rFonts w:asciiTheme="minorHAnsi" w:hAnsiTheme="minorHAnsi" w:eastAsiaTheme="minorEastAsia"/>
                <w:sz w:val="21"/>
              </w:rPr>
            </w:pPr>
            <w:r>
              <w:rPr>
                <w:rFonts w:hint="eastAsia" w:asciiTheme="minorHAnsi" w:hAnsiTheme="minorHAnsi" w:eastAsiaTheme="minorEastAsia"/>
                <w:spacing w:val="-23"/>
                <w:sz w:val="21"/>
              </w:rPr>
              <w:t>氨氮</w:t>
            </w:r>
            <w:r>
              <w:rPr>
                <w:rFonts w:hint="eastAsia" w:asciiTheme="minorHAnsi" w:hAnsiTheme="minorHAnsi" w:eastAsiaTheme="minorEastAsia"/>
                <w:spacing w:val="-13"/>
                <w:sz w:val="21"/>
              </w:rPr>
              <w:t>（</w:t>
            </w:r>
            <w:r>
              <w:rPr>
                <w:rFonts w:asciiTheme="minorHAnsi" w:hAnsiTheme="minorHAnsi" w:eastAsiaTheme="minorEastAsia"/>
                <w:spacing w:val="-13"/>
                <w:position w:val="1"/>
                <w:sz w:val="21"/>
              </w:rPr>
              <w:t>mg/L</w:t>
            </w:r>
            <w:r>
              <w:rPr>
                <w:rFonts w:hint="eastAsia" w:asciiTheme="minorHAnsi" w:hAnsiTheme="minorHAnsi" w:eastAsiaTheme="minorEastAsia"/>
                <w:spacing w:val="-13"/>
                <w:sz w:val="21"/>
              </w:rPr>
              <w:t>）</w:t>
            </w:r>
          </w:p>
        </w:tc>
        <w:tc>
          <w:tcPr>
            <w:tcW w:w="1134" w:type="dxa"/>
            <w:vAlign w:val="center"/>
          </w:tcPr>
          <w:p>
            <w:pPr>
              <w:pStyle w:val="32"/>
              <w:ind w:right="12" w:firstLine="0" w:firstLineChars="0"/>
              <w:rPr>
                <w:rFonts w:asciiTheme="minorHAnsi" w:hAnsiTheme="minorHAnsi" w:eastAsiaTheme="minorEastAsia"/>
                <w:sz w:val="21"/>
              </w:rPr>
            </w:pPr>
            <w:r>
              <w:rPr>
                <w:rFonts w:asciiTheme="minorHAnsi" w:hAnsiTheme="minorHAnsi" w:eastAsiaTheme="minorEastAsia"/>
                <w:position w:val="1"/>
                <w:sz w:val="21"/>
              </w:rPr>
              <w:t>C</w:t>
            </w:r>
            <w:r>
              <w:rPr>
                <w:rFonts w:hint="eastAsia" w:asciiTheme="minorHAnsi" w:hAnsiTheme="minorHAnsi" w:eastAsiaTheme="minorEastAsia"/>
                <w:position w:val="1"/>
                <w:sz w:val="21"/>
                <w:lang w:eastAsia="zh-CN"/>
              </w:rPr>
              <w:t>OD</w:t>
            </w:r>
            <w:r>
              <w:rPr>
                <w:rFonts w:hint="eastAsia" w:asciiTheme="minorHAnsi" w:hAnsiTheme="minorHAnsi" w:eastAsiaTheme="minorEastAsia"/>
                <w:sz w:val="21"/>
              </w:rPr>
              <w:t>（</w:t>
            </w:r>
            <w:r>
              <w:rPr>
                <w:rFonts w:asciiTheme="minorHAnsi" w:hAnsiTheme="minorHAnsi" w:eastAsiaTheme="minorEastAsia"/>
                <w:position w:val="1"/>
                <w:sz w:val="21"/>
              </w:rPr>
              <w:t>t/a</w:t>
            </w:r>
            <w:r>
              <w:rPr>
                <w:rFonts w:hint="eastAsia" w:asciiTheme="minorHAnsi" w:hAnsiTheme="minorHAnsi" w:eastAsiaTheme="minorEastAsia"/>
                <w:sz w:val="21"/>
              </w:rPr>
              <w:t>）</w:t>
            </w:r>
          </w:p>
        </w:tc>
        <w:tc>
          <w:tcPr>
            <w:tcW w:w="1276" w:type="dxa"/>
            <w:vAlign w:val="center"/>
          </w:tcPr>
          <w:p>
            <w:pPr>
              <w:pStyle w:val="32"/>
              <w:ind w:right="-15" w:firstLine="0" w:firstLineChars="0"/>
              <w:rPr>
                <w:rFonts w:asciiTheme="minorHAnsi" w:hAnsiTheme="minorHAnsi" w:eastAsiaTheme="minorEastAsia"/>
                <w:sz w:val="21"/>
              </w:rPr>
            </w:pPr>
            <w:r>
              <w:rPr>
                <w:rFonts w:hint="eastAsia" w:asciiTheme="minorHAnsi" w:hAnsiTheme="minorHAnsi" w:eastAsiaTheme="minorEastAsia"/>
                <w:sz w:val="21"/>
              </w:rPr>
              <w:t>氨氮</w:t>
            </w:r>
            <w:r>
              <w:rPr>
                <w:rFonts w:hint="eastAsia" w:asciiTheme="minorHAnsi" w:hAnsiTheme="minorHAnsi" w:eastAsiaTheme="minorEastAsia"/>
                <w:spacing w:val="-5"/>
                <w:sz w:val="21"/>
              </w:rPr>
              <w:t>（</w:t>
            </w:r>
            <w:r>
              <w:rPr>
                <w:rFonts w:asciiTheme="minorHAnsi" w:hAnsiTheme="minorHAnsi" w:eastAsiaTheme="minorEastAsia"/>
                <w:spacing w:val="-5"/>
                <w:position w:val="1"/>
                <w:sz w:val="21"/>
              </w:rPr>
              <w:t>t/a</w:t>
            </w:r>
            <w:r>
              <w:rPr>
                <w:rFonts w:hint="eastAsia" w:asciiTheme="minorHAnsi" w:hAnsiTheme="minorHAnsi" w:eastAsiaTheme="minorEastAsia"/>
                <w:spacing w:val="-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27"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1</w:t>
            </w:r>
          </w:p>
        </w:tc>
        <w:tc>
          <w:tcPr>
            <w:tcW w:w="3036" w:type="dxa"/>
            <w:vAlign w:val="center"/>
          </w:tcPr>
          <w:p>
            <w:pPr>
              <w:pStyle w:val="32"/>
              <w:spacing w:before="114"/>
              <w:ind w:right="16"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规模以上排污口</w:t>
            </w:r>
          </w:p>
        </w:tc>
        <w:tc>
          <w:tcPr>
            <w:tcW w:w="863"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4512.64</w:t>
            </w:r>
          </w:p>
        </w:tc>
        <w:tc>
          <w:tcPr>
            <w:tcW w:w="1422" w:type="dxa"/>
          </w:tcPr>
          <w:p>
            <w:pPr>
              <w:pStyle w:val="32"/>
              <w:spacing w:before="123"/>
              <w:ind w:firstLine="0" w:firstLineChars="0"/>
              <w:rPr>
                <w:rFonts w:asciiTheme="minorHAnsi" w:hAnsiTheme="minorHAnsi" w:eastAsiaTheme="minorEastAsia"/>
                <w:sz w:val="21"/>
                <w:lang w:eastAsia="zh-CN"/>
              </w:rPr>
            </w:pPr>
            <w:r>
              <w:rPr>
                <w:rFonts w:hint="eastAsia" w:asciiTheme="minorHAnsi" w:hAnsiTheme="minorHAnsi" w:eastAsiaTheme="minorEastAsia"/>
                <w:sz w:val="21"/>
                <w:lang w:eastAsia="zh-CN"/>
              </w:rPr>
              <w:t>50</w:t>
            </w:r>
          </w:p>
        </w:tc>
        <w:tc>
          <w:tcPr>
            <w:tcW w:w="99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5</w:t>
            </w:r>
          </w:p>
        </w:tc>
        <w:tc>
          <w:tcPr>
            <w:tcW w:w="1134"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2256.32</w:t>
            </w:r>
          </w:p>
        </w:tc>
        <w:tc>
          <w:tcPr>
            <w:tcW w:w="1276"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225.63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27"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2</w:t>
            </w:r>
          </w:p>
        </w:tc>
        <w:tc>
          <w:tcPr>
            <w:tcW w:w="3036" w:type="dxa"/>
            <w:vAlign w:val="center"/>
          </w:tcPr>
          <w:p>
            <w:pPr>
              <w:pStyle w:val="32"/>
              <w:spacing w:before="114"/>
              <w:ind w:right="16"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其他污水排放口</w:t>
            </w:r>
          </w:p>
        </w:tc>
        <w:tc>
          <w:tcPr>
            <w:tcW w:w="863"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335.06</w:t>
            </w:r>
          </w:p>
        </w:tc>
        <w:tc>
          <w:tcPr>
            <w:tcW w:w="142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400</w:t>
            </w:r>
          </w:p>
        </w:tc>
        <w:tc>
          <w:tcPr>
            <w:tcW w:w="99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40</w:t>
            </w:r>
          </w:p>
        </w:tc>
        <w:tc>
          <w:tcPr>
            <w:tcW w:w="1134" w:type="dxa"/>
          </w:tcPr>
          <w:p>
            <w:pPr>
              <w:pStyle w:val="32"/>
              <w:spacing w:before="126"/>
              <w:ind w:firstLine="0" w:firstLineChars="0"/>
              <w:rPr>
                <w:rFonts w:asciiTheme="minorHAnsi" w:hAnsiTheme="minorHAnsi" w:eastAsiaTheme="minorEastAsia"/>
                <w:color w:val="000000" w:themeColor="text1"/>
                <w:sz w:val="21"/>
                <w:lang w:eastAsia="zh-CN"/>
              </w:rPr>
            </w:pPr>
            <w:r>
              <w:rPr>
                <w:rFonts w:asciiTheme="minorHAnsi" w:hAnsiTheme="minorHAnsi" w:eastAsiaTheme="minorEastAsia"/>
                <w:color w:val="000000" w:themeColor="text1"/>
                <w:sz w:val="21"/>
                <w:lang w:eastAsia="zh-CN"/>
              </w:rPr>
              <w:t>13</w:t>
            </w:r>
            <w:r>
              <w:rPr>
                <w:rFonts w:hint="eastAsia" w:asciiTheme="minorHAnsi" w:hAnsiTheme="minorHAnsi" w:eastAsiaTheme="minorEastAsia"/>
                <w:color w:val="000000" w:themeColor="text1"/>
                <w:sz w:val="21"/>
                <w:lang w:eastAsia="zh-CN"/>
              </w:rPr>
              <w:t>40</w:t>
            </w:r>
            <w:r>
              <w:rPr>
                <w:rFonts w:asciiTheme="minorHAnsi" w:hAnsiTheme="minorHAnsi" w:eastAsiaTheme="minorEastAsia"/>
                <w:color w:val="000000" w:themeColor="text1"/>
                <w:sz w:val="21"/>
                <w:lang w:eastAsia="zh-CN"/>
              </w:rPr>
              <w:t>.24</w:t>
            </w:r>
          </w:p>
        </w:tc>
        <w:tc>
          <w:tcPr>
            <w:tcW w:w="1276" w:type="dxa"/>
          </w:tcPr>
          <w:p>
            <w:pPr>
              <w:pStyle w:val="32"/>
              <w:spacing w:before="126"/>
              <w:ind w:firstLine="0" w:firstLineChars="0"/>
              <w:rPr>
                <w:rFonts w:asciiTheme="minorHAnsi" w:hAnsiTheme="minorHAnsi" w:eastAsiaTheme="minorEastAsia"/>
                <w:color w:val="000000" w:themeColor="text1"/>
                <w:sz w:val="21"/>
                <w:lang w:eastAsia="zh-CN"/>
              </w:rPr>
            </w:pPr>
            <w:r>
              <w:rPr>
                <w:rFonts w:asciiTheme="minorHAnsi" w:hAnsiTheme="minorHAnsi" w:eastAsiaTheme="minorEastAsia"/>
                <w:color w:val="000000" w:themeColor="text1"/>
                <w:sz w:val="21"/>
                <w:lang w:eastAsia="zh-CN"/>
              </w:rPr>
              <w:t>13</w:t>
            </w:r>
            <w:r>
              <w:rPr>
                <w:rFonts w:hint="eastAsia" w:asciiTheme="minorHAnsi" w:hAnsiTheme="minorHAnsi" w:eastAsiaTheme="minorEastAsia"/>
                <w:color w:val="000000" w:themeColor="text1"/>
                <w:sz w:val="21"/>
                <w:lang w:eastAsia="zh-CN"/>
              </w:rPr>
              <w:t>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27"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3</w:t>
            </w:r>
          </w:p>
        </w:tc>
        <w:tc>
          <w:tcPr>
            <w:tcW w:w="3036" w:type="dxa"/>
            <w:vAlign w:val="center"/>
          </w:tcPr>
          <w:p>
            <w:pPr>
              <w:pStyle w:val="32"/>
              <w:spacing w:before="114"/>
              <w:ind w:right="16"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何家畔村污水处理厂排污口</w:t>
            </w:r>
          </w:p>
        </w:tc>
        <w:tc>
          <w:tcPr>
            <w:tcW w:w="863"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7.3</w:t>
            </w:r>
          </w:p>
        </w:tc>
        <w:tc>
          <w:tcPr>
            <w:tcW w:w="142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asciiTheme="minorHAnsi" w:hAnsiTheme="minorHAnsi" w:eastAsiaTheme="minorEastAsia"/>
                <w:color w:val="000000" w:themeColor="text1"/>
                <w:sz w:val="21"/>
                <w:lang w:eastAsia="zh-CN"/>
              </w:rPr>
              <w:t>50</w:t>
            </w:r>
          </w:p>
        </w:tc>
        <w:tc>
          <w:tcPr>
            <w:tcW w:w="99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asciiTheme="minorHAnsi" w:hAnsiTheme="minorHAnsi" w:eastAsiaTheme="minorEastAsia"/>
                <w:color w:val="000000" w:themeColor="text1"/>
                <w:sz w:val="21"/>
                <w:lang w:eastAsia="zh-CN"/>
              </w:rPr>
              <w:t>5</w:t>
            </w:r>
          </w:p>
        </w:tc>
        <w:tc>
          <w:tcPr>
            <w:tcW w:w="1134"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3.65</w:t>
            </w:r>
          </w:p>
        </w:tc>
        <w:tc>
          <w:tcPr>
            <w:tcW w:w="1276"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0.365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27"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4</w:t>
            </w:r>
          </w:p>
        </w:tc>
        <w:tc>
          <w:tcPr>
            <w:tcW w:w="3036" w:type="dxa"/>
            <w:vAlign w:val="center"/>
          </w:tcPr>
          <w:p>
            <w:pPr>
              <w:pStyle w:val="32"/>
              <w:spacing w:before="114"/>
              <w:ind w:right="16"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合计</w:t>
            </w:r>
          </w:p>
        </w:tc>
        <w:tc>
          <w:tcPr>
            <w:tcW w:w="863"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4855</w:t>
            </w:r>
          </w:p>
        </w:tc>
        <w:tc>
          <w:tcPr>
            <w:tcW w:w="142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w:t>
            </w:r>
          </w:p>
        </w:tc>
        <w:tc>
          <w:tcPr>
            <w:tcW w:w="992"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w:t>
            </w:r>
          </w:p>
        </w:tc>
        <w:tc>
          <w:tcPr>
            <w:tcW w:w="1134"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3600.21</w:t>
            </w:r>
          </w:p>
        </w:tc>
        <w:tc>
          <w:tcPr>
            <w:tcW w:w="1276" w:type="dxa"/>
            <w:vAlign w:val="center"/>
          </w:tcPr>
          <w:p>
            <w:pPr>
              <w:pStyle w:val="32"/>
              <w:spacing w:before="126"/>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360.21</w:t>
            </w:r>
          </w:p>
        </w:tc>
      </w:tr>
    </w:tbl>
    <w:p>
      <w:pPr>
        <w:widowControl/>
        <w:autoSpaceDE/>
        <w:autoSpaceDN/>
        <w:ind w:firstLine="0" w:firstLineChars="0"/>
        <w:rPr>
          <w:b/>
          <w:szCs w:val="24"/>
        </w:rPr>
      </w:pPr>
    </w:p>
    <w:p>
      <w:pPr>
        <w:pStyle w:val="4"/>
      </w:pPr>
      <w:r>
        <w:rPr>
          <w:rFonts w:hint="eastAsia"/>
        </w:rPr>
        <w:t>5.3.2水功能区纳污状况</w:t>
      </w:r>
    </w:p>
    <w:p>
      <w:pPr>
        <w:ind w:firstLine="480"/>
      </w:pPr>
      <w:r>
        <w:rPr>
          <w:rFonts w:hint="eastAsia"/>
        </w:rPr>
        <w:t>合水县何家畔镇何家畔村截污控源工程</w:t>
      </w:r>
      <w:r>
        <w:t>入河排污口所在水功能区为</w:t>
      </w:r>
      <w:r>
        <w:rPr>
          <w:rFonts w:hint="eastAsia"/>
          <w:color w:val="000000" w:themeColor="text1"/>
        </w:rPr>
        <w:t>马莲河环县、庆城、合水、宁县工业、农业用水区</w:t>
      </w:r>
      <w:r>
        <w:t>，各排污口及支流污染物入河量按</w:t>
      </w:r>
      <w:r>
        <w:rPr>
          <w:rFonts w:eastAsia="Times New Roman"/>
        </w:rPr>
        <w:t>2020</w:t>
      </w:r>
      <w:r>
        <w:t>年</w:t>
      </w:r>
      <w:r>
        <w:rPr>
          <w:rFonts w:hint="eastAsia"/>
        </w:rPr>
        <w:t>，</w:t>
      </w:r>
      <w:r>
        <w:rPr>
          <w:rFonts w:eastAsia="Times New Roman"/>
        </w:rPr>
        <w:t xml:space="preserve">COD </w:t>
      </w:r>
      <w:r>
        <w:t>和氨氮年均入河量</w:t>
      </w:r>
      <w:r>
        <w:rPr>
          <w:color w:val="000000" w:themeColor="text1"/>
        </w:rPr>
        <w:t>分别为</w:t>
      </w:r>
      <w:r>
        <w:rPr>
          <w:rFonts w:hint="eastAsia" w:eastAsiaTheme="minorEastAsia"/>
          <w:color w:val="000000" w:themeColor="text1"/>
        </w:rPr>
        <w:t>2529.09</w:t>
      </w:r>
      <w:r>
        <w:rPr>
          <w:rFonts w:eastAsia="Times New Roman"/>
          <w:color w:val="000000" w:themeColor="text1"/>
        </w:rPr>
        <w:t>t/a</w:t>
      </w:r>
      <w:r>
        <w:rPr>
          <w:color w:val="000000" w:themeColor="text1"/>
        </w:rPr>
        <w:t>，</w:t>
      </w:r>
      <w:r>
        <w:rPr>
          <w:rFonts w:hint="eastAsia" w:eastAsiaTheme="minorEastAsia"/>
          <w:color w:val="000000" w:themeColor="text1"/>
        </w:rPr>
        <w:t>292.42</w:t>
      </w:r>
      <w:r>
        <w:rPr>
          <w:rFonts w:eastAsia="Times New Roman"/>
          <w:color w:val="000000" w:themeColor="text1"/>
        </w:rPr>
        <w:t xml:space="preserve"> t/a</w:t>
      </w:r>
      <w:r>
        <w:rPr>
          <w:color w:val="000000" w:themeColor="text1"/>
        </w:rPr>
        <w:t>；按远期</w:t>
      </w:r>
      <w:r>
        <w:rPr>
          <w:rFonts w:eastAsia="Times New Roman"/>
          <w:color w:val="000000" w:themeColor="text1"/>
        </w:rPr>
        <w:t>20</w:t>
      </w:r>
      <w:r>
        <w:rPr>
          <w:rFonts w:hint="eastAsia" w:eastAsiaTheme="minorEastAsia"/>
          <w:color w:val="000000" w:themeColor="text1"/>
        </w:rPr>
        <w:t>30</w:t>
      </w:r>
      <w:r>
        <w:rPr>
          <w:color w:val="000000" w:themeColor="text1"/>
        </w:rPr>
        <w:t>年测算，</w:t>
      </w:r>
      <w:r>
        <w:rPr>
          <w:rFonts w:eastAsia="Times New Roman"/>
          <w:color w:val="000000" w:themeColor="text1"/>
        </w:rPr>
        <w:t>COD</w:t>
      </w:r>
      <w:r>
        <w:rPr>
          <w:color w:val="000000" w:themeColor="text1"/>
        </w:rPr>
        <w:t xml:space="preserve">和氨氮年均入河量分别为 </w:t>
      </w:r>
      <w:r>
        <w:rPr>
          <w:rFonts w:hint="eastAsia" w:eastAsiaTheme="minorEastAsia"/>
          <w:color w:val="000000" w:themeColor="text1"/>
        </w:rPr>
        <w:t>3600.21</w:t>
      </w:r>
      <w:r>
        <w:rPr>
          <w:rFonts w:eastAsia="Times New Roman"/>
          <w:color w:val="000000" w:themeColor="text1"/>
        </w:rPr>
        <w:t>t/a</w:t>
      </w:r>
      <w:r>
        <w:rPr>
          <w:color w:val="000000" w:themeColor="text1"/>
        </w:rPr>
        <w:t>，</w:t>
      </w:r>
      <w:r>
        <w:rPr>
          <w:rFonts w:hint="eastAsia" w:eastAsiaTheme="minorEastAsia"/>
          <w:color w:val="000000" w:themeColor="text1"/>
        </w:rPr>
        <w:t>360.21</w:t>
      </w:r>
      <w:r>
        <w:rPr>
          <w:rFonts w:eastAsia="Times New Roman"/>
          <w:color w:val="000000" w:themeColor="text1"/>
        </w:rPr>
        <w:t>t/a</w:t>
      </w:r>
      <w:r>
        <w:rPr>
          <w:rFonts w:hint="eastAsia"/>
        </w:rPr>
        <w:t>。</w:t>
      </w:r>
    </w:p>
    <w:p>
      <w:pPr>
        <w:ind w:firstLine="480"/>
      </w:pPr>
      <w:r>
        <w:rPr>
          <w:rFonts w:hint="eastAsia"/>
        </w:rPr>
        <w:t>根据马莲河水功能区的纳污能力和污染物入河量，综合考虑马莲河水质状况、当 地技术经济条件和经济社会发展，在确定时间内，允许污染物进入水功能区的最大数 量，称为限制排污总量。限制排污总量是分阶段实施水功能区水质管理的依据。考虑中水回用的条件下，同时到2030年，在马莲河附近污水直排口封堵并网收集处理，合水县何家畔镇何家畔村截污控源工程入河排污口设置满足水功能区限排总量的要求，具体情况见表5.3-3。</w:t>
      </w:r>
    </w:p>
    <w:p>
      <w:pPr>
        <w:ind w:firstLine="480"/>
      </w:pPr>
    </w:p>
    <w:p>
      <w:pPr>
        <w:ind w:firstLine="480"/>
      </w:pPr>
    </w:p>
    <w:p>
      <w:pPr>
        <w:ind w:firstLine="480"/>
      </w:pPr>
    </w:p>
    <w:p>
      <w:pPr>
        <w:ind w:firstLine="480"/>
      </w:pPr>
    </w:p>
    <w:p>
      <w:pPr>
        <w:ind w:firstLine="0" w:firstLineChars="0"/>
        <w:jc w:val="center"/>
        <w:rPr>
          <w:b/>
          <w:sz w:val="21"/>
        </w:rPr>
      </w:pPr>
      <w:r>
        <w:rPr>
          <w:rFonts w:hint="eastAsia"/>
          <w:b/>
          <w:sz w:val="21"/>
        </w:rPr>
        <w:t>表</w:t>
      </w:r>
      <w:r>
        <w:rPr>
          <w:b/>
          <w:sz w:val="21"/>
        </w:rPr>
        <w:t xml:space="preserve"> 5.3-</w:t>
      </w:r>
      <w:r>
        <w:rPr>
          <w:rFonts w:hint="eastAsia"/>
          <w:b/>
          <w:sz w:val="21"/>
        </w:rPr>
        <w:t>3  纳污能力及限排量统计表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011"/>
        <w:gridCol w:w="2106"/>
        <w:gridCol w:w="899"/>
        <w:gridCol w:w="794"/>
        <w:gridCol w:w="899"/>
        <w:gridCol w:w="794"/>
        <w:gridCol w:w="899"/>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spacing w:line="240" w:lineRule="auto"/>
              <w:ind w:firstLine="0" w:firstLineChars="0"/>
              <w:jc w:val="center"/>
              <w:rPr>
                <w:sz w:val="21"/>
                <w:szCs w:val="21"/>
              </w:rPr>
            </w:pPr>
            <w:r>
              <w:rPr>
                <w:rFonts w:hint="eastAsia"/>
                <w:sz w:val="21"/>
                <w:szCs w:val="21"/>
              </w:rPr>
              <w:t>所属水</w:t>
            </w:r>
          </w:p>
          <w:p>
            <w:pPr>
              <w:spacing w:line="240" w:lineRule="auto"/>
              <w:ind w:firstLine="0" w:firstLineChars="0"/>
              <w:jc w:val="center"/>
              <w:rPr>
                <w:sz w:val="21"/>
                <w:szCs w:val="21"/>
              </w:rPr>
            </w:pPr>
            <w:r>
              <w:rPr>
                <w:rFonts w:hint="eastAsia"/>
                <w:sz w:val="21"/>
                <w:szCs w:val="21"/>
              </w:rPr>
              <w:t>功能区</w:t>
            </w:r>
          </w:p>
        </w:tc>
        <w:tc>
          <w:tcPr>
            <w:tcW w:w="1011" w:type="dxa"/>
            <w:vMerge w:val="restart"/>
            <w:vAlign w:val="center"/>
          </w:tcPr>
          <w:p>
            <w:pPr>
              <w:spacing w:line="240" w:lineRule="auto"/>
              <w:ind w:firstLine="0" w:firstLineChars="0"/>
              <w:jc w:val="center"/>
              <w:rPr>
                <w:sz w:val="21"/>
                <w:szCs w:val="21"/>
              </w:rPr>
            </w:pPr>
            <w:r>
              <w:rPr>
                <w:rFonts w:hint="eastAsia"/>
                <w:sz w:val="21"/>
                <w:szCs w:val="21"/>
              </w:rPr>
              <w:t>阶段</w:t>
            </w:r>
          </w:p>
        </w:tc>
        <w:tc>
          <w:tcPr>
            <w:tcW w:w="0" w:type="auto"/>
            <w:vMerge w:val="restart"/>
            <w:vAlign w:val="center"/>
          </w:tcPr>
          <w:p>
            <w:pPr>
              <w:spacing w:line="240" w:lineRule="auto"/>
              <w:ind w:firstLine="0" w:firstLineChars="0"/>
              <w:jc w:val="center"/>
              <w:rPr>
                <w:sz w:val="21"/>
                <w:szCs w:val="21"/>
              </w:rPr>
            </w:pPr>
            <w:r>
              <w:rPr>
                <w:rFonts w:hint="eastAsia"/>
                <w:sz w:val="21"/>
                <w:szCs w:val="21"/>
              </w:rPr>
              <w:t>设计条件</w:t>
            </w:r>
          </w:p>
        </w:tc>
        <w:tc>
          <w:tcPr>
            <w:tcW w:w="0" w:type="auto"/>
            <w:gridSpan w:val="2"/>
            <w:vAlign w:val="center"/>
          </w:tcPr>
          <w:p>
            <w:pPr>
              <w:spacing w:line="240" w:lineRule="auto"/>
              <w:ind w:firstLine="0" w:firstLineChars="0"/>
              <w:jc w:val="center"/>
              <w:rPr>
                <w:sz w:val="21"/>
                <w:szCs w:val="21"/>
              </w:rPr>
            </w:pPr>
            <w:r>
              <w:rPr>
                <w:rFonts w:hint="eastAsia"/>
                <w:sz w:val="21"/>
                <w:szCs w:val="21"/>
              </w:rPr>
              <w:t>纳污能力</w:t>
            </w:r>
          </w:p>
        </w:tc>
        <w:tc>
          <w:tcPr>
            <w:tcW w:w="0" w:type="auto"/>
            <w:gridSpan w:val="2"/>
            <w:vAlign w:val="center"/>
          </w:tcPr>
          <w:p>
            <w:pPr>
              <w:spacing w:line="240" w:lineRule="auto"/>
              <w:ind w:firstLine="0" w:firstLineChars="0"/>
              <w:jc w:val="center"/>
              <w:rPr>
                <w:sz w:val="21"/>
                <w:szCs w:val="21"/>
              </w:rPr>
            </w:pPr>
            <w:r>
              <w:rPr>
                <w:rFonts w:hint="eastAsia"/>
                <w:sz w:val="21"/>
                <w:szCs w:val="21"/>
              </w:rPr>
              <w:t>限排总量</w:t>
            </w:r>
          </w:p>
        </w:tc>
        <w:tc>
          <w:tcPr>
            <w:tcW w:w="0" w:type="auto"/>
            <w:gridSpan w:val="2"/>
            <w:vAlign w:val="center"/>
          </w:tcPr>
          <w:p>
            <w:pPr>
              <w:spacing w:line="240" w:lineRule="auto"/>
              <w:ind w:firstLine="0" w:firstLineChars="0"/>
              <w:jc w:val="center"/>
              <w:rPr>
                <w:sz w:val="21"/>
                <w:szCs w:val="21"/>
              </w:rPr>
            </w:pPr>
            <w:r>
              <w:rPr>
                <w:rFonts w:hint="eastAsia"/>
                <w:sz w:val="21"/>
                <w:szCs w:val="21"/>
              </w:rPr>
              <w:t>排污口及支流</w:t>
            </w:r>
          </w:p>
          <w:p>
            <w:pPr>
              <w:spacing w:line="240" w:lineRule="auto"/>
              <w:ind w:firstLine="0" w:firstLineChars="0"/>
              <w:jc w:val="center"/>
              <w:rPr>
                <w:sz w:val="21"/>
                <w:szCs w:val="21"/>
              </w:rPr>
            </w:pPr>
            <w:r>
              <w:rPr>
                <w:rFonts w:hint="eastAsia"/>
                <w:sz w:val="21"/>
                <w:szCs w:val="21"/>
              </w:rPr>
              <w:t>污染物入河量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240" w:lineRule="auto"/>
              <w:ind w:firstLine="0" w:firstLineChars="0"/>
              <w:jc w:val="center"/>
              <w:rPr>
                <w:sz w:val="21"/>
                <w:szCs w:val="21"/>
              </w:rPr>
            </w:pPr>
          </w:p>
        </w:tc>
        <w:tc>
          <w:tcPr>
            <w:tcW w:w="1011" w:type="dxa"/>
            <w:vMerge w:val="continue"/>
          </w:tcPr>
          <w:p>
            <w:pPr>
              <w:spacing w:line="240" w:lineRule="auto"/>
              <w:ind w:firstLine="0" w:firstLineChars="0"/>
              <w:jc w:val="center"/>
              <w:rPr>
                <w:sz w:val="21"/>
                <w:szCs w:val="21"/>
              </w:rPr>
            </w:pPr>
          </w:p>
        </w:tc>
        <w:tc>
          <w:tcPr>
            <w:tcW w:w="0" w:type="auto"/>
            <w:vMerge w:val="continue"/>
          </w:tcPr>
          <w:p>
            <w:pPr>
              <w:spacing w:line="240" w:lineRule="auto"/>
              <w:ind w:firstLine="0" w:firstLineChars="0"/>
              <w:jc w:val="center"/>
              <w:rPr>
                <w:sz w:val="21"/>
                <w:szCs w:val="21"/>
              </w:rPr>
            </w:pPr>
          </w:p>
        </w:tc>
        <w:tc>
          <w:tcPr>
            <w:tcW w:w="0" w:type="auto"/>
            <w:vAlign w:val="center"/>
          </w:tcPr>
          <w:p>
            <w:pPr>
              <w:spacing w:line="240" w:lineRule="auto"/>
              <w:ind w:firstLine="0" w:firstLineChars="0"/>
              <w:jc w:val="center"/>
              <w:rPr>
                <w:sz w:val="21"/>
                <w:szCs w:val="21"/>
              </w:rPr>
            </w:pPr>
            <w:r>
              <w:rPr>
                <w:rFonts w:hint="eastAsia"/>
                <w:sz w:val="21"/>
                <w:szCs w:val="21"/>
              </w:rPr>
              <w:t>COD</w:t>
            </w:r>
          </w:p>
        </w:tc>
        <w:tc>
          <w:tcPr>
            <w:tcW w:w="0" w:type="auto"/>
            <w:vAlign w:val="center"/>
          </w:tcPr>
          <w:p>
            <w:pPr>
              <w:spacing w:line="240" w:lineRule="auto"/>
              <w:ind w:firstLine="0" w:firstLineChars="0"/>
              <w:jc w:val="center"/>
              <w:rPr>
                <w:sz w:val="21"/>
                <w:szCs w:val="21"/>
              </w:rPr>
            </w:pPr>
            <w:r>
              <w:rPr>
                <w:rFonts w:hint="eastAsia"/>
                <w:sz w:val="21"/>
                <w:szCs w:val="21"/>
              </w:rPr>
              <w:t>氨氮</w:t>
            </w:r>
          </w:p>
        </w:tc>
        <w:tc>
          <w:tcPr>
            <w:tcW w:w="0" w:type="auto"/>
            <w:vAlign w:val="center"/>
          </w:tcPr>
          <w:p>
            <w:pPr>
              <w:spacing w:line="240" w:lineRule="auto"/>
              <w:ind w:firstLine="0" w:firstLineChars="0"/>
              <w:jc w:val="center"/>
              <w:rPr>
                <w:sz w:val="21"/>
                <w:szCs w:val="21"/>
              </w:rPr>
            </w:pPr>
            <w:r>
              <w:rPr>
                <w:rFonts w:hint="eastAsia"/>
                <w:sz w:val="21"/>
                <w:szCs w:val="21"/>
              </w:rPr>
              <w:t>COD</w:t>
            </w:r>
          </w:p>
        </w:tc>
        <w:tc>
          <w:tcPr>
            <w:tcW w:w="0" w:type="auto"/>
            <w:vAlign w:val="center"/>
          </w:tcPr>
          <w:p>
            <w:pPr>
              <w:spacing w:line="240" w:lineRule="auto"/>
              <w:ind w:firstLine="0" w:firstLineChars="0"/>
              <w:jc w:val="center"/>
              <w:rPr>
                <w:sz w:val="21"/>
                <w:szCs w:val="21"/>
              </w:rPr>
            </w:pPr>
            <w:r>
              <w:rPr>
                <w:rFonts w:hint="eastAsia"/>
                <w:sz w:val="21"/>
                <w:szCs w:val="21"/>
              </w:rPr>
              <w:t>氨氮</w:t>
            </w:r>
          </w:p>
        </w:tc>
        <w:tc>
          <w:tcPr>
            <w:tcW w:w="0" w:type="auto"/>
            <w:vAlign w:val="center"/>
          </w:tcPr>
          <w:p>
            <w:pPr>
              <w:spacing w:line="240" w:lineRule="auto"/>
              <w:ind w:firstLine="0" w:firstLineChars="0"/>
              <w:jc w:val="center"/>
              <w:rPr>
                <w:sz w:val="21"/>
                <w:szCs w:val="21"/>
              </w:rPr>
            </w:pPr>
            <w:r>
              <w:rPr>
                <w:rFonts w:hint="eastAsia"/>
                <w:sz w:val="21"/>
                <w:szCs w:val="21"/>
              </w:rPr>
              <w:t>COD</w:t>
            </w:r>
          </w:p>
        </w:tc>
        <w:tc>
          <w:tcPr>
            <w:tcW w:w="0" w:type="auto"/>
            <w:vAlign w:val="center"/>
          </w:tcPr>
          <w:p>
            <w:pPr>
              <w:spacing w:line="240" w:lineRule="auto"/>
              <w:ind w:firstLine="0" w:firstLineChars="0"/>
              <w:jc w:val="center"/>
              <w:rPr>
                <w:sz w:val="21"/>
                <w:szCs w:val="21"/>
              </w:rPr>
            </w:pPr>
            <w:r>
              <w:rPr>
                <w:rFonts w:hint="eastAsia"/>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spacing w:line="240" w:lineRule="auto"/>
              <w:ind w:firstLine="0" w:firstLineChars="0"/>
              <w:jc w:val="center"/>
              <w:rPr>
                <w:sz w:val="21"/>
                <w:szCs w:val="21"/>
              </w:rPr>
            </w:pPr>
          </w:p>
          <w:p>
            <w:pPr>
              <w:spacing w:line="240" w:lineRule="auto"/>
              <w:ind w:firstLine="0" w:firstLineChars="0"/>
              <w:jc w:val="center"/>
              <w:rPr>
                <w:sz w:val="21"/>
                <w:szCs w:val="21"/>
              </w:rPr>
            </w:pPr>
            <w:r>
              <w:rPr>
                <w:rFonts w:hint="eastAsia"/>
                <w:sz w:val="21"/>
                <w:szCs w:val="21"/>
              </w:rPr>
              <w:t>马莲河</w:t>
            </w:r>
          </w:p>
          <w:p>
            <w:pPr>
              <w:spacing w:line="240" w:lineRule="auto"/>
              <w:ind w:firstLine="0" w:firstLineChars="0"/>
              <w:jc w:val="center"/>
              <w:rPr>
                <w:sz w:val="21"/>
                <w:szCs w:val="21"/>
              </w:rPr>
            </w:pPr>
            <w:r>
              <w:rPr>
                <w:rFonts w:hint="eastAsia"/>
                <w:sz w:val="21"/>
                <w:szCs w:val="21"/>
              </w:rPr>
              <w:t>环县、庆</w:t>
            </w:r>
          </w:p>
          <w:p>
            <w:pPr>
              <w:spacing w:line="240" w:lineRule="auto"/>
              <w:ind w:firstLine="0" w:firstLineChars="0"/>
              <w:jc w:val="center"/>
              <w:rPr>
                <w:sz w:val="21"/>
                <w:szCs w:val="21"/>
              </w:rPr>
            </w:pPr>
            <w:r>
              <w:rPr>
                <w:rFonts w:hint="eastAsia"/>
                <w:sz w:val="21"/>
                <w:szCs w:val="21"/>
              </w:rPr>
              <w:t>城、合水、</w:t>
            </w:r>
          </w:p>
          <w:p>
            <w:pPr>
              <w:spacing w:line="240" w:lineRule="auto"/>
              <w:ind w:firstLine="0" w:firstLineChars="0"/>
              <w:jc w:val="center"/>
              <w:rPr>
                <w:sz w:val="21"/>
                <w:szCs w:val="21"/>
              </w:rPr>
            </w:pPr>
            <w:r>
              <w:rPr>
                <w:rFonts w:hint="eastAsia"/>
                <w:sz w:val="21"/>
                <w:szCs w:val="21"/>
              </w:rPr>
              <w:t>宁县工</w:t>
            </w:r>
          </w:p>
          <w:p>
            <w:pPr>
              <w:spacing w:line="240" w:lineRule="auto"/>
              <w:ind w:firstLine="0" w:firstLineChars="0"/>
              <w:jc w:val="center"/>
              <w:rPr>
                <w:sz w:val="21"/>
                <w:szCs w:val="21"/>
              </w:rPr>
            </w:pPr>
            <w:r>
              <w:rPr>
                <w:rFonts w:hint="eastAsia"/>
                <w:sz w:val="21"/>
                <w:szCs w:val="21"/>
              </w:rPr>
              <w:t>业、农</w:t>
            </w:r>
          </w:p>
          <w:p>
            <w:pPr>
              <w:spacing w:line="240" w:lineRule="auto"/>
              <w:ind w:firstLine="0" w:firstLineChars="0"/>
              <w:jc w:val="center"/>
              <w:rPr>
                <w:sz w:val="21"/>
                <w:szCs w:val="21"/>
              </w:rPr>
            </w:pPr>
            <w:r>
              <w:rPr>
                <w:rFonts w:hint="eastAsia"/>
                <w:sz w:val="21"/>
                <w:szCs w:val="21"/>
              </w:rPr>
              <w:t>业用水</w:t>
            </w:r>
          </w:p>
          <w:p>
            <w:pPr>
              <w:spacing w:line="240" w:lineRule="auto"/>
              <w:ind w:firstLine="0" w:firstLineChars="0"/>
              <w:jc w:val="center"/>
              <w:rPr>
                <w:sz w:val="21"/>
                <w:szCs w:val="21"/>
              </w:rPr>
            </w:pPr>
            <w:r>
              <w:rPr>
                <w:rFonts w:hint="eastAsia"/>
                <w:sz w:val="21"/>
                <w:szCs w:val="21"/>
              </w:rPr>
              <w:t>区</w:t>
            </w:r>
          </w:p>
        </w:tc>
        <w:tc>
          <w:tcPr>
            <w:tcW w:w="1011" w:type="dxa"/>
            <w:vMerge w:val="restart"/>
            <w:vAlign w:val="center"/>
          </w:tcPr>
          <w:p>
            <w:pPr>
              <w:spacing w:line="240" w:lineRule="auto"/>
              <w:ind w:firstLine="0" w:firstLineChars="0"/>
              <w:jc w:val="center"/>
              <w:rPr>
                <w:sz w:val="21"/>
                <w:szCs w:val="21"/>
              </w:rPr>
            </w:pPr>
            <w:r>
              <w:rPr>
                <w:rFonts w:hint="eastAsia"/>
                <w:sz w:val="21"/>
                <w:szCs w:val="21"/>
              </w:rPr>
              <w:t>2020年</w:t>
            </w:r>
          </w:p>
        </w:tc>
        <w:tc>
          <w:tcPr>
            <w:tcW w:w="0" w:type="auto"/>
          </w:tcPr>
          <w:p>
            <w:pPr>
              <w:spacing w:line="240" w:lineRule="auto"/>
              <w:ind w:firstLine="0" w:firstLineChars="0"/>
              <w:jc w:val="center"/>
              <w:rPr>
                <w:sz w:val="21"/>
                <w:szCs w:val="21"/>
              </w:rPr>
            </w:pPr>
            <w:r>
              <w:rPr>
                <w:rFonts w:hint="eastAsia"/>
                <w:sz w:val="21"/>
                <w:szCs w:val="21"/>
              </w:rPr>
              <w:t>不考虑中水回用</w:t>
            </w:r>
          </w:p>
        </w:tc>
        <w:tc>
          <w:tcPr>
            <w:tcW w:w="0" w:type="auto"/>
            <w:vMerge w:val="restart"/>
            <w:vAlign w:val="center"/>
          </w:tcPr>
          <w:p>
            <w:pPr>
              <w:spacing w:line="240" w:lineRule="auto"/>
              <w:ind w:firstLine="0" w:firstLineChars="0"/>
              <w:jc w:val="center"/>
              <w:rPr>
                <w:sz w:val="21"/>
                <w:szCs w:val="21"/>
              </w:rPr>
            </w:pPr>
            <w:r>
              <w:rPr>
                <w:rFonts w:hint="eastAsia"/>
                <w:sz w:val="21"/>
                <w:szCs w:val="21"/>
              </w:rPr>
              <w:t>3901.10</w:t>
            </w:r>
          </w:p>
        </w:tc>
        <w:tc>
          <w:tcPr>
            <w:tcW w:w="0" w:type="auto"/>
            <w:vMerge w:val="restart"/>
            <w:vAlign w:val="center"/>
          </w:tcPr>
          <w:p>
            <w:pPr>
              <w:spacing w:line="240" w:lineRule="auto"/>
              <w:ind w:firstLine="0" w:firstLineChars="0"/>
              <w:jc w:val="center"/>
              <w:rPr>
                <w:sz w:val="21"/>
                <w:szCs w:val="21"/>
              </w:rPr>
            </w:pPr>
            <w:r>
              <w:rPr>
                <w:rFonts w:hint="eastAsia"/>
                <w:sz w:val="21"/>
                <w:szCs w:val="21"/>
              </w:rPr>
              <w:t>125.10</w:t>
            </w:r>
          </w:p>
        </w:tc>
        <w:tc>
          <w:tcPr>
            <w:tcW w:w="0" w:type="auto"/>
            <w:vMerge w:val="restart"/>
            <w:vAlign w:val="center"/>
          </w:tcPr>
          <w:p>
            <w:pPr>
              <w:spacing w:line="240" w:lineRule="auto"/>
              <w:ind w:firstLine="0" w:firstLineChars="0"/>
              <w:jc w:val="center"/>
              <w:rPr>
                <w:sz w:val="21"/>
                <w:szCs w:val="21"/>
              </w:rPr>
            </w:pPr>
            <w:r>
              <w:rPr>
                <w:rFonts w:hint="eastAsia"/>
                <w:sz w:val="21"/>
                <w:szCs w:val="21"/>
              </w:rPr>
              <w:t>3721.70</w:t>
            </w:r>
          </w:p>
        </w:tc>
        <w:tc>
          <w:tcPr>
            <w:tcW w:w="0" w:type="auto"/>
            <w:vMerge w:val="restart"/>
            <w:vAlign w:val="center"/>
          </w:tcPr>
          <w:p>
            <w:pPr>
              <w:spacing w:line="240" w:lineRule="auto"/>
              <w:ind w:firstLine="0" w:firstLineChars="0"/>
              <w:jc w:val="center"/>
              <w:rPr>
                <w:sz w:val="21"/>
                <w:szCs w:val="21"/>
              </w:rPr>
            </w:pPr>
            <w:r>
              <w:rPr>
                <w:rFonts w:hint="eastAsia"/>
                <w:sz w:val="21"/>
                <w:szCs w:val="21"/>
              </w:rPr>
              <w:t>202.10</w:t>
            </w:r>
          </w:p>
        </w:tc>
        <w:tc>
          <w:tcPr>
            <w:tcW w:w="0" w:type="auto"/>
            <w:vAlign w:val="center"/>
          </w:tcPr>
          <w:p>
            <w:pPr>
              <w:spacing w:line="240" w:lineRule="auto"/>
              <w:ind w:firstLine="0" w:firstLineChars="0"/>
              <w:jc w:val="center"/>
              <w:rPr>
                <w:sz w:val="21"/>
                <w:szCs w:val="21"/>
              </w:rPr>
            </w:pPr>
            <w:r>
              <w:rPr>
                <w:rFonts w:hint="eastAsia"/>
                <w:sz w:val="21"/>
                <w:szCs w:val="21"/>
              </w:rPr>
              <w:t>2529.09</w:t>
            </w:r>
          </w:p>
        </w:tc>
        <w:tc>
          <w:tcPr>
            <w:tcW w:w="0" w:type="auto"/>
            <w:vAlign w:val="center"/>
          </w:tcPr>
          <w:p>
            <w:pPr>
              <w:spacing w:line="240" w:lineRule="auto"/>
              <w:ind w:firstLine="0" w:firstLineChars="0"/>
              <w:jc w:val="center"/>
              <w:rPr>
                <w:sz w:val="21"/>
                <w:szCs w:val="21"/>
              </w:rPr>
            </w:pPr>
            <w:r>
              <w:rPr>
                <w:rFonts w:hint="eastAsia"/>
                <w:sz w:val="21"/>
                <w:szCs w:val="21"/>
              </w:rPr>
              <w:t>292.42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240" w:lineRule="auto"/>
              <w:ind w:firstLine="0" w:firstLineChars="0"/>
              <w:jc w:val="center"/>
              <w:rPr>
                <w:sz w:val="21"/>
                <w:szCs w:val="21"/>
              </w:rPr>
            </w:pPr>
          </w:p>
        </w:tc>
        <w:tc>
          <w:tcPr>
            <w:tcW w:w="1011" w:type="dxa"/>
            <w:vMerge w:val="continue"/>
            <w:vAlign w:val="center"/>
          </w:tcPr>
          <w:p>
            <w:pPr>
              <w:spacing w:line="240" w:lineRule="auto"/>
              <w:ind w:firstLine="0" w:firstLineChars="0"/>
              <w:jc w:val="center"/>
              <w:rPr>
                <w:sz w:val="21"/>
                <w:szCs w:val="21"/>
              </w:rPr>
            </w:pPr>
          </w:p>
        </w:tc>
        <w:tc>
          <w:tcPr>
            <w:tcW w:w="0" w:type="auto"/>
          </w:tcPr>
          <w:p>
            <w:pPr>
              <w:spacing w:line="240" w:lineRule="auto"/>
              <w:ind w:firstLine="0" w:firstLineChars="0"/>
              <w:jc w:val="center"/>
              <w:rPr>
                <w:sz w:val="21"/>
                <w:szCs w:val="21"/>
              </w:rPr>
            </w:pPr>
            <w:r>
              <w:rPr>
                <w:rFonts w:hint="eastAsia"/>
                <w:sz w:val="21"/>
                <w:szCs w:val="21"/>
              </w:rPr>
              <w:t>考虑县城污水厂中水</w:t>
            </w:r>
          </w:p>
          <w:p>
            <w:pPr>
              <w:spacing w:line="240" w:lineRule="auto"/>
              <w:ind w:firstLine="0" w:firstLineChars="0"/>
              <w:jc w:val="center"/>
              <w:rPr>
                <w:sz w:val="21"/>
                <w:szCs w:val="21"/>
              </w:rPr>
            </w:pPr>
            <w:r>
              <w:rPr>
                <w:rFonts w:hint="eastAsia"/>
                <w:sz w:val="21"/>
                <w:szCs w:val="21"/>
              </w:rPr>
              <w:t>回用20%</w:t>
            </w:r>
          </w:p>
        </w:tc>
        <w:tc>
          <w:tcPr>
            <w:tcW w:w="0" w:type="auto"/>
            <w:vMerge w:val="continue"/>
            <w:vAlign w:val="center"/>
          </w:tcPr>
          <w:p>
            <w:pPr>
              <w:spacing w:line="240" w:lineRule="auto"/>
              <w:ind w:firstLine="0" w:firstLineChars="0"/>
              <w:jc w:val="center"/>
              <w:rPr>
                <w:sz w:val="21"/>
                <w:szCs w:val="21"/>
              </w:rPr>
            </w:pPr>
          </w:p>
        </w:tc>
        <w:tc>
          <w:tcPr>
            <w:tcW w:w="0" w:type="auto"/>
            <w:vMerge w:val="continue"/>
            <w:vAlign w:val="center"/>
          </w:tcPr>
          <w:p>
            <w:pPr>
              <w:spacing w:line="240" w:lineRule="auto"/>
              <w:ind w:firstLine="0" w:firstLineChars="0"/>
              <w:jc w:val="center"/>
              <w:rPr>
                <w:sz w:val="21"/>
                <w:szCs w:val="21"/>
              </w:rPr>
            </w:pPr>
          </w:p>
        </w:tc>
        <w:tc>
          <w:tcPr>
            <w:tcW w:w="0" w:type="auto"/>
            <w:vMerge w:val="continue"/>
            <w:vAlign w:val="center"/>
          </w:tcPr>
          <w:p>
            <w:pPr>
              <w:spacing w:line="240" w:lineRule="auto"/>
              <w:ind w:firstLine="0" w:firstLineChars="0"/>
              <w:jc w:val="center"/>
              <w:rPr>
                <w:sz w:val="21"/>
                <w:szCs w:val="21"/>
              </w:rPr>
            </w:pPr>
          </w:p>
        </w:tc>
        <w:tc>
          <w:tcPr>
            <w:tcW w:w="0" w:type="auto"/>
            <w:vMerge w:val="continue"/>
            <w:vAlign w:val="center"/>
          </w:tcPr>
          <w:p>
            <w:pPr>
              <w:spacing w:line="240" w:lineRule="auto"/>
              <w:ind w:firstLine="0" w:firstLineChars="0"/>
              <w:jc w:val="center"/>
              <w:rPr>
                <w:sz w:val="21"/>
                <w:szCs w:val="21"/>
              </w:rPr>
            </w:pPr>
          </w:p>
        </w:tc>
        <w:tc>
          <w:tcPr>
            <w:tcW w:w="0" w:type="auto"/>
            <w:vAlign w:val="center"/>
          </w:tcPr>
          <w:p>
            <w:pPr>
              <w:spacing w:line="240" w:lineRule="auto"/>
              <w:ind w:firstLine="0" w:firstLineChars="0"/>
              <w:jc w:val="center"/>
              <w:rPr>
                <w:sz w:val="21"/>
                <w:szCs w:val="21"/>
              </w:rPr>
            </w:pPr>
            <w:r>
              <w:rPr>
                <w:rFonts w:hint="eastAsia"/>
                <w:sz w:val="21"/>
                <w:szCs w:val="21"/>
              </w:rPr>
              <w:t>2288.40</w:t>
            </w:r>
          </w:p>
        </w:tc>
        <w:tc>
          <w:tcPr>
            <w:tcW w:w="0" w:type="auto"/>
            <w:vAlign w:val="center"/>
          </w:tcPr>
          <w:p>
            <w:pPr>
              <w:spacing w:line="240" w:lineRule="auto"/>
              <w:ind w:firstLine="0" w:firstLineChars="0"/>
              <w:jc w:val="center"/>
              <w:rPr>
                <w:sz w:val="21"/>
                <w:szCs w:val="21"/>
              </w:rPr>
            </w:pPr>
            <w:r>
              <w:rPr>
                <w:rFonts w:hint="eastAsia"/>
                <w:sz w:val="21"/>
                <w:szCs w:val="21"/>
              </w:rPr>
              <w:t>260.45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240" w:lineRule="auto"/>
              <w:ind w:firstLine="0" w:firstLineChars="0"/>
              <w:jc w:val="center"/>
              <w:rPr>
                <w:sz w:val="21"/>
                <w:szCs w:val="21"/>
              </w:rPr>
            </w:pPr>
          </w:p>
        </w:tc>
        <w:tc>
          <w:tcPr>
            <w:tcW w:w="1011" w:type="dxa"/>
            <w:vMerge w:val="continue"/>
            <w:vAlign w:val="center"/>
          </w:tcPr>
          <w:p>
            <w:pPr>
              <w:spacing w:line="240" w:lineRule="auto"/>
              <w:ind w:firstLine="0" w:firstLineChars="0"/>
              <w:jc w:val="center"/>
              <w:rPr>
                <w:sz w:val="21"/>
                <w:szCs w:val="21"/>
              </w:rPr>
            </w:pPr>
          </w:p>
        </w:tc>
        <w:tc>
          <w:tcPr>
            <w:tcW w:w="0" w:type="auto"/>
          </w:tcPr>
          <w:p>
            <w:pPr>
              <w:spacing w:line="240" w:lineRule="auto"/>
              <w:ind w:firstLine="0" w:firstLineChars="0"/>
              <w:jc w:val="center"/>
              <w:rPr>
                <w:sz w:val="21"/>
                <w:szCs w:val="21"/>
              </w:rPr>
            </w:pPr>
            <w:r>
              <w:rPr>
                <w:rFonts w:hint="eastAsia"/>
                <w:sz w:val="21"/>
                <w:szCs w:val="21"/>
              </w:rPr>
              <w:t>考虑县城污水厂中水</w:t>
            </w:r>
          </w:p>
          <w:p>
            <w:pPr>
              <w:spacing w:line="240" w:lineRule="auto"/>
              <w:ind w:firstLine="0" w:firstLineChars="0"/>
              <w:jc w:val="center"/>
              <w:rPr>
                <w:sz w:val="21"/>
                <w:szCs w:val="21"/>
              </w:rPr>
            </w:pPr>
            <w:r>
              <w:rPr>
                <w:rFonts w:hint="eastAsia"/>
                <w:sz w:val="21"/>
                <w:szCs w:val="21"/>
              </w:rPr>
              <w:t>回用55%</w:t>
            </w:r>
          </w:p>
        </w:tc>
        <w:tc>
          <w:tcPr>
            <w:tcW w:w="0" w:type="auto"/>
            <w:vMerge w:val="continue"/>
            <w:vAlign w:val="center"/>
          </w:tcPr>
          <w:p>
            <w:pPr>
              <w:spacing w:line="240" w:lineRule="auto"/>
              <w:ind w:firstLine="0" w:firstLineChars="0"/>
              <w:jc w:val="center"/>
              <w:rPr>
                <w:sz w:val="21"/>
                <w:szCs w:val="21"/>
              </w:rPr>
            </w:pPr>
          </w:p>
        </w:tc>
        <w:tc>
          <w:tcPr>
            <w:tcW w:w="0" w:type="auto"/>
            <w:vMerge w:val="continue"/>
            <w:vAlign w:val="center"/>
          </w:tcPr>
          <w:p>
            <w:pPr>
              <w:spacing w:line="240" w:lineRule="auto"/>
              <w:ind w:firstLine="0" w:firstLineChars="0"/>
              <w:jc w:val="center"/>
              <w:rPr>
                <w:sz w:val="21"/>
                <w:szCs w:val="21"/>
              </w:rPr>
            </w:pPr>
          </w:p>
        </w:tc>
        <w:tc>
          <w:tcPr>
            <w:tcW w:w="0" w:type="auto"/>
            <w:vMerge w:val="continue"/>
            <w:vAlign w:val="center"/>
          </w:tcPr>
          <w:p>
            <w:pPr>
              <w:spacing w:line="240" w:lineRule="auto"/>
              <w:ind w:firstLine="0" w:firstLineChars="0"/>
              <w:jc w:val="center"/>
              <w:rPr>
                <w:sz w:val="21"/>
                <w:szCs w:val="21"/>
              </w:rPr>
            </w:pPr>
          </w:p>
        </w:tc>
        <w:tc>
          <w:tcPr>
            <w:tcW w:w="0" w:type="auto"/>
            <w:vMerge w:val="continue"/>
            <w:vAlign w:val="center"/>
          </w:tcPr>
          <w:p>
            <w:pPr>
              <w:spacing w:line="240" w:lineRule="auto"/>
              <w:ind w:firstLine="0" w:firstLineChars="0"/>
              <w:jc w:val="center"/>
              <w:rPr>
                <w:sz w:val="21"/>
                <w:szCs w:val="21"/>
              </w:rPr>
            </w:pPr>
          </w:p>
        </w:tc>
        <w:tc>
          <w:tcPr>
            <w:tcW w:w="0" w:type="auto"/>
            <w:vAlign w:val="center"/>
          </w:tcPr>
          <w:p>
            <w:pPr>
              <w:spacing w:line="240" w:lineRule="auto"/>
              <w:ind w:firstLine="0" w:firstLineChars="0"/>
              <w:jc w:val="center"/>
              <w:rPr>
                <w:sz w:val="21"/>
                <w:szCs w:val="21"/>
              </w:rPr>
            </w:pPr>
            <w:r>
              <w:rPr>
                <w:rFonts w:hint="eastAsia"/>
                <w:sz w:val="21"/>
                <w:szCs w:val="21"/>
              </w:rPr>
              <w:t>1136.45</w:t>
            </w:r>
          </w:p>
        </w:tc>
        <w:tc>
          <w:tcPr>
            <w:tcW w:w="0" w:type="auto"/>
            <w:vAlign w:val="center"/>
          </w:tcPr>
          <w:p>
            <w:pPr>
              <w:spacing w:line="240" w:lineRule="auto"/>
              <w:ind w:firstLine="0" w:firstLineChars="0"/>
              <w:jc w:val="center"/>
              <w:rPr>
                <w:sz w:val="21"/>
                <w:szCs w:val="21"/>
              </w:rPr>
            </w:pPr>
            <w:r>
              <w:rPr>
                <w:rFonts w:hint="eastAsia"/>
                <w:sz w:val="21"/>
                <w:szCs w:val="21"/>
              </w:rPr>
              <w:t>131.43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240" w:lineRule="auto"/>
              <w:ind w:firstLine="0" w:firstLineChars="0"/>
              <w:jc w:val="center"/>
              <w:rPr>
                <w:sz w:val="21"/>
                <w:szCs w:val="21"/>
              </w:rPr>
            </w:pPr>
          </w:p>
        </w:tc>
        <w:tc>
          <w:tcPr>
            <w:tcW w:w="1011" w:type="dxa"/>
            <w:vMerge w:val="restart"/>
            <w:vAlign w:val="center"/>
          </w:tcPr>
          <w:p>
            <w:pPr>
              <w:spacing w:line="240" w:lineRule="auto"/>
              <w:ind w:firstLine="0" w:firstLineChars="0"/>
              <w:jc w:val="center"/>
              <w:rPr>
                <w:sz w:val="21"/>
                <w:szCs w:val="21"/>
              </w:rPr>
            </w:pPr>
            <w:r>
              <w:rPr>
                <w:rFonts w:hint="eastAsia"/>
                <w:sz w:val="21"/>
                <w:szCs w:val="21"/>
              </w:rPr>
              <w:t>2030年</w:t>
            </w:r>
          </w:p>
        </w:tc>
        <w:tc>
          <w:tcPr>
            <w:tcW w:w="0" w:type="auto"/>
          </w:tcPr>
          <w:p>
            <w:pPr>
              <w:spacing w:line="240" w:lineRule="auto"/>
              <w:ind w:firstLine="0" w:firstLineChars="0"/>
              <w:jc w:val="center"/>
              <w:rPr>
                <w:sz w:val="21"/>
                <w:szCs w:val="21"/>
              </w:rPr>
            </w:pPr>
            <w:r>
              <w:rPr>
                <w:rFonts w:hint="eastAsia"/>
                <w:sz w:val="21"/>
                <w:szCs w:val="21"/>
              </w:rPr>
              <w:t>不考虑中水回用</w:t>
            </w:r>
          </w:p>
        </w:tc>
        <w:tc>
          <w:tcPr>
            <w:tcW w:w="0" w:type="auto"/>
            <w:vMerge w:val="restart"/>
            <w:vAlign w:val="center"/>
          </w:tcPr>
          <w:p>
            <w:pPr>
              <w:spacing w:line="240" w:lineRule="auto"/>
              <w:ind w:firstLine="0" w:firstLineChars="0"/>
              <w:jc w:val="center"/>
              <w:rPr>
                <w:sz w:val="21"/>
                <w:szCs w:val="21"/>
              </w:rPr>
            </w:pPr>
            <w:r>
              <w:rPr>
                <w:sz w:val="21"/>
                <w:szCs w:val="21"/>
              </w:rPr>
              <w:t>3901.10</w:t>
            </w:r>
          </w:p>
        </w:tc>
        <w:tc>
          <w:tcPr>
            <w:tcW w:w="0" w:type="auto"/>
            <w:vMerge w:val="restart"/>
            <w:vAlign w:val="center"/>
          </w:tcPr>
          <w:p>
            <w:pPr>
              <w:spacing w:line="240" w:lineRule="auto"/>
              <w:ind w:firstLine="0" w:firstLineChars="0"/>
              <w:jc w:val="center"/>
              <w:rPr>
                <w:sz w:val="21"/>
                <w:szCs w:val="21"/>
              </w:rPr>
            </w:pPr>
            <w:r>
              <w:rPr>
                <w:sz w:val="21"/>
                <w:szCs w:val="21"/>
              </w:rPr>
              <w:t>125.10</w:t>
            </w:r>
          </w:p>
        </w:tc>
        <w:tc>
          <w:tcPr>
            <w:tcW w:w="0" w:type="auto"/>
            <w:vMerge w:val="restart"/>
            <w:vAlign w:val="center"/>
          </w:tcPr>
          <w:p>
            <w:pPr>
              <w:spacing w:line="240" w:lineRule="auto"/>
              <w:ind w:firstLine="0" w:firstLineChars="0"/>
              <w:jc w:val="center"/>
              <w:rPr>
                <w:sz w:val="21"/>
                <w:szCs w:val="21"/>
              </w:rPr>
            </w:pPr>
            <w:r>
              <w:rPr>
                <w:sz w:val="21"/>
                <w:szCs w:val="21"/>
              </w:rPr>
              <w:t>3721.70</w:t>
            </w:r>
          </w:p>
        </w:tc>
        <w:tc>
          <w:tcPr>
            <w:tcW w:w="0" w:type="auto"/>
            <w:vMerge w:val="restart"/>
            <w:vAlign w:val="center"/>
          </w:tcPr>
          <w:p>
            <w:pPr>
              <w:spacing w:line="240" w:lineRule="auto"/>
              <w:ind w:firstLine="0" w:firstLineChars="0"/>
              <w:jc w:val="center"/>
              <w:rPr>
                <w:sz w:val="21"/>
                <w:szCs w:val="21"/>
              </w:rPr>
            </w:pPr>
            <w:r>
              <w:rPr>
                <w:sz w:val="21"/>
                <w:szCs w:val="21"/>
              </w:rPr>
              <w:t>202.10</w:t>
            </w:r>
          </w:p>
        </w:tc>
        <w:tc>
          <w:tcPr>
            <w:tcW w:w="0" w:type="auto"/>
            <w:vAlign w:val="center"/>
          </w:tcPr>
          <w:p>
            <w:pPr>
              <w:spacing w:line="240" w:lineRule="auto"/>
              <w:ind w:firstLine="0" w:firstLineChars="0"/>
              <w:jc w:val="center"/>
              <w:rPr>
                <w:sz w:val="21"/>
                <w:szCs w:val="21"/>
              </w:rPr>
            </w:pPr>
            <w:r>
              <w:rPr>
                <w:rFonts w:hint="eastAsia"/>
                <w:sz w:val="21"/>
                <w:szCs w:val="21"/>
              </w:rPr>
              <w:t>3600.21</w:t>
            </w:r>
          </w:p>
        </w:tc>
        <w:tc>
          <w:tcPr>
            <w:tcW w:w="0" w:type="auto"/>
            <w:vAlign w:val="center"/>
          </w:tcPr>
          <w:p>
            <w:pPr>
              <w:spacing w:line="240" w:lineRule="auto"/>
              <w:ind w:firstLine="0" w:firstLineChars="0"/>
              <w:jc w:val="center"/>
              <w:rPr>
                <w:sz w:val="21"/>
                <w:szCs w:val="21"/>
              </w:rPr>
            </w:pPr>
            <w:r>
              <w:rPr>
                <w:rFonts w:hint="eastAsia"/>
                <w:sz w:val="21"/>
                <w:szCs w:val="21"/>
              </w:rPr>
              <w:t>360.21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240" w:lineRule="auto"/>
              <w:ind w:firstLine="0" w:firstLineChars="0"/>
              <w:jc w:val="center"/>
              <w:rPr>
                <w:sz w:val="21"/>
                <w:szCs w:val="21"/>
              </w:rPr>
            </w:pPr>
          </w:p>
        </w:tc>
        <w:tc>
          <w:tcPr>
            <w:tcW w:w="1011" w:type="dxa"/>
            <w:vMerge w:val="continue"/>
          </w:tcPr>
          <w:p>
            <w:pPr>
              <w:spacing w:line="240" w:lineRule="auto"/>
              <w:ind w:firstLine="0" w:firstLineChars="0"/>
              <w:jc w:val="center"/>
              <w:rPr>
                <w:sz w:val="21"/>
                <w:szCs w:val="21"/>
              </w:rPr>
            </w:pPr>
          </w:p>
        </w:tc>
        <w:tc>
          <w:tcPr>
            <w:tcW w:w="0" w:type="auto"/>
          </w:tcPr>
          <w:p>
            <w:pPr>
              <w:spacing w:line="240" w:lineRule="auto"/>
              <w:ind w:firstLine="0" w:firstLineChars="0"/>
              <w:jc w:val="center"/>
              <w:rPr>
                <w:sz w:val="21"/>
                <w:szCs w:val="21"/>
              </w:rPr>
            </w:pPr>
            <w:r>
              <w:rPr>
                <w:rFonts w:hint="eastAsia"/>
                <w:sz w:val="21"/>
                <w:szCs w:val="21"/>
              </w:rPr>
              <w:t>考虑县城污水厂中水</w:t>
            </w:r>
          </w:p>
          <w:p>
            <w:pPr>
              <w:spacing w:line="240" w:lineRule="auto"/>
              <w:ind w:firstLine="0" w:firstLineChars="0"/>
              <w:jc w:val="center"/>
              <w:rPr>
                <w:sz w:val="21"/>
                <w:szCs w:val="21"/>
              </w:rPr>
            </w:pPr>
            <w:r>
              <w:rPr>
                <w:rFonts w:hint="eastAsia"/>
                <w:sz w:val="21"/>
                <w:szCs w:val="21"/>
              </w:rPr>
              <w:t>回用20%</w:t>
            </w:r>
          </w:p>
        </w:tc>
        <w:tc>
          <w:tcPr>
            <w:tcW w:w="0" w:type="auto"/>
            <w:vMerge w:val="continue"/>
          </w:tcPr>
          <w:p>
            <w:pPr>
              <w:spacing w:line="240" w:lineRule="auto"/>
              <w:ind w:firstLine="0" w:firstLineChars="0"/>
              <w:jc w:val="center"/>
              <w:rPr>
                <w:sz w:val="21"/>
                <w:szCs w:val="21"/>
              </w:rPr>
            </w:pPr>
          </w:p>
        </w:tc>
        <w:tc>
          <w:tcPr>
            <w:tcW w:w="0" w:type="auto"/>
            <w:vMerge w:val="continue"/>
          </w:tcPr>
          <w:p>
            <w:pPr>
              <w:spacing w:line="240" w:lineRule="auto"/>
              <w:ind w:firstLine="0" w:firstLineChars="0"/>
              <w:jc w:val="center"/>
              <w:rPr>
                <w:sz w:val="21"/>
                <w:szCs w:val="21"/>
              </w:rPr>
            </w:pPr>
          </w:p>
        </w:tc>
        <w:tc>
          <w:tcPr>
            <w:tcW w:w="0" w:type="auto"/>
            <w:vMerge w:val="continue"/>
          </w:tcPr>
          <w:p>
            <w:pPr>
              <w:spacing w:line="240" w:lineRule="auto"/>
              <w:ind w:firstLine="0" w:firstLineChars="0"/>
              <w:jc w:val="center"/>
              <w:rPr>
                <w:sz w:val="21"/>
                <w:szCs w:val="21"/>
              </w:rPr>
            </w:pPr>
          </w:p>
        </w:tc>
        <w:tc>
          <w:tcPr>
            <w:tcW w:w="0" w:type="auto"/>
            <w:vMerge w:val="continue"/>
          </w:tcPr>
          <w:p>
            <w:pPr>
              <w:spacing w:line="240" w:lineRule="auto"/>
              <w:ind w:firstLine="0" w:firstLineChars="0"/>
              <w:jc w:val="center"/>
              <w:rPr>
                <w:sz w:val="21"/>
                <w:szCs w:val="21"/>
              </w:rPr>
            </w:pPr>
          </w:p>
        </w:tc>
        <w:tc>
          <w:tcPr>
            <w:tcW w:w="0" w:type="auto"/>
            <w:vAlign w:val="center"/>
          </w:tcPr>
          <w:p>
            <w:pPr>
              <w:spacing w:line="240" w:lineRule="auto"/>
              <w:ind w:firstLine="0" w:firstLineChars="0"/>
              <w:jc w:val="center"/>
              <w:rPr>
                <w:sz w:val="21"/>
                <w:szCs w:val="21"/>
              </w:rPr>
            </w:pPr>
            <w:r>
              <w:rPr>
                <w:rFonts w:hint="eastAsia"/>
                <w:sz w:val="21"/>
                <w:szCs w:val="21"/>
              </w:rPr>
              <w:t>1939.08</w:t>
            </w:r>
          </w:p>
        </w:tc>
        <w:tc>
          <w:tcPr>
            <w:tcW w:w="0" w:type="auto"/>
            <w:vAlign w:val="center"/>
          </w:tcPr>
          <w:p>
            <w:pPr>
              <w:spacing w:line="240" w:lineRule="auto"/>
              <w:ind w:firstLine="0" w:firstLineChars="0"/>
              <w:jc w:val="center"/>
              <w:rPr>
                <w:sz w:val="21"/>
                <w:szCs w:val="21"/>
              </w:rPr>
            </w:pPr>
            <w:r>
              <w:rPr>
                <w:rFonts w:hint="eastAsia"/>
                <w:sz w:val="21"/>
                <w:szCs w:val="21"/>
              </w:rPr>
              <w:t>193.91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240" w:lineRule="auto"/>
              <w:ind w:firstLine="0" w:firstLineChars="0"/>
              <w:jc w:val="center"/>
              <w:rPr>
                <w:sz w:val="21"/>
                <w:szCs w:val="21"/>
              </w:rPr>
            </w:pPr>
          </w:p>
        </w:tc>
        <w:tc>
          <w:tcPr>
            <w:tcW w:w="1011" w:type="dxa"/>
            <w:vMerge w:val="continue"/>
          </w:tcPr>
          <w:p>
            <w:pPr>
              <w:spacing w:line="240" w:lineRule="auto"/>
              <w:ind w:firstLine="0" w:firstLineChars="0"/>
              <w:jc w:val="center"/>
              <w:rPr>
                <w:sz w:val="21"/>
                <w:szCs w:val="21"/>
              </w:rPr>
            </w:pPr>
          </w:p>
        </w:tc>
        <w:tc>
          <w:tcPr>
            <w:tcW w:w="0" w:type="auto"/>
          </w:tcPr>
          <w:p>
            <w:pPr>
              <w:spacing w:line="240" w:lineRule="auto"/>
              <w:ind w:firstLine="0" w:firstLineChars="0"/>
              <w:jc w:val="center"/>
              <w:rPr>
                <w:sz w:val="21"/>
                <w:szCs w:val="21"/>
              </w:rPr>
            </w:pPr>
            <w:r>
              <w:rPr>
                <w:rFonts w:hint="eastAsia"/>
                <w:sz w:val="21"/>
                <w:szCs w:val="21"/>
              </w:rPr>
              <w:t>考虑县城污水厂中水</w:t>
            </w:r>
          </w:p>
          <w:p>
            <w:pPr>
              <w:spacing w:line="240" w:lineRule="auto"/>
              <w:ind w:firstLine="0" w:firstLineChars="0"/>
              <w:jc w:val="center"/>
              <w:rPr>
                <w:sz w:val="21"/>
                <w:szCs w:val="21"/>
              </w:rPr>
            </w:pPr>
            <w:r>
              <w:rPr>
                <w:rFonts w:hint="eastAsia"/>
                <w:sz w:val="21"/>
                <w:szCs w:val="21"/>
              </w:rPr>
              <w:t>回用55%</w:t>
            </w:r>
          </w:p>
        </w:tc>
        <w:tc>
          <w:tcPr>
            <w:tcW w:w="0" w:type="auto"/>
            <w:vMerge w:val="continue"/>
          </w:tcPr>
          <w:p>
            <w:pPr>
              <w:spacing w:line="240" w:lineRule="auto"/>
              <w:ind w:firstLine="0" w:firstLineChars="0"/>
              <w:jc w:val="center"/>
              <w:rPr>
                <w:sz w:val="21"/>
                <w:szCs w:val="21"/>
              </w:rPr>
            </w:pPr>
          </w:p>
        </w:tc>
        <w:tc>
          <w:tcPr>
            <w:tcW w:w="0" w:type="auto"/>
            <w:vMerge w:val="continue"/>
          </w:tcPr>
          <w:p>
            <w:pPr>
              <w:spacing w:line="240" w:lineRule="auto"/>
              <w:ind w:firstLine="0" w:firstLineChars="0"/>
              <w:jc w:val="center"/>
              <w:rPr>
                <w:sz w:val="21"/>
                <w:szCs w:val="21"/>
              </w:rPr>
            </w:pPr>
          </w:p>
        </w:tc>
        <w:tc>
          <w:tcPr>
            <w:tcW w:w="0" w:type="auto"/>
            <w:vMerge w:val="continue"/>
          </w:tcPr>
          <w:p>
            <w:pPr>
              <w:spacing w:line="240" w:lineRule="auto"/>
              <w:ind w:firstLine="0" w:firstLineChars="0"/>
              <w:jc w:val="center"/>
              <w:rPr>
                <w:sz w:val="21"/>
                <w:szCs w:val="21"/>
              </w:rPr>
            </w:pPr>
          </w:p>
        </w:tc>
        <w:tc>
          <w:tcPr>
            <w:tcW w:w="0" w:type="auto"/>
            <w:vMerge w:val="continue"/>
          </w:tcPr>
          <w:p>
            <w:pPr>
              <w:spacing w:line="240" w:lineRule="auto"/>
              <w:ind w:firstLine="0" w:firstLineChars="0"/>
              <w:jc w:val="center"/>
              <w:rPr>
                <w:sz w:val="21"/>
                <w:szCs w:val="21"/>
              </w:rPr>
            </w:pPr>
          </w:p>
        </w:tc>
        <w:tc>
          <w:tcPr>
            <w:tcW w:w="0" w:type="auto"/>
            <w:vAlign w:val="center"/>
          </w:tcPr>
          <w:p>
            <w:pPr>
              <w:spacing w:line="240" w:lineRule="auto"/>
              <w:ind w:firstLine="0" w:firstLineChars="0"/>
              <w:jc w:val="center"/>
              <w:rPr>
                <w:sz w:val="21"/>
                <w:szCs w:val="21"/>
              </w:rPr>
            </w:pPr>
            <w:r>
              <w:rPr>
                <w:rFonts w:hint="eastAsia"/>
                <w:sz w:val="21"/>
                <w:szCs w:val="21"/>
              </w:rPr>
              <w:t>1618.45</w:t>
            </w:r>
          </w:p>
        </w:tc>
        <w:tc>
          <w:tcPr>
            <w:tcW w:w="0" w:type="auto"/>
            <w:vAlign w:val="center"/>
          </w:tcPr>
          <w:p>
            <w:pPr>
              <w:spacing w:line="240" w:lineRule="auto"/>
              <w:ind w:firstLine="0" w:firstLineChars="0"/>
              <w:jc w:val="center"/>
              <w:rPr>
                <w:sz w:val="21"/>
                <w:szCs w:val="21"/>
              </w:rPr>
            </w:pPr>
            <w:r>
              <w:rPr>
                <w:rFonts w:hint="eastAsia"/>
                <w:sz w:val="21"/>
                <w:szCs w:val="21"/>
              </w:rPr>
              <w:t>161.85</w:t>
            </w:r>
          </w:p>
        </w:tc>
      </w:tr>
    </w:tbl>
    <w:p>
      <w:pPr>
        <w:pStyle w:val="3"/>
      </w:pPr>
      <w:bookmarkStart w:id="27" w:name="_Toc57964368"/>
      <w:r>
        <w:rPr>
          <w:rFonts w:hint="eastAsia"/>
        </w:rPr>
        <w:t xml:space="preserve">5.4 </w:t>
      </w:r>
      <w:r>
        <w:t>入河排污口设置可行性分析</w:t>
      </w:r>
      <w:bookmarkEnd w:id="27"/>
    </w:p>
    <w:p>
      <w:pPr>
        <w:pStyle w:val="4"/>
      </w:pPr>
      <w:r>
        <w:rPr>
          <w:rFonts w:hint="eastAsia"/>
        </w:rPr>
        <w:t xml:space="preserve">5.4.1 </w:t>
      </w:r>
      <w:r>
        <w:t>法律法规符合性</w:t>
      </w:r>
    </w:p>
    <w:p>
      <w:pPr>
        <w:ind w:firstLine="480"/>
      </w:pPr>
      <w:r>
        <w:rPr>
          <w:rFonts w:hint="eastAsia"/>
        </w:rPr>
        <w:t>合水县何家畔镇何家畔村截污控源工程</w:t>
      </w:r>
      <w:r>
        <w:t>入河排污口设置单位为</w:t>
      </w:r>
      <w:r>
        <w:rPr>
          <w:rFonts w:hint="eastAsia"/>
        </w:rPr>
        <w:t>合水县环境保护局</w:t>
      </w:r>
      <w:r>
        <w:t>、入河排污口设置位置</w:t>
      </w:r>
      <w:r>
        <w:rPr>
          <w:rFonts w:hint="eastAsia"/>
        </w:rPr>
        <w:t>东</w:t>
      </w:r>
      <w:r>
        <w:rPr>
          <w:rFonts w:hint="eastAsia"/>
          <w:color w:val="000000" w:themeColor="text1"/>
        </w:rPr>
        <w:t>经</w:t>
      </w:r>
      <w:r>
        <w:rPr>
          <w:rFonts w:hint="eastAsia"/>
          <w:bCs/>
          <w:color w:val="000000" w:themeColor="text1"/>
          <w:szCs w:val="28"/>
        </w:rPr>
        <w:t>107.870374</w:t>
      </w:r>
      <w:r>
        <w:rPr>
          <w:color w:val="000000" w:themeColor="text1"/>
        </w:rPr>
        <w:t>，北纬</w:t>
      </w:r>
      <w:r>
        <w:rPr>
          <w:bCs/>
          <w:color w:val="000000" w:themeColor="text1"/>
          <w:szCs w:val="28"/>
        </w:rPr>
        <w:t>3</w:t>
      </w:r>
      <w:r>
        <w:rPr>
          <w:rFonts w:hint="eastAsia"/>
          <w:bCs/>
          <w:color w:val="000000" w:themeColor="text1"/>
          <w:szCs w:val="28"/>
        </w:rPr>
        <w:t>5.699538</w:t>
      </w:r>
      <w:r>
        <w:t>。废污水排放方式为管道</w:t>
      </w:r>
      <w:r>
        <w:rPr>
          <w:rFonts w:hint="eastAsia"/>
        </w:rPr>
        <w:t>，</w:t>
      </w:r>
      <w:r>
        <w:t>排污水量设计规模为</w:t>
      </w:r>
      <w:r>
        <w:rPr>
          <w:rFonts w:hint="eastAsia"/>
        </w:rPr>
        <w:t>200</w:t>
      </w:r>
      <w:r>
        <w:t>m³/d。</w:t>
      </w:r>
    </w:p>
    <w:p>
      <w:pPr>
        <w:ind w:firstLine="480"/>
      </w:pPr>
      <w:r>
        <w:t>项目自建成运行后，对</w:t>
      </w:r>
      <w:r>
        <w:rPr>
          <w:rFonts w:hint="eastAsia"/>
        </w:rPr>
        <w:t>马莲河</w:t>
      </w:r>
      <w:r>
        <w:t>环境的保护，起到了重要的作用。</w:t>
      </w:r>
      <w:r>
        <w:rPr>
          <w:rFonts w:hint="eastAsia"/>
        </w:rPr>
        <w:t>合水县何家畔镇何家畔村截污控源工程</w:t>
      </w:r>
      <w:r>
        <w:t>入河排污口（现状）设置位置、排污水质、入河排污量，符合《水法》、《水污染防治法》、《环境保护法》、《防洪法》，以及《取水许可和水资源费征收管理条例》、《河道管理条例》、《建设项目环境保护管理条例》、《城镇排水与污水处理条例》等。</w:t>
      </w:r>
    </w:p>
    <w:p>
      <w:pPr>
        <w:pStyle w:val="4"/>
      </w:pPr>
      <w:r>
        <w:rPr>
          <w:rFonts w:hint="eastAsia"/>
        </w:rPr>
        <w:t xml:space="preserve">5.4.2 </w:t>
      </w:r>
      <w:r>
        <w:t>水域纳污能力符合性分析</w:t>
      </w:r>
    </w:p>
    <w:p>
      <w:pPr>
        <w:ind w:firstLine="480"/>
      </w:pPr>
      <w:r>
        <w:t>根据《国务院关于实行最严格水资源管理制度的意见（国发〔2012〕3 号）》明确提出按照水功能区对水质的要求和水体的自然净化能力，核定水域纳污能力，提出限制排污总量意见，强调各级政府要把限制排污总量作为水污染防治和污染减排工作的重要依据，考虑到项目属于减排项目，按照现状一级A排放标准预测， 2020年每年减排COD</w:t>
      </w:r>
      <w:r>
        <w:rPr>
          <w:rFonts w:hint="eastAsia"/>
        </w:rPr>
        <w:t>32.85</w:t>
      </w:r>
      <w:r>
        <w:t>t，氨氮</w:t>
      </w:r>
      <w:r>
        <w:rPr>
          <w:rFonts w:hint="eastAsia"/>
        </w:rPr>
        <w:t>2.555</w:t>
      </w:r>
      <w:r>
        <w:t>t；到2030年，每年可减排 COD</w:t>
      </w:r>
      <w:r>
        <w:rPr>
          <w:rFonts w:hint="eastAsia"/>
        </w:rPr>
        <w:t>32.85</w:t>
      </w:r>
      <w:r>
        <w:t xml:space="preserve">t，氨氮 </w:t>
      </w:r>
      <w:r>
        <w:rPr>
          <w:rFonts w:hint="eastAsia"/>
        </w:rPr>
        <w:t>2.555</w:t>
      </w:r>
      <w:r>
        <w:t>t。解决了污水问题，确保</w:t>
      </w:r>
      <w:r>
        <w:rPr>
          <w:rFonts w:hint="eastAsia"/>
        </w:rPr>
        <w:t>何家畔镇</w:t>
      </w:r>
      <w:r>
        <w:t>社会和环境的可持续发展，对于</w:t>
      </w:r>
      <w:r>
        <w:rPr>
          <w:rFonts w:hint="eastAsia"/>
        </w:rPr>
        <w:t>马莲河</w:t>
      </w:r>
      <w:r>
        <w:t>水质改善起到了重要作用。</w:t>
      </w:r>
    </w:p>
    <w:p>
      <w:pPr>
        <w:ind w:firstLine="480"/>
      </w:pPr>
      <w:r>
        <w:t>同时，本论证也提出相应的要求，在按照或优于本论证提出的排污水量、污染物浓度及总量等控制指标排污的条件下，</w:t>
      </w:r>
      <w:r>
        <w:rPr>
          <w:rFonts w:hint="eastAsia"/>
        </w:rPr>
        <w:t>合水县何家畔镇何家畔村</w:t>
      </w:r>
      <w:r>
        <w:t>截污</w:t>
      </w:r>
      <w:r>
        <w:rPr>
          <w:rFonts w:hint="eastAsia"/>
        </w:rPr>
        <w:t>控源</w:t>
      </w:r>
      <w:r>
        <w:t>工程入河排污口设置满足其水域纳污能力要求。符合《入河排污口监督管理办法》、《水功能区管理办法》、《重要江河湖泊限制排放总量意见》、《饮用水水源保护区污染防治管理规定》、《黄河水利委员会实施&lt;入河排污口监督管理办法&gt;细则》、《甘肃省实行最严格的水资源管理制度办法》。</w:t>
      </w:r>
    </w:p>
    <w:p>
      <w:pPr>
        <w:ind w:firstLine="482"/>
        <w:rPr>
          <w:b/>
        </w:rPr>
      </w:pPr>
      <w:r>
        <w:rPr>
          <w:b/>
        </w:rPr>
        <w:t>综上所述，本项目属新建项目，排污口设置符合清洁生产要求、符合国家和行业有关技术标准、符合水功能区管理要求，因此，在按照或优于本论证提出的排污水量、污染物浓度及总量等控制指标排污的条件下，其在</w:t>
      </w:r>
      <w:r>
        <w:rPr>
          <w:rFonts w:hint="eastAsia"/>
          <w:b/>
        </w:rPr>
        <w:t>盖家川</w:t>
      </w:r>
      <w:r>
        <w:rPr>
          <w:b/>
        </w:rPr>
        <w:t>设置入河排污口是可行的。</w:t>
      </w:r>
    </w:p>
    <w:p>
      <w:pPr>
        <w:ind w:firstLine="482"/>
        <w:rPr>
          <w:b/>
        </w:rPr>
      </w:pPr>
    </w:p>
    <w:p>
      <w:pPr>
        <w:widowControl/>
        <w:autoSpaceDE/>
        <w:autoSpaceDN/>
        <w:ind w:firstLine="480"/>
        <w:rPr>
          <w:rFonts w:eastAsiaTheme="minorEastAsia"/>
          <w:b/>
          <w:bCs/>
          <w:sz w:val="30"/>
          <w:szCs w:val="30"/>
        </w:rPr>
      </w:pPr>
      <w:r>
        <w:rPr>
          <w:rFonts w:eastAsiaTheme="minorEastAsia"/>
        </w:rPr>
        <w:br w:type="page"/>
      </w:r>
    </w:p>
    <w:p>
      <w:pPr>
        <w:pStyle w:val="2"/>
      </w:pPr>
      <w:bookmarkStart w:id="28" w:name="_Toc57964369"/>
      <w:r>
        <w:rPr>
          <w:rFonts w:hint="eastAsia"/>
        </w:rPr>
        <w:t xml:space="preserve">6 </w:t>
      </w:r>
      <w:r>
        <w:t>入河排污口设置合理性分析</w:t>
      </w:r>
      <w:bookmarkEnd w:id="28"/>
    </w:p>
    <w:p>
      <w:pPr>
        <w:pStyle w:val="3"/>
      </w:pPr>
      <w:bookmarkStart w:id="29" w:name="_Toc57964370"/>
      <w:r>
        <w:rPr>
          <w:rFonts w:hint="eastAsia"/>
        </w:rPr>
        <w:t>6.1 入河排污口设置影响范围</w:t>
      </w:r>
      <w:bookmarkEnd w:id="29"/>
    </w:p>
    <w:p>
      <w:pPr>
        <w:pStyle w:val="4"/>
      </w:pPr>
      <w:r>
        <w:rPr>
          <w:rFonts w:hint="eastAsia"/>
        </w:rPr>
        <w:t>6.1.1 模型选择与参数确定</w:t>
      </w:r>
    </w:p>
    <w:p>
      <w:pPr>
        <w:pStyle w:val="5"/>
      </w:pPr>
      <w:r>
        <w:rPr>
          <w:rFonts w:hint="eastAsia"/>
        </w:rPr>
        <w:t>6.1.1.1 分析影响范围</w:t>
      </w:r>
    </w:p>
    <w:p>
      <w:pPr>
        <w:ind w:firstLine="480"/>
      </w:pPr>
      <w:r>
        <w:rPr>
          <w:rFonts w:hint="eastAsia"/>
        </w:rPr>
        <w:t>（1）</w:t>
      </w:r>
      <w:r>
        <w:t>影响分析范围</w:t>
      </w:r>
    </w:p>
    <w:p>
      <w:pPr>
        <w:ind w:firstLine="480"/>
        <w:rPr>
          <w:color w:val="000000" w:themeColor="text1"/>
        </w:rPr>
      </w:pPr>
      <w:r>
        <w:rPr>
          <w:color w:val="000000" w:themeColor="text1"/>
        </w:rPr>
        <w:t>以</w:t>
      </w:r>
      <w:r>
        <w:rPr>
          <w:rFonts w:hint="eastAsia"/>
          <w:color w:val="000000" w:themeColor="text1"/>
        </w:rPr>
        <w:t>入河口与盖家川交汇处</w:t>
      </w:r>
      <w:r>
        <w:rPr>
          <w:color w:val="000000" w:themeColor="text1"/>
        </w:rPr>
        <w:t>上游</w:t>
      </w:r>
      <w:r>
        <w:rPr>
          <w:rFonts w:eastAsia="Times New Roman"/>
          <w:color w:val="000000" w:themeColor="text1"/>
        </w:rPr>
        <w:t>500m</w:t>
      </w:r>
      <w:r>
        <w:rPr>
          <w:color w:val="000000" w:themeColor="text1"/>
          <w:spacing w:val="-9"/>
        </w:rPr>
        <w:t>处作为对照断面，分别以</w:t>
      </w:r>
      <w:r>
        <w:rPr>
          <w:color w:val="000000" w:themeColor="text1"/>
        </w:rPr>
        <w:t>以</w:t>
      </w:r>
      <w:r>
        <w:rPr>
          <w:rFonts w:hint="eastAsia"/>
          <w:color w:val="000000" w:themeColor="text1"/>
        </w:rPr>
        <w:t>入河口与盖家川交汇处下</w:t>
      </w:r>
      <w:r>
        <w:rPr>
          <w:color w:val="000000" w:themeColor="text1"/>
        </w:rPr>
        <w:t>游</w:t>
      </w:r>
      <w:r>
        <w:rPr>
          <w:rFonts w:hint="eastAsia"/>
          <w:color w:val="000000" w:themeColor="text1"/>
        </w:rPr>
        <w:t>1</w:t>
      </w:r>
      <w:r>
        <w:rPr>
          <w:rFonts w:eastAsia="Times New Roman"/>
          <w:color w:val="000000" w:themeColor="text1"/>
        </w:rPr>
        <w:t>500m</w:t>
      </w:r>
      <w:r>
        <w:rPr>
          <w:color w:val="000000" w:themeColor="text1"/>
          <w:spacing w:val="-9"/>
        </w:rPr>
        <w:t>处</w:t>
      </w:r>
      <w:r>
        <w:rPr>
          <w:color w:val="000000" w:themeColor="text1"/>
        </w:rPr>
        <w:t>（削减断面）、</w:t>
      </w:r>
      <w:r>
        <w:rPr>
          <w:rFonts w:hint="eastAsia"/>
          <w:color w:val="000000" w:themeColor="text1"/>
          <w:spacing w:val="-9"/>
        </w:rPr>
        <w:t>入河口断面</w:t>
      </w:r>
      <w:r>
        <w:rPr>
          <w:color w:val="000000" w:themeColor="text1"/>
        </w:rPr>
        <w:t>（控制断面），详见表</w:t>
      </w:r>
      <w:r>
        <w:rPr>
          <w:rFonts w:eastAsia="Times New Roman"/>
          <w:color w:val="000000" w:themeColor="text1"/>
        </w:rPr>
        <w:t>6.1-1</w:t>
      </w:r>
      <w:r>
        <w:rPr>
          <w:color w:val="000000" w:themeColor="text1"/>
        </w:rPr>
        <w:t>和</w:t>
      </w:r>
      <w:r>
        <w:rPr>
          <w:rFonts w:eastAsia="Times New Roman"/>
          <w:color w:val="000000" w:themeColor="text1"/>
        </w:rPr>
        <w:t>6.1-2</w:t>
      </w:r>
      <w:r>
        <w:rPr>
          <w:color w:val="000000" w:themeColor="text1"/>
        </w:rPr>
        <w:t>。</w:t>
      </w:r>
    </w:p>
    <w:p>
      <w:pPr>
        <w:tabs>
          <w:tab w:val="left" w:pos="2291"/>
        </w:tabs>
        <w:ind w:left="220" w:firstLine="422"/>
        <w:jc w:val="center"/>
        <w:rPr>
          <w:b/>
          <w:sz w:val="21"/>
        </w:rPr>
      </w:pPr>
      <w:r>
        <w:rPr>
          <w:b/>
          <w:sz w:val="21"/>
        </w:rPr>
        <w:t>表6.1-1</w:t>
      </w:r>
      <w:r>
        <w:rPr>
          <w:rFonts w:hint="eastAsia"/>
          <w:b/>
          <w:sz w:val="21"/>
        </w:rPr>
        <w:t xml:space="preserve">  </w:t>
      </w:r>
      <w:r>
        <w:rPr>
          <w:b/>
          <w:sz w:val="21"/>
        </w:rPr>
        <w:t>影响分析范围内排污口汇入</w:t>
      </w:r>
      <w:r>
        <w:rPr>
          <w:rFonts w:hint="eastAsia"/>
          <w:b/>
          <w:sz w:val="21"/>
        </w:rPr>
        <w:t>盖家川</w:t>
      </w:r>
      <w:r>
        <w:rPr>
          <w:b/>
          <w:sz w:val="21"/>
        </w:rPr>
        <w:t>信息表</w:t>
      </w:r>
    </w:p>
    <w:p>
      <w:pPr>
        <w:pStyle w:val="7"/>
        <w:spacing w:before="9"/>
        <w:ind w:firstLine="141"/>
        <w:rPr>
          <w:b/>
          <w:sz w:val="7"/>
        </w:rPr>
      </w:pP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15"/>
        <w:gridCol w:w="2552"/>
        <w:gridCol w:w="36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715" w:type="dxa"/>
            <w:vAlign w:val="center"/>
          </w:tcPr>
          <w:p>
            <w:pPr>
              <w:pStyle w:val="32"/>
              <w:spacing w:before="118"/>
              <w:ind w:right="1133" w:firstLine="0" w:firstLineChars="0"/>
              <w:rPr>
                <w:rFonts w:asciiTheme="minorHAnsi" w:hAnsiTheme="minorHAnsi" w:eastAsiaTheme="minorEastAsia"/>
                <w:sz w:val="21"/>
              </w:rPr>
            </w:pPr>
            <w:r>
              <w:rPr>
                <w:rFonts w:hint="eastAsia" w:asciiTheme="minorHAnsi" w:hAnsiTheme="minorHAnsi" w:eastAsiaTheme="minorEastAsia"/>
                <w:sz w:val="21"/>
              </w:rPr>
              <w:t>河流名称</w:t>
            </w:r>
          </w:p>
        </w:tc>
        <w:tc>
          <w:tcPr>
            <w:tcW w:w="2552" w:type="dxa"/>
            <w:vAlign w:val="center"/>
          </w:tcPr>
          <w:p>
            <w:pPr>
              <w:pStyle w:val="32"/>
              <w:spacing w:before="118"/>
              <w:ind w:firstLine="0" w:firstLineChars="0"/>
              <w:rPr>
                <w:rFonts w:asciiTheme="minorHAnsi" w:hAnsiTheme="minorHAnsi" w:eastAsiaTheme="minorEastAsia"/>
                <w:sz w:val="21"/>
              </w:rPr>
            </w:pPr>
            <w:r>
              <w:rPr>
                <w:rFonts w:hint="eastAsia" w:asciiTheme="minorHAnsi" w:hAnsiTheme="minorHAnsi" w:eastAsiaTheme="minorEastAsia"/>
                <w:sz w:val="21"/>
              </w:rPr>
              <w:t>河流距离（</w:t>
            </w:r>
            <w:r>
              <w:rPr>
                <w:rFonts w:asciiTheme="minorHAnsi" w:hAnsiTheme="minorHAnsi" w:eastAsiaTheme="minorEastAsia"/>
                <w:position w:val="1"/>
                <w:sz w:val="21"/>
              </w:rPr>
              <w:t>km</w:t>
            </w:r>
            <w:r>
              <w:rPr>
                <w:rFonts w:hint="eastAsia" w:asciiTheme="minorHAnsi" w:hAnsiTheme="minorHAnsi" w:eastAsiaTheme="minorEastAsia"/>
                <w:sz w:val="21"/>
              </w:rPr>
              <w:t>）</w:t>
            </w:r>
          </w:p>
        </w:tc>
        <w:tc>
          <w:tcPr>
            <w:tcW w:w="3601" w:type="dxa"/>
            <w:vAlign w:val="center"/>
          </w:tcPr>
          <w:p>
            <w:pPr>
              <w:pStyle w:val="32"/>
              <w:spacing w:before="118"/>
              <w:ind w:firstLine="0" w:firstLineChars="0"/>
              <w:rPr>
                <w:rFonts w:asciiTheme="minorHAnsi" w:hAnsiTheme="minorHAnsi" w:eastAsiaTheme="minorEastAsia"/>
                <w:sz w:val="21"/>
              </w:rPr>
            </w:pPr>
            <w:r>
              <w:rPr>
                <w:rFonts w:hint="eastAsia" w:asciiTheme="minorHAnsi" w:hAnsiTheme="minorHAnsi" w:eastAsiaTheme="minorEastAsia"/>
                <w:sz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715" w:type="dxa"/>
            <w:vAlign w:val="center"/>
          </w:tcPr>
          <w:p>
            <w:pPr>
              <w:pStyle w:val="32"/>
              <w:spacing w:before="118"/>
              <w:ind w:right="1133" w:firstLine="0" w:firstLineChars="0"/>
              <w:rPr>
                <w:rFonts w:asciiTheme="minorHAnsi" w:hAnsiTheme="minorHAnsi" w:eastAsiaTheme="minorEastAsia"/>
                <w:color w:val="000000" w:themeColor="text1"/>
                <w:sz w:val="21"/>
              </w:rPr>
            </w:pPr>
            <w:r>
              <w:rPr>
                <w:rFonts w:hint="eastAsia" w:asciiTheme="minorHAnsi" w:hAnsiTheme="minorHAnsi" w:eastAsiaTheme="minorEastAsia"/>
                <w:color w:val="000000" w:themeColor="text1"/>
                <w:sz w:val="21"/>
                <w:lang w:eastAsia="zh-CN"/>
              </w:rPr>
              <w:t>盖家川</w:t>
            </w:r>
          </w:p>
        </w:tc>
        <w:tc>
          <w:tcPr>
            <w:tcW w:w="2552" w:type="dxa"/>
            <w:vAlign w:val="center"/>
          </w:tcPr>
          <w:p>
            <w:pPr>
              <w:pStyle w:val="32"/>
              <w:spacing w:before="118"/>
              <w:ind w:firstLine="0" w:firstLineChars="0"/>
              <w:rPr>
                <w:rFonts w:asciiTheme="minorHAnsi" w:hAnsiTheme="minorHAnsi" w:eastAsiaTheme="minorEastAsia"/>
                <w:color w:val="000000" w:themeColor="text1"/>
                <w:sz w:val="21"/>
                <w:lang w:eastAsia="zh-CN"/>
              </w:rPr>
            </w:pPr>
            <w:r>
              <w:rPr>
                <w:rFonts w:asciiTheme="minorHAnsi" w:hAnsiTheme="minorHAnsi" w:eastAsiaTheme="minorEastAsia"/>
                <w:color w:val="000000" w:themeColor="text1"/>
              </w:rPr>
              <w:t>1</w:t>
            </w:r>
            <w:r>
              <w:rPr>
                <w:rFonts w:hint="eastAsia" w:asciiTheme="minorHAnsi" w:hAnsiTheme="minorHAnsi" w:eastAsiaTheme="minorEastAsia"/>
                <w:color w:val="000000" w:themeColor="text1"/>
                <w:lang w:eastAsia="zh-CN"/>
              </w:rPr>
              <w:t>6.38</w:t>
            </w:r>
          </w:p>
        </w:tc>
        <w:tc>
          <w:tcPr>
            <w:tcW w:w="3601" w:type="dxa"/>
            <w:vAlign w:val="center"/>
          </w:tcPr>
          <w:p>
            <w:pPr>
              <w:pStyle w:val="32"/>
              <w:spacing w:before="118"/>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排污口进入河流降解并混合</w:t>
            </w:r>
          </w:p>
        </w:tc>
      </w:tr>
    </w:tbl>
    <w:p>
      <w:pPr>
        <w:pStyle w:val="7"/>
        <w:spacing w:before="2"/>
        <w:ind w:firstLine="0" w:firstLineChars="0"/>
        <w:rPr>
          <w:b/>
        </w:rPr>
      </w:pPr>
    </w:p>
    <w:p>
      <w:pPr>
        <w:tabs>
          <w:tab w:val="left" w:pos="2291"/>
        </w:tabs>
        <w:ind w:left="220" w:firstLine="422"/>
        <w:jc w:val="center"/>
        <w:rPr>
          <w:b/>
          <w:sz w:val="21"/>
        </w:rPr>
      </w:pPr>
      <w:r>
        <w:rPr>
          <w:b/>
          <w:sz w:val="21"/>
        </w:rPr>
        <w:t>表6.1-2</w:t>
      </w:r>
      <w:r>
        <w:rPr>
          <w:rFonts w:hint="eastAsia"/>
          <w:b/>
          <w:sz w:val="21"/>
        </w:rPr>
        <w:t xml:space="preserve">  </w:t>
      </w:r>
      <w:r>
        <w:rPr>
          <w:b/>
          <w:sz w:val="21"/>
        </w:rPr>
        <w:t>影响分析范围内断面信息表</w:t>
      </w:r>
    </w:p>
    <w:p>
      <w:pPr>
        <w:pStyle w:val="7"/>
        <w:spacing w:before="9"/>
        <w:ind w:firstLine="141"/>
        <w:rPr>
          <w:b/>
          <w:sz w:val="7"/>
        </w:rPr>
      </w:pP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15"/>
        <w:gridCol w:w="2552"/>
        <w:gridCol w:w="36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715" w:type="dxa"/>
            <w:vAlign w:val="center"/>
          </w:tcPr>
          <w:p>
            <w:pPr>
              <w:pStyle w:val="32"/>
              <w:spacing w:before="121"/>
              <w:ind w:firstLine="0" w:firstLineChars="0"/>
              <w:rPr>
                <w:rFonts w:asciiTheme="minorHAnsi" w:hAnsiTheme="minorHAnsi" w:eastAsiaTheme="minorEastAsia"/>
                <w:sz w:val="21"/>
              </w:rPr>
            </w:pPr>
            <w:r>
              <w:rPr>
                <w:rFonts w:hint="eastAsia" w:asciiTheme="minorHAnsi" w:hAnsiTheme="minorHAnsi" w:eastAsiaTheme="minorEastAsia"/>
                <w:sz w:val="21"/>
              </w:rPr>
              <w:t>断面名称</w:t>
            </w:r>
          </w:p>
        </w:tc>
        <w:tc>
          <w:tcPr>
            <w:tcW w:w="2552" w:type="dxa"/>
            <w:vAlign w:val="center"/>
          </w:tcPr>
          <w:p>
            <w:pPr>
              <w:pStyle w:val="32"/>
              <w:spacing w:before="121"/>
              <w:ind w:firstLine="0" w:firstLineChars="0"/>
              <w:rPr>
                <w:rFonts w:asciiTheme="minorHAnsi" w:hAnsiTheme="minorHAnsi" w:eastAsiaTheme="minorEastAsia"/>
                <w:sz w:val="21"/>
              </w:rPr>
            </w:pPr>
            <w:r>
              <w:rPr>
                <w:rFonts w:hint="eastAsia" w:asciiTheme="minorHAnsi" w:hAnsiTheme="minorHAnsi" w:eastAsiaTheme="minorEastAsia"/>
                <w:sz w:val="21"/>
              </w:rPr>
              <w:t>距起点（</w:t>
            </w:r>
            <w:r>
              <w:rPr>
                <w:rFonts w:asciiTheme="minorHAnsi" w:hAnsiTheme="minorHAnsi" w:eastAsiaTheme="minorEastAsia"/>
                <w:position w:val="1"/>
                <w:sz w:val="21"/>
              </w:rPr>
              <w:t>km</w:t>
            </w:r>
            <w:r>
              <w:rPr>
                <w:rFonts w:hint="eastAsia" w:asciiTheme="minorHAnsi" w:hAnsiTheme="minorHAnsi" w:eastAsiaTheme="minorEastAsia"/>
                <w:sz w:val="21"/>
              </w:rPr>
              <w:t>）</w:t>
            </w:r>
          </w:p>
        </w:tc>
        <w:tc>
          <w:tcPr>
            <w:tcW w:w="3601" w:type="dxa"/>
            <w:vAlign w:val="center"/>
          </w:tcPr>
          <w:p>
            <w:pPr>
              <w:pStyle w:val="32"/>
              <w:spacing w:before="121"/>
              <w:ind w:firstLine="199" w:firstLineChars="95"/>
              <w:rPr>
                <w:rFonts w:asciiTheme="minorHAnsi" w:hAnsiTheme="minorHAnsi" w:eastAsiaTheme="minorEastAsia"/>
                <w:sz w:val="21"/>
              </w:rPr>
            </w:pPr>
            <w:r>
              <w:rPr>
                <w:rFonts w:hint="eastAsia" w:asciiTheme="minorHAnsi" w:hAnsiTheme="minorHAnsi" w:eastAsiaTheme="minorEastAsia"/>
                <w:sz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2715" w:type="dxa"/>
            <w:vAlign w:val="center"/>
          </w:tcPr>
          <w:p>
            <w:pPr>
              <w:pStyle w:val="32"/>
              <w:spacing w:before="118" w:line="240" w:lineRule="auto"/>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 xml:space="preserve">入河排污口与盖家川交汇处上游 </w:t>
            </w:r>
            <w:r>
              <w:rPr>
                <w:rFonts w:asciiTheme="minorHAnsi" w:hAnsiTheme="minorHAnsi" w:eastAsiaTheme="minorEastAsia"/>
                <w:color w:val="000000" w:themeColor="text1"/>
                <w:position w:val="1"/>
                <w:sz w:val="21"/>
                <w:lang w:eastAsia="zh-CN"/>
              </w:rPr>
              <w:t xml:space="preserve">500m </w:t>
            </w:r>
            <w:r>
              <w:rPr>
                <w:rFonts w:hint="eastAsia" w:asciiTheme="minorHAnsi" w:hAnsiTheme="minorHAnsi" w:eastAsiaTheme="minorEastAsia"/>
                <w:color w:val="000000" w:themeColor="text1"/>
                <w:sz w:val="21"/>
                <w:lang w:eastAsia="zh-CN"/>
              </w:rPr>
              <w:t>处</w:t>
            </w:r>
          </w:p>
        </w:tc>
        <w:tc>
          <w:tcPr>
            <w:tcW w:w="2552" w:type="dxa"/>
            <w:vAlign w:val="center"/>
          </w:tcPr>
          <w:p>
            <w:pPr>
              <w:pStyle w:val="32"/>
              <w:spacing w:line="240" w:lineRule="auto"/>
              <w:ind w:right="944" w:firstLine="0" w:firstLineChars="0"/>
              <w:rPr>
                <w:rFonts w:asciiTheme="minorHAnsi" w:hAnsiTheme="minorHAnsi" w:eastAsiaTheme="minorEastAsia"/>
                <w:color w:val="000000" w:themeColor="text1"/>
                <w:sz w:val="21"/>
              </w:rPr>
            </w:pPr>
            <w:r>
              <w:rPr>
                <w:rFonts w:hint="eastAsia" w:asciiTheme="minorHAnsi" w:hAnsiTheme="minorHAnsi" w:eastAsiaTheme="minorEastAsia"/>
                <w:color w:val="000000" w:themeColor="text1"/>
                <w:sz w:val="21"/>
                <w:lang w:eastAsia="zh-CN"/>
              </w:rPr>
              <w:t xml:space="preserve">         </w:t>
            </w:r>
            <w:r>
              <w:rPr>
                <w:rFonts w:asciiTheme="minorHAnsi" w:hAnsiTheme="minorHAnsi" w:eastAsiaTheme="minorEastAsia"/>
                <w:color w:val="000000" w:themeColor="text1"/>
                <w:sz w:val="21"/>
              </w:rPr>
              <w:t>0.5</w:t>
            </w:r>
          </w:p>
        </w:tc>
        <w:tc>
          <w:tcPr>
            <w:tcW w:w="3601" w:type="dxa"/>
            <w:vAlign w:val="center"/>
          </w:tcPr>
          <w:p>
            <w:pPr>
              <w:pStyle w:val="32"/>
              <w:spacing w:before="1" w:line="240" w:lineRule="auto"/>
              <w:ind w:firstLine="0" w:firstLineChars="0"/>
              <w:rPr>
                <w:rFonts w:asciiTheme="minorHAnsi" w:hAnsiTheme="minorHAnsi" w:eastAsiaTheme="minorEastAsia"/>
                <w:color w:val="000000" w:themeColor="text1"/>
                <w:sz w:val="21"/>
              </w:rPr>
            </w:pPr>
            <w:r>
              <w:rPr>
                <w:rFonts w:hint="eastAsia" w:asciiTheme="minorHAnsi" w:hAnsiTheme="minorHAnsi" w:eastAsiaTheme="minorEastAsia"/>
                <w:color w:val="000000" w:themeColor="text1"/>
                <w:sz w:val="21"/>
              </w:rPr>
              <w:t>对照断面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715" w:type="dxa"/>
            <w:vAlign w:val="center"/>
          </w:tcPr>
          <w:p>
            <w:pPr>
              <w:pStyle w:val="32"/>
              <w:spacing w:before="121"/>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入河排污口入盖家川口处</w:t>
            </w:r>
          </w:p>
        </w:tc>
        <w:tc>
          <w:tcPr>
            <w:tcW w:w="2552" w:type="dxa"/>
            <w:vAlign w:val="center"/>
          </w:tcPr>
          <w:p>
            <w:pPr>
              <w:pStyle w:val="32"/>
              <w:spacing w:before="132"/>
              <w:ind w:firstLine="0" w:firstLineChars="0"/>
              <w:rPr>
                <w:rFonts w:asciiTheme="minorHAnsi" w:hAnsiTheme="minorHAnsi" w:eastAsiaTheme="minorEastAsia"/>
                <w:color w:val="000000" w:themeColor="text1"/>
                <w:sz w:val="21"/>
              </w:rPr>
            </w:pPr>
            <w:r>
              <w:rPr>
                <w:rFonts w:asciiTheme="minorHAnsi" w:hAnsiTheme="minorHAnsi" w:eastAsiaTheme="minorEastAsia"/>
                <w:color w:val="000000" w:themeColor="text1"/>
                <w:sz w:val="21"/>
              </w:rPr>
              <w:t>0</w:t>
            </w:r>
          </w:p>
        </w:tc>
        <w:tc>
          <w:tcPr>
            <w:tcW w:w="3601" w:type="dxa"/>
            <w:vAlign w:val="center"/>
          </w:tcPr>
          <w:p>
            <w:pPr>
              <w:pStyle w:val="32"/>
              <w:spacing w:before="121"/>
              <w:ind w:firstLine="0" w:firstLineChars="0"/>
              <w:rPr>
                <w:rFonts w:asciiTheme="minorHAnsi" w:hAnsiTheme="minorHAnsi" w:eastAsiaTheme="minorEastAsia"/>
                <w:color w:val="000000" w:themeColor="text1"/>
                <w:sz w:val="21"/>
              </w:rPr>
            </w:pPr>
            <w:r>
              <w:rPr>
                <w:rFonts w:hint="eastAsia" w:asciiTheme="minorHAnsi" w:hAnsiTheme="minorHAnsi" w:eastAsiaTheme="minorEastAsia"/>
                <w:color w:val="000000" w:themeColor="text1"/>
                <w:sz w:val="21"/>
              </w:rPr>
              <w:t>控制断面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jc w:val="center"/>
        </w:trPr>
        <w:tc>
          <w:tcPr>
            <w:tcW w:w="2715" w:type="dxa"/>
            <w:vAlign w:val="center"/>
          </w:tcPr>
          <w:p>
            <w:pPr>
              <w:pStyle w:val="32"/>
              <w:spacing w:before="118"/>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入河排污口与盖家川交汇处下游 1</w:t>
            </w:r>
            <w:r>
              <w:rPr>
                <w:rFonts w:asciiTheme="minorHAnsi" w:hAnsiTheme="minorHAnsi" w:eastAsiaTheme="minorEastAsia"/>
                <w:color w:val="000000" w:themeColor="text1"/>
                <w:sz w:val="21"/>
                <w:lang w:eastAsia="zh-CN"/>
              </w:rPr>
              <w:t xml:space="preserve">500m </w:t>
            </w:r>
            <w:r>
              <w:rPr>
                <w:rFonts w:hint="eastAsia" w:asciiTheme="minorHAnsi" w:hAnsiTheme="minorHAnsi" w:eastAsiaTheme="minorEastAsia"/>
                <w:color w:val="000000" w:themeColor="text1"/>
                <w:sz w:val="21"/>
                <w:lang w:eastAsia="zh-CN"/>
              </w:rPr>
              <w:t>处</w:t>
            </w:r>
          </w:p>
        </w:tc>
        <w:tc>
          <w:tcPr>
            <w:tcW w:w="2552" w:type="dxa"/>
            <w:vAlign w:val="center"/>
          </w:tcPr>
          <w:p>
            <w:pPr>
              <w:pStyle w:val="32"/>
              <w:spacing w:before="130"/>
              <w:ind w:right="944"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 xml:space="preserve">         1.5</w:t>
            </w:r>
          </w:p>
        </w:tc>
        <w:tc>
          <w:tcPr>
            <w:tcW w:w="3601" w:type="dxa"/>
            <w:vAlign w:val="center"/>
          </w:tcPr>
          <w:p>
            <w:pPr>
              <w:pStyle w:val="32"/>
              <w:spacing w:before="118"/>
              <w:ind w:firstLine="0" w:firstLineChars="0"/>
              <w:rPr>
                <w:rFonts w:asciiTheme="minorHAnsi" w:hAnsiTheme="minorHAnsi" w:eastAsiaTheme="minorEastAsia"/>
                <w:color w:val="000000" w:themeColor="text1"/>
                <w:sz w:val="21"/>
              </w:rPr>
            </w:pPr>
            <w:r>
              <w:rPr>
                <w:rFonts w:hint="eastAsia" w:asciiTheme="minorHAnsi" w:hAnsiTheme="minorHAnsi" w:eastAsiaTheme="minorEastAsia"/>
                <w:color w:val="000000" w:themeColor="text1"/>
                <w:sz w:val="21"/>
                <w:lang w:eastAsia="zh-CN"/>
              </w:rPr>
              <w:t>消减</w:t>
            </w:r>
            <w:r>
              <w:rPr>
                <w:rFonts w:hint="eastAsia" w:asciiTheme="minorHAnsi" w:hAnsiTheme="minorHAnsi" w:eastAsiaTheme="minorEastAsia"/>
                <w:color w:val="000000" w:themeColor="text1"/>
                <w:sz w:val="21"/>
              </w:rPr>
              <w:t>断面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jc w:val="center"/>
        </w:trPr>
        <w:tc>
          <w:tcPr>
            <w:tcW w:w="2715" w:type="dxa"/>
            <w:vAlign w:val="center"/>
          </w:tcPr>
          <w:p>
            <w:pPr>
              <w:pStyle w:val="32"/>
              <w:spacing w:before="118"/>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盖家川口汇入马莲河口</w:t>
            </w:r>
          </w:p>
        </w:tc>
        <w:tc>
          <w:tcPr>
            <w:tcW w:w="2552" w:type="dxa"/>
            <w:vAlign w:val="center"/>
          </w:tcPr>
          <w:p>
            <w:pPr>
              <w:pStyle w:val="32"/>
              <w:spacing w:before="130"/>
              <w:ind w:right="944"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 xml:space="preserve">         6.0</w:t>
            </w:r>
          </w:p>
        </w:tc>
        <w:tc>
          <w:tcPr>
            <w:tcW w:w="3601" w:type="dxa"/>
            <w:vAlign w:val="center"/>
          </w:tcPr>
          <w:p>
            <w:pPr>
              <w:pStyle w:val="32"/>
              <w:spacing w:before="118"/>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消减断面</w:t>
            </w:r>
          </w:p>
        </w:tc>
      </w:tr>
    </w:tbl>
    <w:p>
      <w:pPr>
        <w:ind w:firstLine="480"/>
      </w:pPr>
      <w:r>
        <w:rPr>
          <w:rFonts w:hint="eastAsia"/>
        </w:rPr>
        <w:t>（2）控制因子</w:t>
      </w:r>
    </w:p>
    <w:p>
      <w:pPr>
        <w:ind w:firstLine="480"/>
      </w:pPr>
      <w:r>
        <w:rPr>
          <w:rFonts w:hint="eastAsia"/>
        </w:rPr>
        <w:t>根据合水县何家畔镇何家畔村截污控源工程水污染物排放特征，结合水功能区水质管理需要，</w:t>
      </w:r>
      <w:r>
        <w:t>选择COD、氨氮为模型分析控制因子。</w:t>
      </w:r>
    </w:p>
    <w:p>
      <w:pPr>
        <w:ind w:firstLine="480"/>
      </w:pPr>
      <w:r>
        <w:rPr>
          <w:rFonts w:hint="eastAsia"/>
        </w:rPr>
        <w:t>（3）设计流量与设计流速</w:t>
      </w:r>
    </w:p>
    <w:p>
      <w:pPr>
        <w:ind w:firstLine="480"/>
        <w:rPr>
          <w:color w:val="FF0000"/>
        </w:rPr>
      </w:pPr>
      <w:r>
        <w:t>根据《甘肃省黄河流域（片）重要江河湖泊水功能区纳污能力核定和分阶段限制排污总量控制方案》一般采用</w:t>
      </w:r>
      <w:r>
        <w:rPr>
          <w:rFonts w:hint="eastAsia"/>
          <w:color w:val="000000" w:themeColor="text1"/>
        </w:rPr>
        <w:t>多</w:t>
      </w:r>
      <w:r>
        <w:t>年最枯月平均流量（水</w:t>
      </w:r>
      <w:r>
        <w:rPr>
          <w:color w:val="000000" w:themeColor="text1"/>
        </w:rPr>
        <w:t>量</w:t>
      </w:r>
      <w:r>
        <w:t>）或90%保证率最枯月平均流量（水量）作为设计流量（水量）。本次选用</w:t>
      </w:r>
      <w:r>
        <w:rPr>
          <w:rFonts w:hint="eastAsia"/>
        </w:rPr>
        <w:t>多</w:t>
      </w:r>
      <w:r>
        <w:t>年最枯月平均流量（水量）作为设计水量，</w:t>
      </w:r>
      <w:r>
        <w:rPr>
          <w:rFonts w:hint="eastAsia"/>
        </w:rPr>
        <w:t>盖家川入河排污</w:t>
      </w:r>
      <w:r>
        <w:rPr>
          <w:rFonts w:hint="eastAsia"/>
          <w:color w:val="000000" w:themeColor="text1"/>
        </w:rPr>
        <w:t>口</w:t>
      </w:r>
      <w:r>
        <w:rPr>
          <w:color w:val="000000" w:themeColor="text1"/>
        </w:rPr>
        <w:t>论证断面，多年最枯月平均流量</w:t>
      </w:r>
      <w:r>
        <w:rPr>
          <w:rFonts w:hint="eastAsia"/>
          <w:color w:val="000000" w:themeColor="text1"/>
        </w:rPr>
        <w:t>0.04</w:t>
      </w:r>
      <w:r>
        <w:rPr>
          <w:color w:val="000000" w:themeColor="text1"/>
        </w:rPr>
        <w:t>m</w:t>
      </w:r>
      <w:r>
        <w:rPr>
          <w:color w:val="000000" w:themeColor="text1"/>
          <w:vertAlign w:val="superscript"/>
        </w:rPr>
        <w:t>3</w:t>
      </w:r>
      <w:r>
        <w:rPr>
          <w:color w:val="000000" w:themeColor="text1"/>
        </w:rPr>
        <w:t>/s，流速0.</w:t>
      </w:r>
      <w:r>
        <w:rPr>
          <w:rFonts w:hint="eastAsia"/>
          <w:color w:val="000000" w:themeColor="text1"/>
        </w:rPr>
        <w:t>55</w:t>
      </w:r>
      <w:r>
        <w:rPr>
          <w:color w:val="000000" w:themeColor="text1"/>
        </w:rPr>
        <w:t>m/s</w:t>
      </w:r>
      <w:r>
        <w:rPr>
          <w:rFonts w:hint="eastAsia"/>
          <w:color w:val="000000" w:themeColor="text1"/>
        </w:rPr>
        <w:t>。</w:t>
      </w:r>
    </w:p>
    <w:p>
      <w:pPr>
        <w:ind w:firstLine="480"/>
      </w:pPr>
      <w:r>
        <w:rPr>
          <w:rFonts w:hint="eastAsia"/>
        </w:rPr>
        <w:t>（</w:t>
      </w:r>
      <w:r>
        <w:t>4）污染物综合降解系数</w:t>
      </w:r>
    </w:p>
    <w:p>
      <w:pPr>
        <w:ind w:firstLine="480"/>
      </w:pPr>
      <w:r>
        <w:rPr>
          <w:rFonts w:hint="eastAsia"/>
        </w:rPr>
        <w:t>污染物综合降解系数是反映水体中污染物降解速度快慢的重要参数。降解系数越大，污染物衰减越快。污染物在水体中降解不仅过程复杂，而且影响因素众多，</w:t>
      </w:r>
      <w:r>
        <w:t xml:space="preserve"> 降解过程包括物理净化过程（稀释混合、沉降、吸附、絮凝）、化学净化过程（分解化合、酸碱反应、氧化还原）和生物净化过程（生物分解、生物转化、生物富集） 等，这些过程往往同时进行，过程长短不一，对污染物降解作用大小不等。污染物综合降解系数主要通过水团追踪试验、实测资料反推、类比等方法确定。在《甘肃省黄河流域（片）重要江河湖泊水功能区纳污能力核定和分阶段限制排污总量控制方案》</w:t>
      </w:r>
      <w:r>
        <w:rPr>
          <w:rFonts w:hint="eastAsia"/>
        </w:rPr>
        <w:t>中，对纳污河段的降解系数进行了研究，黄河流域支流渭河化学需氧量的降解系数</w:t>
      </w:r>
      <w:r>
        <w:t>K值为0.40d</w:t>
      </w:r>
      <w:r>
        <w:rPr>
          <w:vertAlign w:val="superscript"/>
        </w:rPr>
        <w:t>-1</w:t>
      </w:r>
      <w:r>
        <w:t>，氨氮的降解系数K为0.25d</w:t>
      </w:r>
      <w:r>
        <w:rPr>
          <w:vertAlign w:val="superscript"/>
        </w:rPr>
        <w:t>-1</w:t>
      </w:r>
      <w:r>
        <w:t>。黄河流域除渭河以外的其他河流化学需氧量的K降解系数值为0.40d</w:t>
      </w:r>
      <w:r>
        <w:rPr>
          <w:vertAlign w:val="superscript"/>
        </w:rPr>
        <w:t>-1</w:t>
      </w:r>
      <w:r>
        <w:t>，氨氮的降解系数K为0.33d</w:t>
      </w:r>
      <w:r>
        <w:rPr>
          <w:vertAlign w:val="superscript"/>
        </w:rPr>
        <w:t>-1</w:t>
      </w:r>
      <w:r>
        <w:t>。本次确定出COD 的综合降解系数年均值为0.40d</w:t>
      </w:r>
      <w:r>
        <w:rPr>
          <w:vertAlign w:val="superscript"/>
        </w:rPr>
        <w:t>-1</w:t>
      </w:r>
      <w:r>
        <w:t>，氨氮的综合降解系数年均值为0.33d</w:t>
      </w:r>
      <w:r>
        <w:rPr>
          <w:vertAlign w:val="superscript"/>
        </w:rPr>
        <w:t>-1</w:t>
      </w:r>
      <w:r>
        <w:t>。</w:t>
      </w:r>
    </w:p>
    <w:p>
      <w:pPr>
        <w:ind w:firstLine="480"/>
        <w:rPr>
          <w:color w:val="FF0000"/>
        </w:rPr>
      </w:pPr>
      <w:r>
        <w:rPr>
          <w:rFonts w:hint="eastAsia"/>
        </w:rPr>
        <w:t>对于盖家段五日生化需要量的综合降解系数，</w:t>
      </w:r>
      <w:r>
        <w:rPr>
          <w:rFonts w:hint="eastAsia"/>
          <w:color w:val="000000" w:themeColor="text1"/>
        </w:rPr>
        <w:t>黄河流域水资源保护局在《黄河重点河段水功能区划及入河污染物总量控制方案研究》项目中对国内外</w:t>
      </w:r>
      <w:r>
        <w:rPr>
          <w:color w:val="000000" w:themeColor="text1"/>
        </w:rPr>
        <w:t>24条河流的经验值进行了统计。本论证参考其研究成果，并结合</w:t>
      </w:r>
      <w:r>
        <w:rPr>
          <w:rFonts w:hint="eastAsia"/>
          <w:color w:val="000000" w:themeColor="text1"/>
        </w:rPr>
        <w:t>合水县</w:t>
      </w:r>
      <w:r>
        <w:rPr>
          <w:color w:val="000000" w:themeColor="text1"/>
        </w:rPr>
        <w:t>河段实际情况，经综合分析，确定</w:t>
      </w:r>
      <w:r>
        <w:rPr>
          <w:rFonts w:hint="eastAsia"/>
          <w:color w:val="000000" w:themeColor="text1"/>
        </w:rPr>
        <w:t>合水县</w:t>
      </w:r>
      <w:r>
        <w:rPr>
          <w:color w:val="000000" w:themeColor="text1"/>
        </w:rPr>
        <w:t>河段五日生化需要量的综合降解系数年均值为0.3d-1。总磷的综合降解系数取0.08d-1。</w:t>
      </w:r>
    </w:p>
    <w:p>
      <w:pPr>
        <w:ind w:firstLine="480"/>
      </w:pPr>
      <w:r>
        <w:rPr>
          <w:rFonts w:hint="eastAsia"/>
        </w:rPr>
        <w:t>各控制因子的降解系数，见表</w:t>
      </w:r>
      <w:r>
        <w:t>6.1-3。</w:t>
      </w:r>
    </w:p>
    <w:p>
      <w:pPr>
        <w:tabs>
          <w:tab w:val="left" w:pos="2291"/>
        </w:tabs>
        <w:ind w:left="220" w:firstLine="422"/>
        <w:jc w:val="center"/>
        <w:rPr>
          <w:b/>
          <w:sz w:val="21"/>
        </w:rPr>
      </w:pPr>
      <w:r>
        <w:rPr>
          <w:b/>
          <w:sz w:val="21"/>
        </w:rPr>
        <w:t>表 6.1-3</w:t>
      </w:r>
      <w:r>
        <w:rPr>
          <w:rFonts w:hint="eastAsia"/>
          <w:b/>
          <w:sz w:val="21"/>
        </w:rPr>
        <w:t xml:space="preserve">  </w:t>
      </w:r>
      <w:r>
        <w:rPr>
          <w:b/>
          <w:sz w:val="21"/>
        </w:rPr>
        <w:t>各控制因子的降解系数</w:t>
      </w:r>
    </w:p>
    <w:p>
      <w:pPr>
        <w:pStyle w:val="7"/>
        <w:spacing w:before="10"/>
        <w:ind w:firstLine="141"/>
        <w:rPr>
          <w:b/>
          <w:sz w:val="7"/>
        </w:rPr>
      </w:pPr>
    </w:p>
    <w:tbl>
      <w:tblPr>
        <w:tblStyle w:val="31"/>
        <w:tblW w:w="0" w:type="auto"/>
        <w:tblInd w:w="4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93"/>
        <w:gridCol w:w="4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3793" w:type="dxa"/>
            <w:vAlign w:val="center"/>
          </w:tcPr>
          <w:p>
            <w:pPr>
              <w:pStyle w:val="32"/>
              <w:spacing w:before="104"/>
              <w:ind w:right="663" w:firstLine="0" w:firstLineChars="0"/>
              <w:rPr>
                <w:rFonts w:asciiTheme="minorHAnsi" w:hAnsiTheme="minorHAnsi" w:eastAsiaTheme="minorEastAsia"/>
                <w:sz w:val="21"/>
              </w:rPr>
            </w:pPr>
            <w:r>
              <w:rPr>
                <w:rFonts w:hint="eastAsia" w:asciiTheme="minorHAnsi" w:hAnsiTheme="minorHAnsi" w:eastAsiaTheme="minorEastAsia"/>
                <w:sz w:val="21"/>
              </w:rPr>
              <w:t>控制因子</w:t>
            </w:r>
          </w:p>
        </w:tc>
        <w:tc>
          <w:tcPr>
            <w:tcW w:w="4504" w:type="dxa"/>
            <w:vAlign w:val="center"/>
          </w:tcPr>
          <w:p>
            <w:pPr>
              <w:pStyle w:val="32"/>
              <w:spacing w:before="104"/>
              <w:ind w:right="1272" w:firstLineChars="0"/>
              <w:rPr>
                <w:rFonts w:asciiTheme="minorHAnsi" w:hAnsiTheme="minorHAnsi" w:eastAsiaTheme="minorEastAsia"/>
                <w:sz w:val="21"/>
              </w:rPr>
            </w:pPr>
            <w:r>
              <w:rPr>
                <w:rFonts w:hint="eastAsia" w:asciiTheme="minorHAnsi" w:hAnsiTheme="minorHAnsi" w:eastAsiaTheme="minorEastAsia"/>
                <w:sz w:val="21"/>
              </w:rPr>
              <w:t>降解系数（</w:t>
            </w:r>
            <w:r>
              <w:rPr>
                <w:rFonts w:asciiTheme="minorHAnsi" w:hAnsiTheme="minorHAnsi" w:eastAsiaTheme="minorEastAsia"/>
                <w:sz w:val="21"/>
              </w:rPr>
              <w:t>d</w:t>
            </w:r>
            <w:r>
              <w:rPr>
                <w:rFonts w:asciiTheme="minorHAnsi" w:hAnsiTheme="minorHAnsi" w:eastAsiaTheme="minorEastAsia"/>
                <w:sz w:val="21"/>
                <w:vertAlign w:val="superscript"/>
              </w:rPr>
              <w:t>-1</w:t>
            </w:r>
            <w:r>
              <w:rPr>
                <w:rFonts w:hint="eastAsia" w:asciiTheme="minorHAnsi" w:hAnsiTheme="minorHAnsi" w:eastAsiaTheme="minorEastAsia"/>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3793" w:type="dxa"/>
            <w:vAlign w:val="center"/>
          </w:tcPr>
          <w:p>
            <w:pPr>
              <w:pStyle w:val="32"/>
              <w:spacing w:before="115"/>
              <w:ind w:right="667" w:firstLine="0" w:firstLineChars="0"/>
              <w:rPr>
                <w:rFonts w:asciiTheme="minorHAnsi" w:hAnsiTheme="minorHAnsi" w:eastAsiaTheme="minorEastAsia"/>
                <w:sz w:val="21"/>
              </w:rPr>
            </w:pPr>
            <w:r>
              <w:rPr>
                <w:rFonts w:asciiTheme="minorHAnsi" w:hAnsiTheme="minorHAnsi" w:eastAsiaTheme="minorEastAsia"/>
                <w:sz w:val="21"/>
              </w:rPr>
              <w:t>COD</w:t>
            </w:r>
          </w:p>
        </w:tc>
        <w:tc>
          <w:tcPr>
            <w:tcW w:w="4504" w:type="dxa"/>
            <w:vAlign w:val="center"/>
          </w:tcPr>
          <w:p>
            <w:pPr>
              <w:pStyle w:val="32"/>
              <w:spacing w:before="115"/>
              <w:ind w:right="1272" w:firstLine="0" w:firstLineChars="0"/>
              <w:rPr>
                <w:rFonts w:asciiTheme="minorHAnsi" w:hAnsiTheme="minorHAnsi" w:eastAsiaTheme="minorEastAsia"/>
                <w:sz w:val="21"/>
              </w:rPr>
            </w:pPr>
            <w:r>
              <w:rPr>
                <w:rFonts w:asciiTheme="minorHAnsi" w:hAnsiTheme="minorHAnsi" w:eastAsiaTheme="minorEastAsia"/>
                <w:sz w:val="21"/>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3793" w:type="dxa"/>
            <w:vAlign w:val="center"/>
          </w:tcPr>
          <w:p>
            <w:pPr>
              <w:pStyle w:val="32"/>
              <w:spacing w:before="104"/>
              <w:ind w:right="665" w:firstLine="0" w:firstLineChars="0"/>
              <w:rPr>
                <w:rFonts w:asciiTheme="minorHAnsi" w:hAnsiTheme="minorHAnsi" w:eastAsiaTheme="minorEastAsia"/>
                <w:sz w:val="21"/>
              </w:rPr>
            </w:pPr>
            <w:r>
              <w:rPr>
                <w:rFonts w:hint="eastAsia" w:asciiTheme="minorHAnsi" w:hAnsiTheme="minorHAnsi" w:eastAsiaTheme="minorEastAsia"/>
                <w:sz w:val="21"/>
              </w:rPr>
              <w:t>氨氮</w:t>
            </w:r>
          </w:p>
        </w:tc>
        <w:tc>
          <w:tcPr>
            <w:tcW w:w="4504" w:type="dxa"/>
            <w:vAlign w:val="center"/>
          </w:tcPr>
          <w:p>
            <w:pPr>
              <w:pStyle w:val="32"/>
              <w:spacing w:before="115"/>
              <w:ind w:right="1272" w:firstLine="0" w:firstLineChars="0"/>
              <w:rPr>
                <w:rFonts w:asciiTheme="minorHAnsi" w:hAnsiTheme="minorHAnsi" w:eastAsiaTheme="minorEastAsia"/>
                <w:sz w:val="21"/>
              </w:rPr>
            </w:pPr>
            <w:r>
              <w:rPr>
                <w:rFonts w:asciiTheme="minorHAnsi" w:hAnsiTheme="minorHAnsi" w:eastAsiaTheme="minorEastAsia"/>
                <w:sz w:val="21"/>
              </w:rPr>
              <w:t>0.33</w:t>
            </w:r>
          </w:p>
        </w:tc>
      </w:tr>
    </w:tbl>
    <w:p>
      <w:pPr>
        <w:ind w:firstLine="480"/>
      </w:pPr>
      <w:r>
        <w:rPr>
          <w:rFonts w:hint="eastAsia"/>
        </w:rPr>
        <w:t>（5</w:t>
      </w:r>
      <w:r>
        <w:t>）</w:t>
      </w:r>
      <w:r>
        <w:rPr>
          <w:rFonts w:hint="eastAsia"/>
        </w:rPr>
        <w:t>上游背景浓度</w:t>
      </w:r>
    </w:p>
    <w:p>
      <w:pPr>
        <w:pStyle w:val="7"/>
        <w:spacing w:before="112"/>
        <w:ind w:firstLine="480"/>
      </w:pPr>
      <w:r>
        <w:t>按照</w:t>
      </w:r>
      <w:r>
        <w:rPr>
          <w:rFonts w:hint="eastAsia"/>
        </w:rPr>
        <w:t>盖家川</w:t>
      </w:r>
      <w:r>
        <w:t>上游来水条件，按照地表水</w:t>
      </w:r>
      <w:r>
        <w:rPr>
          <w:rFonts w:hint="eastAsia" w:ascii="宋体" w:hAnsi="宋体"/>
        </w:rPr>
        <w:t>Ⅲ</w:t>
      </w:r>
      <w:r>
        <w:t>类标准限值，确定各控制因子的上游背景浓度值见表</w:t>
      </w:r>
      <w:r>
        <w:rPr>
          <w:rFonts w:eastAsia="Times New Roman"/>
        </w:rPr>
        <w:t>6.1-4</w:t>
      </w:r>
      <w:r>
        <w:t>。</w:t>
      </w:r>
    </w:p>
    <w:p>
      <w:pPr>
        <w:tabs>
          <w:tab w:val="left" w:pos="2291"/>
        </w:tabs>
        <w:ind w:firstLine="0" w:firstLineChars="0"/>
        <w:jc w:val="center"/>
        <w:rPr>
          <w:b/>
          <w:sz w:val="21"/>
        </w:rPr>
      </w:pPr>
      <w:r>
        <w:rPr>
          <w:b/>
          <w:sz w:val="21"/>
        </w:rPr>
        <w:t>表 6.1-4</w:t>
      </w:r>
      <w:r>
        <w:rPr>
          <w:rFonts w:hint="eastAsia"/>
          <w:b/>
          <w:sz w:val="21"/>
        </w:rPr>
        <w:t xml:space="preserve">  </w:t>
      </w:r>
      <w:r>
        <w:rPr>
          <w:b/>
          <w:sz w:val="21"/>
        </w:rPr>
        <w:t>上游背景浓度</w:t>
      </w:r>
    </w:p>
    <w:p>
      <w:pPr>
        <w:pStyle w:val="7"/>
        <w:spacing w:before="7"/>
        <w:ind w:firstLine="161"/>
        <w:rPr>
          <w:b/>
          <w:sz w:val="8"/>
        </w:rPr>
      </w:pP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24"/>
        <w:gridCol w:w="1926"/>
        <w:gridCol w:w="19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3224" w:type="dxa"/>
            <w:vAlign w:val="center"/>
          </w:tcPr>
          <w:p>
            <w:pPr>
              <w:pStyle w:val="32"/>
              <w:spacing w:before="104"/>
              <w:ind w:right="951" w:firstLine="0" w:firstLineChars="0"/>
              <w:rPr>
                <w:rFonts w:asciiTheme="minorHAnsi" w:hAnsiTheme="minorHAnsi" w:eastAsiaTheme="minorEastAsia"/>
                <w:b/>
                <w:sz w:val="21"/>
              </w:rPr>
            </w:pPr>
            <w:r>
              <w:rPr>
                <w:rFonts w:hint="eastAsia" w:asciiTheme="minorHAnsi" w:hAnsiTheme="minorHAnsi" w:eastAsiaTheme="minorEastAsia"/>
                <w:b/>
                <w:sz w:val="21"/>
                <w:lang w:eastAsia="zh-CN"/>
              </w:rPr>
              <w:t xml:space="preserve">      </w:t>
            </w:r>
            <w:r>
              <w:rPr>
                <w:rFonts w:hint="eastAsia" w:asciiTheme="minorHAnsi" w:hAnsiTheme="minorHAnsi" w:eastAsiaTheme="minorEastAsia"/>
                <w:b/>
                <w:sz w:val="21"/>
              </w:rPr>
              <w:t>控制因子</w:t>
            </w:r>
          </w:p>
        </w:tc>
        <w:tc>
          <w:tcPr>
            <w:tcW w:w="1926" w:type="dxa"/>
            <w:vAlign w:val="center"/>
          </w:tcPr>
          <w:p>
            <w:pPr>
              <w:pStyle w:val="32"/>
              <w:spacing w:before="118"/>
              <w:ind w:right="387" w:firstLine="0" w:firstLineChars="0"/>
              <w:rPr>
                <w:rFonts w:asciiTheme="minorHAnsi" w:hAnsiTheme="minorHAnsi" w:eastAsiaTheme="minorEastAsia"/>
                <w:b/>
                <w:sz w:val="21"/>
              </w:rPr>
            </w:pPr>
            <w:r>
              <w:rPr>
                <w:rFonts w:asciiTheme="minorHAnsi" w:hAnsiTheme="minorHAnsi" w:eastAsiaTheme="minorEastAsia"/>
                <w:b/>
                <w:sz w:val="21"/>
              </w:rPr>
              <w:t>COD</w:t>
            </w:r>
            <w:r>
              <w:rPr>
                <w:rFonts w:hint="eastAsia" w:asciiTheme="minorHAnsi" w:hAnsiTheme="minorHAnsi" w:eastAsiaTheme="minorEastAsia"/>
                <w:b/>
                <w:sz w:val="21"/>
              </w:rPr>
              <w:t xml:space="preserve"> </w:t>
            </w:r>
            <w:r>
              <w:rPr>
                <w:rFonts w:hint="eastAsia" w:asciiTheme="minorHAnsi" w:hAnsiTheme="minorHAnsi" w:eastAsiaTheme="minorEastAsia"/>
                <w:b/>
                <w:sz w:val="21"/>
                <w:lang w:eastAsia="zh-CN"/>
              </w:rPr>
              <w:t>（</w:t>
            </w:r>
            <w:r>
              <w:rPr>
                <w:rFonts w:hint="eastAsia" w:asciiTheme="minorHAnsi" w:hAnsiTheme="minorHAnsi" w:eastAsiaTheme="minorEastAsia"/>
                <w:b/>
                <w:sz w:val="21"/>
              </w:rPr>
              <w:t>mg/L</w:t>
            </w:r>
            <w:r>
              <w:rPr>
                <w:rFonts w:hint="eastAsia" w:asciiTheme="minorHAnsi" w:hAnsiTheme="minorHAnsi" w:eastAsiaTheme="minorEastAsia"/>
                <w:b/>
                <w:sz w:val="21"/>
                <w:lang w:eastAsia="zh-CN"/>
              </w:rPr>
              <w:t>）</w:t>
            </w:r>
          </w:p>
        </w:tc>
        <w:tc>
          <w:tcPr>
            <w:tcW w:w="1927" w:type="dxa"/>
            <w:vAlign w:val="center"/>
          </w:tcPr>
          <w:p>
            <w:pPr>
              <w:pStyle w:val="32"/>
              <w:spacing w:before="104"/>
              <w:ind w:right="387" w:firstLine="0" w:firstLineChars="0"/>
              <w:rPr>
                <w:rFonts w:asciiTheme="minorHAnsi" w:hAnsiTheme="minorHAnsi" w:eastAsiaTheme="minorEastAsia"/>
                <w:b/>
                <w:sz w:val="21"/>
              </w:rPr>
            </w:pPr>
            <w:r>
              <w:rPr>
                <w:rFonts w:hint="eastAsia" w:asciiTheme="minorHAnsi" w:hAnsiTheme="minorHAnsi" w:eastAsiaTheme="minorEastAsia"/>
                <w:b/>
                <w:sz w:val="21"/>
                <w:lang w:eastAsia="zh-CN"/>
              </w:rPr>
              <w:t xml:space="preserve">    </w:t>
            </w:r>
            <w:r>
              <w:rPr>
                <w:rFonts w:hint="eastAsia" w:asciiTheme="minorHAnsi" w:hAnsiTheme="minorHAnsi" w:eastAsiaTheme="minorEastAsia"/>
                <w:b/>
                <w:sz w:val="21"/>
              </w:rPr>
              <w:t>氨氮（mg/L）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3224" w:type="dxa"/>
            <w:vAlign w:val="center"/>
          </w:tcPr>
          <w:p>
            <w:pPr>
              <w:pStyle w:val="32"/>
              <w:spacing w:before="104"/>
              <w:ind w:right="951" w:firstLine="0" w:firstLineChars="0"/>
              <w:rPr>
                <w:rFonts w:asciiTheme="minorHAnsi" w:hAnsiTheme="minorHAnsi" w:eastAsiaTheme="minorEastAsia"/>
                <w:color w:val="000000" w:themeColor="text1"/>
                <w:sz w:val="21"/>
              </w:rPr>
            </w:pPr>
            <w:r>
              <w:rPr>
                <w:rFonts w:hint="eastAsia" w:asciiTheme="minorHAnsi" w:hAnsiTheme="minorHAnsi" w:eastAsiaTheme="minorEastAsia"/>
                <w:color w:val="000000" w:themeColor="text1"/>
                <w:sz w:val="21"/>
                <w:lang w:eastAsia="zh-CN"/>
              </w:rPr>
              <w:t xml:space="preserve">    </w:t>
            </w:r>
            <w:r>
              <w:rPr>
                <w:rFonts w:hint="eastAsia" w:asciiTheme="minorHAnsi" w:hAnsiTheme="minorHAnsi" w:eastAsiaTheme="minorEastAsia"/>
                <w:color w:val="000000" w:themeColor="text1"/>
                <w:sz w:val="21"/>
              </w:rPr>
              <w:t>Ⅲ类标准限值</w:t>
            </w:r>
          </w:p>
        </w:tc>
        <w:tc>
          <w:tcPr>
            <w:tcW w:w="1926" w:type="dxa"/>
            <w:vAlign w:val="center"/>
          </w:tcPr>
          <w:p>
            <w:pPr>
              <w:pStyle w:val="32"/>
              <w:spacing w:before="115"/>
              <w:ind w:right="387"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20</w:t>
            </w:r>
          </w:p>
        </w:tc>
        <w:tc>
          <w:tcPr>
            <w:tcW w:w="1927" w:type="dxa"/>
            <w:vAlign w:val="center"/>
          </w:tcPr>
          <w:p>
            <w:pPr>
              <w:pStyle w:val="32"/>
              <w:spacing w:before="115"/>
              <w:ind w:firstLine="0" w:firstLineChars="0"/>
              <w:rPr>
                <w:rFonts w:asciiTheme="minorHAnsi" w:hAnsiTheme="minorHAnsi" w:eastAsiaTheme="minorEastAsia"/>
                <w:color w:val="000000" w:themeColor="text1"/>
                <w:sz w:val="21"/>
                <w:lang w:eastAsia="zh-CN"/>
              </w:rPr>
            </w:pPr>
            <w:r>
              <w:rPr>
                <w:rFonts w:hint="eastAsia" w:asciiTheme="minorHAnsi" w:hAnsiTheme="minorHAnsi" w:eastAsiaTheme="minorEastAsia"/>
                <w:color w:val="000000" w:themeColor="text1"/>
                <w:sz w:val="21"/>
                <w:lang w:eastAsia="zh-CN"/>
              </w:rPr>
              <w:t>1.0</w:t>
            </w:r>
          </w:p>
        </w:tc>
      </w:tr>
    </w:tbl>
    <w:p>
      <w:pPr>
        <w:ind w:firstLine="480"/>
        <w:rPr>
          <w:szCs w:val="24"/>
        </w:rPr>
      </w:pPr>
    </w:p>
    <w:p>
      <w:pPr>
        <w:pStyle w:val="4"/>
      </w:pPr>
      <w:r>
        <w:rPr>
          <w:rFonts w:hint="eastAsia"/>
        </w:rPr>
        <w:t>6.1.2 模拟工况选择</w:t>
      </w:r>
    </w:p>
    <w:p>
      <w:pPr>
        <w:pStyle w:val="5"/>
      </w:pPr>
      <w:r>
        <w:rPr>
          <w:rFonts w:hint="eastAsia"/>
        </w:rPr>
        <w:t>6.1.2.1 正常工况条件</w:t>
      </w:r>
    </w:p>
    <w:p>
      <w:pPr>
        <w:ind w:firstLine="480"/>
      </w:pPr>
      <w:r>
        <w:rPr>
          <w:rFonts w:hint="eastAsia"/>
        </w:rPr>
        <w:t>（1）设计污染物排放浓度</w:t>
      </w:r>
    </w:p>
    <w:p>
      <w:pPr>
        <w:ind w:firstLine="480"/>
      </w:pPr>
      <w:r>
        <w:t>鉴于</w:t>
      </w:r>
      <w:r>
        <w:rPr>
          <w:rFonts w:hint="eastAsia"/>
        </w:rPr>
        <w:t>合水县何家畔镇何家畔村截污控源工程</w:t>
      </w:r>
      <w:r>
        <w:t>处于</w:t>
      </w:r>
      <w:r>
        <w:rPr>
          <w:rFonts w:hint="eastAsia"/>
          <w:color w:val="000000" w:themeColor="text1"/>
        </w:rPr>
        <w:t>调试</w:t>
      </w:r>
      <w:r>
        <w:t>阶段，本论证主要以现行水污染物排放浓度控制标准限值作为正常工况设计排污浓度，以分析现行排污控制标准能否满足纳污水域水质管理需要。各控制因子设计排放浓度见表</w:t>
      </w:r>
      <w:r>
        <w:rPr>
          <w:rFonts w:eastAsia="Times New Roman"/>
        </w:rPr>
        <w:t>6.1-5</w:t>
      </w:r>
      <w:r>
        <w:t>。</w:t>
      </w:r>
    </w:p>
    <w:p>
      <w:pPr>
        <w:tabs>
          <w:tab w:val="left" w:pos="3057"/>
          <w:tab w:val="left" w:pos="7378"/>
        </w:tabs>
        <w:ind w:left="458" w:firstLine="422"/>
        <w:jc w:val="center"/>
        <w:rPr>
          <w:rFonts w:eastAsia="Times New Roman"/>
          <w:b/>
          <w:sz w:val="21"/>
        </w:rPr>
      </w:pPr>
      <w:r>
        <w:rPr>
          <w:b/>
          <w:sz w:val="21"/>
        </w:rPr>
        <w:t>表</w:t>
      </w:r>
      <w:r>
        <w:rPr>
          <w:b/>
          <w:spacing w:val="-52"/>
          <w:sz w:val="21"/>
        </w:rPr>
        <w:t xml:space="preserve"> </w:t>
      </w:r>
      <w:r>
        <w:rPr>
          <w:rFonts w:eastAsia="Times New Roman"/>
          <w:b/>
          <w:sz w:val="21"/>
        </w:rPr>
        <w:t>6.1-5</w:t>
      </w:r>
      <w:r>
        <w:rPr>
          <w:rFonts w:hint="eastAsia" w:eastAsiaTheme="minorEastAsia"/>
          <w:b/>
          <w:sz w:val="21"/>
        </w:rPr>
        <w:t xml:space="preserve">  </w:t>
      </w:r>
      <w:r>
        <w:rPr>
          <w:b/>
          <w:sz w:val="21"/>
        </w:rPr>
        <w:t>正常工况设计污</w:t>
      </w:r>
      <w:r>
        <w:rPr>
          <w:b/>
          <w:spacing w:val="-3"/>
          <w:sz w:val="21"/>
        </w:rPr>
        <w:t>染</w:t>
      </w:r>
      <w:r>
        <w:rPr>
          <w:b/>
          <w:sz w:val="21"/>
        </w:rPr>
        <w:t>物</w:t>
      </w:r>
      <w:r>
        <w:rPr>
          <w:b/>
          <w:spacing w:val="-3"/>
          <w:sz w:val="21"/>
        </w:rPr>
        <w:t>排</w:t>
      </w:r>
      <w:r>
        <w:rPr>
          <w:b/>
          <w:sz w:val="21"/>
        </w:rPr>
        <w:t>放浓度</w:t>
      </w:r>
      <w:r>
        <w:rPr>
          <w:b/>
          <w:sz w:val="21"/>
        </w:rPr>
        <w:tab/>
      </w:r>
      <w:r>
        <w:rPr>
          <w:b/>
          <w:sz w:val="21"/>
        </w:rPr>
        <w:t>单位</w:t>
      </w:r>
      <w:r>
        <w:rPr>
          <w:b/>
          <w:spacing w:val="-51"/>
          <w:sz w:val="21"/>
        </w:rPr>
        <w:t xml:space="preserve"> </w:t>
      </w:r>
      <w:r>
        <w:rPr>
          <w:rFonts w:eastAsia="Times New Roman"/>
          <w:b/>
          <w:sz w:val="21"/>
        </w:rPr>
        <w:t>mg/L</w:t>
      </w:r>
    </w:p>
    <w:p>
      <w:pPr>
        <w:pStyle w:val="7"/>
        <w:ind w:firstLine="161"/>
        <w:rPr>
          <w:b/>
          <w:sz w:val="8"/>
        </w:rPr>
      </w:pPr>
    </w:p>
    <w:tbl>
      <w:tblPr>
        <w:tblStyle w:val="31"/>
        <w:tblW w:w="0" w:type="auto"/>
        <w:tblInd w:w="3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34"/>
        <w:gridCol w:w="1130"/>
        <w:gridCol w:w="1469"/>
        <w:gridCol w:w="1298"/>
        <w:gridCol w:w="12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3334" w:type="dxa"/>
            <w:vAlign w:val="center"/>
          </w:tcPr>
          <w:p>
            <w:pPr>
              <w:pStyle w:val="32"/>
              <w:spacing w:before="94"/>
              <w:ind w:right="795" w:firstLine="0" w:firstLineChars="0"/>
              <w:rPr>
                <w:rFonts w:asciiTheme="minorHAnsi" w:hAnsiTheme="minorHAnsi" w:eastAsiaTheme="minorEastAsia"/>
                <w:sz w:val="21"/>
              </w:rPr>
            </w:pPr>
            <w:r>
              <w:rPr>
                <w:rFonts w:hint="eastAsia" w:asciiTheme="minorHAnsi" w:hAnsiTheme="minorHAnsi" w:eastAsiaTheme="minorEastAsia"/>
                <w:sz w:val="21"/>
              </w:rPr>
              <w:t>控制因子</w:t>
            </w:r>
          </w:p>
        </w:tc>
        <w:tc>
          <w:tcPr>
            <w:tcW w:w="1130" w:type="dxa"/>
            <w:vAlign w:val="center"/>
          </w:tcPr>
          <w:p>
            <w:pPr>
              <w:pStyle w:val="32"/>
              <w:spacing w:before="101"/>
              <w:ind w:firstLine="0" w:firstLineChars="0"/>
              <w:rPr>
                <w:rFonts w:asciiTheme="minorHAnsi" w:hAnsiTheme="minorHAnsi" w:eastAsiaTheme="minorEastAsia"/>
                <w:sz w:val="21"/>
              </w:rPr>
            </w:pPr>
            <w:r>
              <w:rPr>
                <w:rFonts w:asciiTheme="minorHAnsi" w:hAnsiTheme="minorHAnsi" w:eastAsiaTheme="minorEastAsia"/>
                <w:sz w:val="21"/>
              </w:rPr>
              <w:t>COD</w:t>
            </w:r>
          </w:p>
        </w:tc>
        <w:tc>
          <w:tcPr>
            <w:tcW w:w="1469" w:type="dxa"/>
            <w:vAlign w:val="center"/>
          </w:tcPr>
          <w:p>
            <w:pPr>
              <w:pStyle w:val="32"/>
              <w:spacing w:before="94"/>
              <w:ind w:right="496" w:firstLine="0" w:firstLineChars="0"/>
              <w:rPr>
                <w:rFonts w:asciiTheme="minorHAnsi" w:hAnsiTheme="minorHAnsi" w:eastAsiaTheme="minorEastAsia"/>
                <w:sz w:val="21"/>
              </w:rPr>
            </w:pPr>
            <w:r>
              <w:rPr>
                <w:rFonts w:hint="eastAsia" w:asciiTheme="minorHAnsi" w:hAnsiTheme="minorHAnsi" w:eastAsiaTheme="minorEastAsia"/>
                <w:sz w:val="21"/>
                <w:lang w:eastAsia="zh-CN"/>
              </w:rPr>
              <w:t xml:space="preserve">     </w:t>
            </w:r>
            <w:r>
              <w:rPr>
                <w:rFonts w:hint="eastAsia" w:asciiTheme="minorHAnsi" w:hAnsiTheme="minorHAnsi" w:eastAsiaTheme="minorEastAsia"/>
                <w:sz w:val="21"/>
              </w:rPr>
              <w:t>氨氮</w:t>
            </w:r>
          </w:p>
        </w:tc>
        <w:tc>
          <w:tcPr>
            <w:tcW w:w="1298" w:type="dxa"/>
            <w:vAlign w:val="center"/>
          </w:tcPr>
          <w:p>
            <w:pPr>
              <w:pStyle w:val="32"/>
              <w:spacing w:before="101"/>
              <w:ind w:right="275" w:firstLine="0" w:firstLineChars="0"/>
              <w:rPr>
                <w:rFonts w:asciiTheme="minorHAnsi" w:hAnsiTheme="minorHAnsi" w:eastAsiaTheme="minorEastAsia"/>
                <w:sz w:val="21"/>
              </w:rPr>
            </w:pPr>
            <w:r>
              <w:rPr>
                <w:rFonts w:hint="eastAsia" w:asciiTheme="minorHAnsi" w:hAnsiTheme="minorHAnsi" w:eastAsiaTheme="minorEastAsia"/>
                <w:w w:val="95"/>
                <w:sz w:val="21"/>
                <w:lang w:eastAsia="zh-CN"/>
              </w:rPr>
              <w:t xml:space="preserve">  </w:t>
            </w:r>
            <w:r>
              <w:rPr>
                <w:rFonts w:asciiTheme="minorHAnsi" w:hAnsiTheme="minorHAnsi" w:eastAsiaTheme="minorEastAsia"/>
                <w:w w:val="95"/>
                <w:sz w:val="21"/>
              </w:rPr>
              <w:t>BOD</w:t>
            </w:r>
            <w:r>
              <w:rPr>
                <w:rFonts w:asciiTheme="minorHAnsi" w:hAnsiTheme="minorHAnsi" w:eastAsiaTheme="minorEastAsia"/>
                <w:w w:val="95"/>
                <w:sz w:val="21"/>
                <w:vertAlign w:val="subscript"/>
              </w:rPr>
              <w:t>5</w:t>
            </w:r>
          </w:p>
        </w:tc>
        <w:tc>
          <w:tcPr>
            <w:tcW w:w="1299" w:type="dxa"/>
            <w:vAlign w:val="center"/>
          </w:tcPr>
          <w:p>
            <w:pPr>
              <w:pStyle w:val="32"/>
              <w:spacing w:before="101"/>
              <w:ind w:right="500" w:firstLine="0" w:firstLineChars="0"/>
              <w:rPr>
                <w:rFonts w:asciiTheme="minorHAnsi" w:hAnsiTheme="minorHAnsi" w:eastAsiaTheme="minorEastAsia"/>
                <w:sz w:val="21"/>
              </w:rPr>
            </w:pPr>
            <w:r>
              <w:rPr>
                <w:rFonts w:hint="eastAsia" w:asciiTheme="minorHAnsi" w:hAnsiTheme="minorHAnsi" w:eastAsiaTheme="minorEastAsia"/>
                <w:sz w:val="21"/>
                <w:lang w:eastAsia="zh-CN"/>
              </w:rPr>
              <w:t xml:space="preserve">    </w:t>
            </w:r>
            <w:r>
              <w:rPr>
                <w:rFonts w:asciiTheme="minorHAnsi" w:hAnsiTheme="minorHAnsi" w:eastAsiaTheme="minorEastAsia"/>
                <w:sz w:val="21"/>
              </w:rPr>
              <w:t>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334" w:type="dxa"/>
            <w:vAlign w:val="center"/>
          </w:tcPr>
          <w:p>
            <w:pPr>
              <w:pStyle w:val="32"/>
              <w:spacing w:before="92"/>
              <w:ind w:right="797" w:firstLine="0" w:firstLineChars="0"/>
              <w:rPr>
                <w:rFonts w:asciiTheme="minorHAnsi" w:hAnsiTheme="minorHAnsi" w:eastAsiaTheme="minorEastAsia"/>
                <w:sz w:val="21"/>
              </w:rPr>
            </w:pPr>
            <w:r>
              <w:rPr>
                <w:rFonts w:hint="eastAsia" w:asciiTheme="minorHAnsi" w:hAnsiTheme="minorHAnsi" w:eastAsiaTheme="minorEastAsia"/>
                <w:sz w:val="21"/>
              </w:rPr>
              <w:t>设计排放浓度</w:t>
            </w:r>
          </w:p>
        </w:tc>
        <w:tc>
          <w:tcPr>
            <w:tcW w:w="1130" w:type="dxa"/>
            <w:vAlign w:val="center"/>
          </w:tcPr>
          <w:p>
            <w:pPr>
              <w:pStyle w:val="32"/>
              <w:spacing w:before="94"/>
              <w:ind w:firstLine="0" w:firstLineChars="0"/>
              <w:rPr>
                <w:rFonts w:asciiTheme="minorHAnsi" w:hAnsiTheme="minorHAnsi" w:eastAsiaTheme="minorEastAsia"/>
              </w:rPr>
            </w:pPr>
            <w:r>
              <w:rPr>
                <w:rFonts w:hint="eastAsia" w:asciiTheme="minorHAnsi" w:hAnsiTheme="minorHAnsi" w:eastAsiaTheme="minorEastAsia"/>
                <w:lang w:eastAsia="zh-CN"/>
              </w:rPr>
              <w:t>5</w:t>
            </w:r>
            <w:r>
              <w:rPr>
                <w:rFonts w:asciiTheme="minorHAnsi" w:hAnsiTheme="minorHAnsi" w:eastAsiaTheme="minorEastAsia"/>
              </w:rPr>
              <w:t>0</w:t>
            </w:r>
          </w:p>
        </w:tc>
        <w:tc>
          <w:tcPr>
            <w:tcW w:w="1469" w:type="dxa"/>
            <w:vAlign w:val="center"/>
          </w:tcPr>
          <w:p>
            <w:pPr>
              <w:pStyle w:val="32"/>
              <w:spacing w:before="94"/>
              <w:ind w:firstLine="0" w:firstLineChars="0"/>
              <w:rPr>
                <w:rFonts w:asciiTheme="minorHAnsi" w:hAnsiTheme="minorHAnsi" w:eastAsiaTheme="minorEastAsia"/>
              </w:rPr>
            </w:pPr>
            <w:r>
              <w:rPr>
                <w:rFonts w:hint="eastAsia" w:asciiTheme="minorHAnsi" w:hAnsiTheme="minorHAnsi" w:eastAsiaTheme="minorEastAsia"/>
                <w:lang w:eastAsia="zh-CN"/>
              </w:rPr>
              <w:t>5（</w:t>
            </w:r>
            <w:r>
              <w:rPr>
                <w:rFonts w:asciiTheme="minorHAnsi" w:hAnsiTheme="minorHAnsi" w:eastAsiaTheme="minorEastAsia"/>
              </w:rPr>
              <w:t>8</w:t>
            </w:r>
            <w:r>
              <w:rPr>
                <w:rFonts w:hint="eastAsia" w:asciiTheme="minorHAnsi" w:hAnsiTheme="minorHAnsi" w:eastAsiaTheme="minorEastAsia"/>
                <w:lang w:eastAsia="zh-CN"/>
              </w:rPr>
              <w:t>）</w:t>
            </w:r>
          </w:p>
        </w:tc>
        <w:tc>
          <w:tcPr>
            <w:tcW w:w="1298" w:type="dxa"/>
            <w:vAlign w:val="center"/>
          </w:tcPr>
          <w:p>
            <w:pPr>
              <w:pStyle w:val="32"/>
              <w:spacing w:before="94"/>
              <w:ind w:right="308" w:firstLine="0" w:firstLineChars="0"/>
              <w:rPr>
                <w:rFonts w:asciiTheme="minorHAnsi" w:hAnsiTheme="minorHAnsi" w:eastAsiaTheme="minorEastAsia"/>
              </w:rPr>
            </w:pPr>
            <w:r>
              <w:rPr>
                <w:rFonts w:hint="eastAsia" w:asciiTheme="minorHAnsi" w:hAnsiTheme="minorHAnsi" w:eastAsiaTheme="minorEastAsia"/>
                <w:lang w:eastAsia="zh-CN"/>
              </w:rPr>
              <w:t xml:space="preserve">  1</w:t>
            </w:r>
            <w:r>
              <w:rPr>
                <w:rFonts w:asciiTheme="minorHAnsi" w:hAnsiTheme="minorHAnsi" w:eastAsiaTheme="minorEastAsia"/>
              </w:rPr>
              <w:t>0</w:t>
            </w:r>
          </w:p>
        </w:tc>
        <w:tc>
          <w:tcPr>
            <w:tcW w:w="1299" w:type="dxa"/>
            <w:vAlign w:val="center"/>
          </w:tcPr>
          <w:p>
            <w:pPr>
              <w:pStyle w:val="32"/>
              <w:spacing w:before="94"/>
              <w:ind w:firstLine="0" w:firstLineChars="0"/>
              <w:rPr>
                <w:rFonts w:asciiTheme="minorHAnsi" w:hAnsiTheme="minorHAnsi" w:eastAsiaTheme="minorEastAsia"/>
                <w:lang w:eastAsia="zh-CN"/>
              </w:rPr>
            </w:pPr>
            <w:r>
              <w:rPr>
                <w:rFonts w:hint="eastAsia" w:asciiTheme="minorHAnsi" w:hAnsiTheme="minorHAnsi" w:eastAsiaTheme="minorEastAsia"/>
                <w:lang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3334" w:type="dxa"/>
            <w:vAlign w:val="center"/>
          </w:tcPr>
          <w:p>
            <w:pPr>
              <w:pStyle w:val="32"/>
              <w:spacing w:before="9"/>
              <w:ind w:firstLine="341"/>
              <w:rPr>
                <w:rFonts w:asciiTheme="minorHAnsi" w:hAnsiTheme="minorHAnsi" w:eastAsiaTheme="minorEastAsia"/>
                <w:b/>
                <w:sz w:val="17"/>
              </w:rPr>
            </w:pPr>
          </w:p>
          <w:p>
            <w:pPr>
              <w:pStyle w:val="32"/>
              <w:spacing w:before="1"/>
              <w:ind w:right="797" w:firstLine="0" w:firstLineChars="0"/>
              <w:rPr>
                <w:rFonts w:asciiTheme="minorHAnsi" w:hAnsiTheme="minorHAnsi" w:eastAsiaTheme="minorEastAsia"/>
                <w:sz w:val="21"/>
              </w:rPr>
            </w:pPr>
            <w:r>
              <w:rPr>
                <w:rFonts w:hint="eastAsia" w:asciiTheme="minorHAnsi" w:hAnsiTheme="minorHAnsi" w:eastAsiaTheme="minorEastAsia"/>
                <w:sz w:val="21"/>
              </w:rPr>
              <w:t>备注</w:t>
            </w:r>
          </w:p>
        </w:tc>
        <w:tc>
          <w:tcPr>
            <w:tcW w:w="5196" w:type="dxa"/>
            <w:gridSpan w:val="4"/>
            <w:vAlign w:val="center"/>
          </w:tcPr>
          <w:p>
            <w:pPr>
              <w:pStyle w:val="32"/>
              <w:spacing w:before="68"/>
              <w:ind w:firstLine="0" w:firstLineChars="0"/>
              <w:rPr>
                <w:rFonts w:asciiTheme="minorHAnsi" w:hAnsiTheme="minorHAnsi" w:eastAsiaTheme="minorEastAsia"/>
                <w:sz w:val="21"/>
                <w:lang w:eastAsia="zh-CN"/>
              </w:rPr>
            </w:pPr>
            <w:r>
              <w:rPr>
                <w:rFonts w:hint="eastAsia" w:asciiTheme="minorHAnsi" w:hAnsiTheme="minorHAnsi" w:eastAsiaTheme="minorEastAsia"/>
                <w:spacing w:val="-25"/>
                <w:sz w:val="21"/>
                <w:lang w:eastAsia="zh-CN"/>
              </w:rPr>
              <w:t>按照 《 城 镇 污 水 处 理 厂 污 染 物 排 放 标 准 》</w:t>
            </w:r>
          </w:p>
          <w:p>
            <w:pPr>
              <w:pStyle w:val="32"/>
              <w:spacing w:before="2"/>
              <w:ind w:firstLine="0" w:firstLineChars="0"/>
              <w:rPr>
                <w:rFonts w:asciiTheme="minorHAnsi" w:hAnsiTheme="minorHAnsi" w:eastAsiaTheme="minorEastAsia"/>
                <w:sz w:val="21"/>
              </w:rPr>
            </w:pPr>
            <w:r>
              <w:rPr>
                <w:rFonts w:hint="eastAsia" w:asciiTheme="minorHAnsi" w:hAnsiTheme="minorHAnsi" w:eastAsiaTheme="minorEastAsia"/>
                <w:sz w:val="21"/>
              </w:rPr>
              <w:t>（</w:t>
            </w:r>
            <w:r>
              <w:rPr>
                <w:rFonts w:asciiTheme="minorHAnsi" w:hAnsiTheme="minorHAnsi" w:eastAsiaTheme="minorEastAsia"/>
                <w:sz w:val="21"/>
              </w:rPr>
              <w:t>GB18918-2002</w:t>
            </w:r>
            <w:r>
              <w:rPr>
                <w:rFonts w:hint="eastAsia" w:asciiTheme="minorHAnsi" w:hAnsiTheme="minorHAnsi" w:eastAsiaTheme="minorEastAsia"/>
                <w:sz w:val="21"/>
              </w:rPr>
              <w:t xml:space="preserve">）一级 </w:t>
            </w:r>
            <w:r>
              <w:rPr>
                <w:rFonts w:hint="eastAsia" w:asciiTheme="minorHAnsi" w:hAnsiTheme="minorHAnsi" w:eastAsiaTheme="minorEastAsia"/>
                <w:sz w:val="21"/>
                <w:lang w:eastAsia="zh-CN"/>
              </w:rPr>
              <w:t>A</w:t>
            </w:r>
            <w:r>
              <w:rPr>
                <w:rFonts w:asciiTheme="minorHAnsi" w:hAnsiTheme="minorHAnsi" w:eastAsiaTheme="minorEastAsia"/>
                <w:sz w:val="21"/>
              </w:rPr>
              <w:t xml:space="preserve"> </w:t>
            </w:r>
            <w:r>
              <w:rPr>
                <w:rFonts w:hint="eastAsia" w:asciiTheme="minorHAnsi" w:hAnsiTheme="minorHAnsi" w:eastAsiaTheme="minorEastAsia"/>
                <w:sz w:val="21"/>
              </w:rPr>
              <w:t>标准</w:t>
            </w:r>
          </w:p>
        </w:tc>
      </w:tr>
    </w:tbl>
    <w:p>
      <w:pPr>
        <w:pStyle w:val="7"/>
        <w:spacing w:before="166"/>
        <w:ind w:right="383" w:firstLine="422"/>
        <w:jc w:val="both"/>
        <w:rPr>
          <w:b/>
          <w:sz w:val="21"/>
          <w:szCs w:val="21"/>
        </w:rPr>
      </w:pPr>
      <w:r>
        <w:rPr>
          <w:rFonts w:hint="eastAsia"/>
          <w:b/>
          <w:sz w:val="21"/>
          <w:szCs w:val="21"/>
        </w:rPr>
        <w:t>注：水温小于</w:t>
      </w:r>
      <w:r>
        <w:rPr>
          <w:b/>
          <w:sz w:val="21"/>
          <w:szCs w:val="21"/>
        </w:rPr>
        <w:t xml:space="preserve"> 12℃时氨氮的排放浓度</w:t>
      </w:r>
    </w:p>
    <w:p>
      <w:pPr>
        <w:ind w:firstLine="480"/>
        <w:rPr>
          <w:b/>
          <w:sz w:val="21"/>
          <w:szCs w:val="21"/>
        </w:rPr>
      </w:pPr>
      <w:r>
        <w:rPr>
          <w:rFonts w:hint="eastAsia"/>
        </w:rPr>
        <w:t>（2）设计污水排放量</w:t>
      </w:r>
    </w:p>
    <w:p>
      <w:pPr>
        <w:ind w:firstLine="448"/>
        <w:rPr>
          <w:rFonts w:eastAsiaTheme="minorEastAsia"/>
        </w:rPr>
      </w:pPr>
      <w:r>
        <w:rPr>
          <w:spacing w:val="-8"/>
        </w:rPr>
        <w:t>鉴于</w:t>
      </w:r>
      <w:r>
        <w:rPr>
          <w:rFonts w:hint="eastAsia"/>
          <w:spacing w:val="-8"/>
        </w:rPr>
        <w:t>合水县何家畔镇何家畔村截污控源工程</w:t>
      </w:r>
      <w:r>
        <w:rPr>
          <w:spacing w:val="-8"/>
        </w:rPr>
        <w:t>未正式运行，因此依</w:t>
      </w:r>
      <w:r>
        <w:rPr>
          <w:color w:val="000000" w:themeColor="text1"/>
          <w:spacing w:val="-8"/>
        </w:rPr>
        <w:t>据设计</w:t>
      </w:r>
      <w:r>
        <w:rPr>
          <w:spacing w:val="-8"/>
        </w:rPr>
        <w:t xml:space="preserve">相关计算成果， </w:t>
      </w:r>
      <w:r>
        <w:t>按照污水处理工程设计处理能力条件下的排放量作为设计排污水量，即</w:t>
      </w:r>
      <w:r>
        <w:rPr>
          <w:rFonts w:hint="eastAsia"/>
        </w:rPr>
        <w:t>2</w:t>
      </w:r>
      <w:r>
        <w:rPr>
          <w:rFonts w:hint="eastAsia" w:eastAsiaTheme="minorEastAsia"/>
        </w:rPr>
        <w:t>00</w:t>
      </w:r>
      <w:r>
        <w:rPr>
          <w:rFonts w:eastAsia="Times New Roman"/>
        </w:rPr>
        <w:t>m</w:t>
      </w:r>
      <w:r>
        <w:rPr>
          <w:rFonts w:eastAsia="Times New Roman"/>
          <w:vertAlign w:val="superscript"/>
        </w:rPr>
        <w:t>3</w:t>
      </w:r>
      <w:r>
        <w:rPr>
          <w:rFonts w:eastAsia="Times New Roman"/>
        </w:rPr>
        <w:t>/d</w:t>
      </w:r>
      <w:r>
        <w:t>。</w:t>
      </w:r>
    </w:p>
    <w:p>
      <w:pPr>
        <w:pStyle w:val="5"/>
      </w:pPr>
      <w:r>
        <w:rPr>
          <w:rFonts w:hint="eastAsia"/>
        </w:rPr>
        <w:t>6.1.2.2 事故工况条件</w:t>
      </w:r>
    </w:p>
    <w:p>
      <w:pPr>
        <w:ind w:firstLine="480"/>
      </w:pPr>
      <w:r>
        <w:t>城镇污水处理厂工程发生环境风险事故的可能环节及由此产生的影响方式主要有以下几方面</w:t>
      </w:r>
      <w:r>
        <w:rPr>
          <w:rFonts w:hint="eastAsia"/>
        </w:rPr>
        <w:t>：</w:t>
      </w:r>
    </w:p>
    <w:p>
      <w:pPr>
        <w:ind w:firstLine="480"/>
      </w:pPr>
      <w:r>
        <w:rPr>
          <w:rFonts w:hint="eastAsia"/>
        </w:rPr>
        <w:t>（1）</w:t>
      </w:r>
      <w:r>
        <w:t>管道破裂</w:t>
      </w:r>
    </w:p>
    <w:p>
      <w:pPr>
        <w:ind w:firstLine="480"/>
      </w:pPr>
      <w:r>
        <w:t>排污管道突然破裂，生活污水随处溢流，将会给周围环境造成较大的影响。另外，污水或污泥处理系统的设备发生故障，使污水处理能力降低，出水水质下降或污泥不能及时浓缩、脱水，引起污泥发酵，贮泥池爆满，散发恶臭。</w:t>
      </w:r>
    </w:p>
    <w:p>
      <w:pPr>
        <w:ind w:firstLine="480"/>
      </w:pPr>
      <w:r>
        <w:rPr>
          <w:rFonts w:hint="eastAsia"/>
        </w:rPr>
        <w:t>（2）</w:t>
      </w:r>
      <w:r>
        <w:t>进水水质剧烈变化</w:t>
      </w:r>
    </w:p>
    <w:p>
      <w:pPr>
        <w:ind w:firstLine="480"/>
      </w:pPr>
      <w:r>
        <w:t>在收水范围，工厂排污不正常致使进厂水质负荷突增，或有毒有害物质误入管网，造成生物滤池的微生物活性下降或被毒害，影响污水处理效率。</w:t>
      </w:r>
    </w:p>
    <w:p>
      <w:pPr>
        <w:ind w:firstLine="480"/>
      </w:pPr>
      <w:r>
        <w:rPr>
          <w:rFonts w:hint="eastAsia"/>
        </w:rPr>
        <w:t>（3</w:t>
      </w:r>
      <w:r>
        <w:t>）突发性外部事故</w:t>
      </w:r>
    </w:p>
    <w:p>
      <w:pPr>
        <w:ind w:firstLine="480"/>
      </w:pPr>
      <w:r>
        <w:t>由于出现一些不可抗拒的外部原因，如停电、突发性自然灾害等，造成污水处理设施停止运行，大量未经处理的污水直接排放，这将是污水处理厂非正常排放的极限情况。</w:t>
      </w:r>
    </w:p>
    <w:p>
      <w:pPr>
        <w:ind w:firstLine="480"/>
      </w:pPr>
    </w:p>
    <w:p>
      <w:pPr>
        <w:ind w:firstLine="480"/>
      </w:pPr>
      <w:r>
        <w:t>综合以上可能发生的环境风险事故，事故工况主要考虑最极端情况，即假设</w:t>
      </w:r>
      <w:r>
        <w:rPr>
          <w:rFonts w:hint="eastAsia"/>
        </w:rPr>
        <w:t>合水县何家畔镇何家畔村截污控源工程</w:t>
      </w:r>
      <w:r>
        <w:t>所有进水全部未经处理而直接排放。以</w:t>
      </w:r>
      <w:r>
        <w:rPr>
          <w:rFonts w:hint="eastAsia"/>
        </w:rPr>
        <w:t>合水县何家畔镇何家畔村截污控源工程</w:t>
      </w:r>
      <w:r>
        <w:t>设计进水水质作为设计污染物排放浓度具体设计指标见表6.1-6。</w:t>
      </w:r>
    </w:p>
    <w:p>
      <w:pPr>
        <w:ind w:firstLine="480"/>
      </w:pPr>
      <w:r>
        <w:t>事故工况下，</w:t>
      </w:r>
      <w:r>
        <w:rPr>
          <w:rFonts w:hint="eastAsia"/>
        </w:rPr>
        <w:t>合水县何家畔镇何家畔村截污控源工程</w:t>
      </w:r>
      <w:r>
        <w:t>设计排污水量仍按照其设计处理规模确定，即</w:t>
      </w:r>
      <w:r>
        <w:rPr>
          <w:rFonts w:hint="eastAsia"/>
        </w:rPr>
        <w:t>200</w:t>
      </w:r>
      <w:r>
        <w:t>m</w:t>
      </w:r>
      <w:r>
        <w:rPr>
          <w:vertAlign w:val="superscript"/>
        </w:rPr>
        <w:t>3</w:t>
      </w:r>
      <w:r>
        <w:t>/d。</w:t>
      </w:r>
    </w:p>
    <w:p>
      <w:pPr>
        <w:tabs>
          <w:tab w:val="left" w:pos="3057"/>
          <w:tab w:val="left" w:pos="7378"/>
        </w:tabs>
        <w:ind w:left="458" w:firstLine="422"/>
        <w:jc w:val="center"/>
        <w:rPr>
          <w:b/>
          <w:sz w:val="21"/>
        </w:rPr>
      </w:pPr>
      <w:r>
        <w:rPr>
          <w:rFonts w:hint="eastAsia"/>
          <w:b/>
          <w:sz w:val="21"/>
        </w:rPr>
        <w:t xml:space="preserve">       </w:t>
      </w:r>
    </w:p>
    <w:p>
      <w:pPr>
        <w:tabs>
          <w:tab w:val="left" w:pos="3057"/>
          <w:tab w:val="left" w:pos="7378"/>
        </w:tabs>
        <w:ind w:left="458" w:firstLine="422"/>
        <w:jc w:val="center"/>
        <w:rPr>
          <w:b/>
          <w:sz w:val="21"/>
        </w:rPr>
      </w:pPr>
      <w:r>
        <w:rPr>
          <w:b/>
          <w:sz w:val="21"/>
        </w:rPr>
        <w:t>表 6.1-6</w:t>
      </w:r>
      <w:r>
        <w:rPr>
          <w:rFonts w:hint="eastAsia"/>
          <w:b/>
          <w:sz w:val="21"/>
        </w:rPr>
        <w:t xml:space="preserve">    </w:t>
      </w:r>
      <w:r>
        <w:rPr>
          <w:b/>
          <w:sz w:val="21"/>
        </w:rPr>
        <w:t>事故工况设计污染物排放浓度</w:t>
      </w:r>
      <w:r>
        <w:rPr>
          <w:b/>
          <w:sz w:val="21"/>
        </w:rPr>
        <w:tab/>
      </w:r>
      <w:r>
        <w:rPr>
          <w:b/>
          <w:sz w:val="21"/>
        </w:rPr>
        <w:t>单位 mg/L</w:t>
      </w:r>
    </w:p>
    <w:p>
      <w:pPr>
        <w:pStyle w:val="7"/>
        <w:spacing w:before="2"/>
        <w:ind w:firstLine="161"/>
        <w:rPr>
          <w:b/>
          <w:sz w:val="8"/>
        </w:rPr>
      </w:pPr>
    </w:p>
    <w:tbl>
      <w:tblPr>
        <w:tblStyle w:val="31"/>
        <w:tblW w:w="0" w:type="auto"/>
        <w:tblInd w:w="29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924"/>
        <w:gridCol w:w="1632"/>
        <w:gridCol w:w="1486"/>
        <w:gridCol w:w="1469"/>
        <w:gridCol w:w="11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74" w:hRule="atLeast"/>
        </w:trPr>
        <w:tc>
          <w:tcPr>
            <w:tcW w:w="2924" w:type="dxa"/>
            <w:vAlign w:val="center"/>
          </w:tcPr>
          <w:p>
            <w:pPr>
              <w:pStyle w:val="32"/>
              <w:spacing w:before="104"/>
              <w:ind w:right="686" w:firstLine="0" w:firstLineChars="0"/>
              <w:rPr>
                <w:rFonts w:asciiTheme="minorHAnsi" w:hAnsiTheme="minorHAnsi" w:eastAsiaTheme="minorEastAsia"/>
                <w:sz w:val="21"/>
              </w:rPr>
            </w:pPr>
            <w:r>
              <w:rPr>
                <w:rFonts w:hint="eastAsia" w:asciiTheme="minorHAnsi" w:hAnsiTheme="minorHAnsi" w:eastAsiaTheme="minorEastAsia"/>
                <w:sz w:val="21"/>
              </w:rPr>
              <w:t>控制因子</w:t>
            </w:r>
          </w:p>
        </w:tc>
        <w:tc>
          <w:tcPr>
            <w:tcW w:w="1632" w:type="dxa"/>
            <w:vAlign w:val="center"/>
          </w:tcPr>
          <w:p>
            <w:pPr>
              <w:pStyle w:val="32"/>
              <w:spacing w:before="115"/>
              <w:ind w:firstLine="0" w:firstLineChars="0"/>
              <w:rPr>
                <w:rFonts w:asciiTheme="minorHAnsi" w:hAnsiTheme="minorHAnsi" w:eastAsiaTheme="minorEastAsia"/>
                <w:sz w:val="21"/>
              </w:rPr>
            </w:pPr>
            <w:r>
              <w:rPr>
                <w:rFonts w:asciiTheme="minorHAnsi" w:hAnsiTheme="minorHAnsi" w:eastAsiaTheme="minorEastAsia"/>
                <w:sz w:val="21"/>
              </w:rPr>
              <w:t>COD</w:t>
            </w:r>
          </w:p>
        </w:tc>
        <w:tc>
          <w:tcPr>
            <w:tcW w:w="1486" w:type="dxa"/>
            <w:vAlign w:val="center"/>
          </w:tcPr>
          <w:p>
            <w:pPr>
              <w:pStyle w:val="32"/>
              <w:spacing w:before="104"/>
              <w:ind w:right="495" w:firstLine="0" w:firstLineChars="0"/>
              <w:rPr>
                <w:rFonts w:asciiTheme="minorHAnsi" w:hAnsiTheme="minorHAnsi" w:eastAsiaTheme="minorEastAsia"/>
                <w:sz w:val="21"/>
              </w:rPr>
            </w:pPr>
            <w:r>
              <w:rPr>
                <w:rFonts w:hint="eastAsia" w:asciiTheme="minorHAnsi" w:hAnsiTheme="minorHAnsi" w:eastAsiaTheme="minorEastAsia"/>
                <w:sz w:val="21"/>
                <w:lang w:eastAsia="zh-CN"/>
              </w:rPr>
              <w:t xml:space="preserve">    </w:t>
            </w:r>
            <w:r>
              <w:rPr>
                <w:rFonts w:hint="eastAsia" w:asciiTheme="minorHAnsi" w:hAnsiTheme="minorHAnsi" w:eastAsiaTheme="minorEastAsia"/>
                <w:sz w:val="21"/>
              </w:rPr>
              <w:t>氨氮</w:t>
            </w:r>
          </w:p>
        </w:tc>
        <w:tc>
          <w:tcPr>
            <w:tcW w:w="1469" w:type="dxa"/>
            <w:vAlign w:val="center"/>
          </w:tcPr>
          <w:p>
            <w:pPr>
              <w:pStyle w:val="32"/>
              <w:spacing w:before="115"/>
              <w:ind w:right="440" w:firstLine="0" w:firstLineChars="0"/>
              <w:rPr>
                <w:rFonts w:asciiTheme="minorHAnsi" w:hAnsiTheme="minorHAnsi" w:eastAsiaTheme="minorEastAsia"/>
                <w:sz w:val="21"/>
              </w:rPr>
            </w:pPr>
            <w:r>
              <w:rPr>
                <w:rFonts w:hint="eastAsia" w:asciiTheme="minorHAnsi" w:hAnsiTheme="minorHAnsi" w:eastAsiaTheme="minorEastAsia"/>
                <w:sz w:val="21"/>
                <w:lang w:eastAsia="zh-CN"/>
              </w:rPr>
              <w:t xml:space="preserve">    </w:t>
            </w:r>
            <w:r>
              <w:rPr>
                <w:rFonts w:asciiTheme="minorHAnsi" w:hAnsiTheme="minorHAnsi" w:eastAsiaTheme="minorEastAsia"/>
                <w:sz w:val="21"/>
              </w:rPr>
              <w:t>BOD</w:t>
            </w:r>
            <w:r>
              <w:rPr>
                <w:rFonts w:asciiTheme="minorHAnsi" w:hAnsiTheme="minorHAnsi" w:eastAsiaTheme="minorEastAsia"/>
                <w:sz w:val="21"/>
                <w:vertAlign w:val="subscript"/>
              </w:rPr>
              <w:t>5</w:t>
            </w:r>
          </w:p>
        </w:tc>
        <w:tc>
          <w:tcPr>
            <w:tcW w:w="1150" w:type="dxa"/>
            <w:vAlign w:val="center"/>
          </w:tcPr>
          <w:p>
            <w:pPr>
              <w:pStyle w:val="32"/>
              <w:spacing w:before="104"/>
              <w:ind w:firstLine="0" w:firstLineChars="0"/>
              <w:rPr>
                <w:rFonts w:asciiTheme="minorHAnsi" w:hAnsiTheme="minorHAnsi" w:eastAsiaTheme="minorEastAsia"/>
                <w:sz w:val="21"/>
              </w:rPr>
            </w:pPr>
            <w:r>
              <w:rPr>
                <w:rFonts w:hint="eastAsia" w:asciiTheme="minorHAnsi" w:hAnsiTheme="minorHAnsi" w:eastAsiaTheme="minorEastAsia"/>
                <w:sz w:val="21"/>
              </w:rPr>
              <w:t>总</w:t>
            </w:r>
            <w:r>
              <w:rPr>
                <w:rFonts w:asciiTheme="minorHAnsi" w:hAnsiTheme="minorHAnsi" w:eastAsiaTheme="minorEastAsia"/>
                <w:sz w:val="21"/>
              </w:rPr>
              <w:t>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2924" w:type="dxa"/>
            <w:vAlign w:val="center"/>
          </w:tcPr>
          <w:p>
            <w:pPr>
              <w:pStyle w:val="32"/>
              <w:spacing w:before="104"/>
              <w:ind w:right="688" w:firstLine="0" w:firstLineChars="0"/>
              <w:rPr>
                <w:rFonts w:asciiTheme="minorHAnsi" w:hAnsiTheme="minorHAnsi" w:eastAsiaTheme="minorEastAsia"/>
                <w:sz w:val="21"/>
              </w:rPr>
            </w:pPr>
            <w:r>
              <w:rPr>
                <w:rFonts w:hint="eastAsia" w:asciiTheme="minorHAnsi" w:hAnsiTheme="minorHAnsi" w:eastAsiaTheme="minorEastAsia"/>
                <w:sz w:val="21"/>
              </w:rPr>
              <w:t>污染物排放浓度</w:t>
            </w:r>
          </w:p>
        </w:tc>
        <w:tc>
          <w:tcPr>
            <w:tcW w:w="1632" w:type="dxa"/>
            <w:vAlign w:val="center"/>
          </w:tcPr>
          <w:p>
            <w:pPr>
              <w:pStyle w:val="32"/>
              <w:spacing w:before="108"/>
              <w:ind w:firstLine="0" w:firstLineChars="0"/>
              <w:rPr>
                <w:rFonts w:asciiTheme="minorHAnsi" w:hAnsiTheme="minorHAnsi" w:eastAsiaTheme="minorEastAsia"/>
              </w:rPr>
            </w:pPr>
            <w:r>
              <w:rPr>
                <w:rFonts w:hint="eastAsia" w:asciiTheme="minorHAnsi" w:hAnsiTheme="minorHAnsi" w:eastAsiaTheme="minorEastAsia"/>
                <w:lang w:eastAsia="zh-CN"/>
              </w:rPr>
              <w:t>5</w:t>
            </w:r>
            <w:r>
              <w:rPr>
                <w:rFonts w:asciiTheme="minorHAnsi" w:hAnsiTheme="minorHAnsi" w:eastAsiaTheme="minorEastAsia"/>
              </w:rPr>
              <w:t>00</w:t>
            </w:r>
          </w:p>
        </w:tc>
        <w:tc>
          <w:tcPr>
            <w:tcW w:w="1486" w:type="dxa"/>
            <w:vAlign w:val="center"/>
          </w:tcPr>
          <w:p>
            <w:pPr>
              <w:pStyle w:val="32"/>
              <w:spacing w:before="108"/>
              <w:ind w:right="495" w:firstLine="0" w:firstLineChars="0"/>
              <w:rPr>
                <w:rFonts w:asciiTheme="minorHAnsi" w:hAnsiTheme="minorHAnsi" w:eastAsiaTheme="minorEastAsia"/>
                <w:lang w:eastAsia="zh-CN"/>
              </w:rPr>
            </w:pPr>
            <w:r>
              <w:rPr>
                <w:rFonts w:hint="eastAsia" w:asciiTheme="minorHAnsi" w:hAnsiTheme="minorHAnsi" w:eastAsiaTheme="minorEastAsia"/>
                <w:lang w:eastAsia="zh-CN"/>
              </w:rPr>
              <w:t xml:space="preserve">   40</w:t>
            </w:r>
          </w:p>
        </w:tc>
        <w:tc>
          <w:tcPr>
            <w:tcW w:w="1469" w:type="dxa"/>
            <w:vAlign w:val="center"/>
          </w:tcPr>
          <w:p>
            <w:pPr>
              <w:pStyle w:val="32"/>
              <w:spacing w:before="108"/>
              <w:ind w:right="440" w:firstLine="0" w:firstLineChars="0"/>
              <w:rPr>
                <w:rFonts w:asciiTheme="minorHAnsi" w:hAnsiTheme="minorHAnsi" w:eastAsiaTheme="minorEastAsia"/>
                <w:lang w:eastAsia="zh-CN"/>
              </w:rPr>
            </w:pPr>
            <w:r>
              <w:rPr>
                <w:rFonts w:hint="eastAsia" w:asciiTheme="minorHAnsi" w:hAnsiTheme="minorHAnsi" w:eastAsiaTheme="minorEastAsia"/>
                <w:lang w:eastAsia="zh-CN"/>
              </w:rPr>
              <w:t xml:space="preserve">   190</w:t>
            </w:r>
          </w:p>
        </w:tc>
        <w:tc>
          <w:tcPr>
            <w:tcW w:w="1150" w:type="dxa"/>
            <w:vAlign w:val="center"/>
          </w:tcPr>
          <w:p>
            <w:pPr>
              <w:pStyle w:val="32"/>
              <w:spacing w:before="108"/>
              <w:ind w:firstLine="0" w:firstLineChars="0"/>
              <w:rPr>
                <w:rFonts w:asciiTheme="minorHAnsi" w:hAnsiTheme="minorHAnsi" w:eastAsiaTheme="minorEastAsia"/>
                <w:lang w:eastAsia="zh-CN"/>
              </w:rPr>
            </w:pPr>
            <w:r>
              <w:rPr>
                <w:rFonts w:hint="eastAsia" w:asciiTheme="minorHAnsi" w:hAnsiTheme="minorHAnsi" w:eastAsiaTheme="minorEastAsia"/>
                <w:lang w:eastAsia="zh-CN"/>
              </w:rPr>
              <w:t>4</w:t>
            </w:r>
          </w:p>
        </w:tc>
      </w:tr>
    </w:tbl>
    <w:p>
      <w:pPr>
        <w:pStyle w:val="3"/>
      </w:pPr>
      <w:bookmarkStart w:id="30" w:name="_Toc57964371"/>
      <w:r>
        <w:rPr>
          <w:rFonts w:hint="eastAsia"/>
        </w:rPr>
        <w:t xml:space="preserve">6.2 </w:t>
      </w:r>
      <w:r>
        <w:t>位置与排放方式分析</w:t>
      </w:r>
      <w:bookmarkEnd w:id="30"/>
    </w:p>
    <w:p>
      <w:pPr>
        <w:ind w:firstLine="480"/>
      </w:pPr>
      <w:r>
        <w:rPr>
          <w:rFonts w:hint="eastAsia"/>
        </w:rPr>
        <w:t>合水县何家畔镇何家畔村截污控源工程</w:t>
      </w:r>
      <w:r>
        <w:t>通过处理后的尾水</w:t>
      </w:r>
      <w:r>
        <w:rPr>
          <w:rFonts w:hint="eastAsia"/>
        </w:rPr>
        <w:t>在污水处理站的西侧，本次排污口位置为东经</w:t>
      </w:r>
      <w:r>
        <w:t>107.870374</w:t>
      </w:r>
      <w:r>
        <w:rPr>
          <w:rFonts w:hint="eastAsia"/>
        </w:rPr>
        <w:t>、北纬</w:t>
      </w:r>
      <w:r>
        <w:t>35.699538</w:t>
      </w:r>
      <w:r>
        <w:rPr>
          <w:rFonts w:hint="eastAsia"/>
        </w:rPr>
        <w:t>，该排污口位于河流洪水水位线之上，监管单位对污水流量及污染物浓度进行定期监测，最后达标排入，位置和排放方式合理</w:t>
      </w:r>
      <w:r>
        <w:t>。</w:t>
      </w:r>
    </w:p>
    <w:p>
      <w:pPr>
        <w:pStyle w:val="3"/>
      </w:pPr>
      <w:bookmarkStart w:id="31" w:name="_Toc57964372"/>
      <w:r>
        <w:rPr>
          <w:rFonts w:hint="eastAsia"/>
        </w:rPr>
        <w:t>6.3排放时期分析</w:t>
      </w:r>
      <w:bookmarkEnd w:id="31"/>
    </w:p>
    <w:p>
      <w:pPr>
        <w:ind w:firstLine="480"/>
      </w:pPr>
      <w:r>
        <w:rPr>
          <w:rFonts w:hint="eastAsia"/>
        </w:rPr>
        <w:t>合水县何家畔镇何家畔村截污控源工程的污水</w:t>
      </w:r>
      <w:r>
        <w:t>主要成分为生活污水，由于生活习惯，高峰集中在早晨、中午</w:t>
      </w:r>
      <w:r>
        <w:rPr>
          <w:spacing w:val="-7"/>
        </w:rPr>
        <w:t>和晚上一段时间其他时间尤其是</w:t>
      </w:r>
      <w:r>
        <w:rPr>
          <w:rFonts w:hint="eastAsia"/>
          <w:spacing w:val="-7"/>
        </w:rPr>
        <w:t>餐后</w:t>
      </w:r>
      <w:r>
        <w:rPr>
          <w:spacing w:val="-7"/>
        </w:rPr>
        <w:t>，污水峰值不明显。水质水量较稳定</w:t>
      </w:r>
      <w:r>
        <w:rPr>
          <w:rFonts w:hint="eastAsia"/>
          <w:spacing w:val="-7"/>
        </w:rPr>
        <w:t>，</w:t>
      </w:r>
      <w:r>
        <w:rPr>
          <w:spacing w:val="-7"/>
        </w:rPr>
        <w:t xml:space="preserve"> </w:t>
      </w:r>
      <w:r>
        <w:t>季节变化不明显。故采用</w:t>
      </w:r>
      <w:r>
        <w:rPr>
          <w:rFonts w:hint="eastAsia"/>
        </w:rPr>
        <w:t>间歇</w:t>
      </w:r>
      <w:r>
        <w:t>排放符合实际情况。</w:t>
      </w:r>
    </w:p>
    <w:p>
      <w:pPr>
        <w:pStyle w:val="3"/>
      </w:pPr>
      <w:bookmarkStart w:id="32" w:name="_Toc57964373"/>
      <w:r>
        <w:rPr>
          <w:rFonts w:hint="eastAsia"/>
        </w:rPr>
        <w:t>6.4</w:t>
      </w:r>
      <w:r>
        <w:t xml:space="preserve"> 对水功能区水质影响分析</w:t>
      </w:r>
      <w:bookmarkEnd w:id="32"/>
    </w:p>
    <w:p>
      <w:pPr>
        <w:ind w:firstLine="480"/>
        <w:rPr>
          <w:color w:val="000000" w:themeColor="text1"/>
        </w:rPr>
      </w:pPr>
      <w:r>
        <w:rPr>
          <w:rFonts w:hint="eastAsia"/>
          <w:color w:val="000000" w:themeColor="text1"/>
        </w:rPr>
        <w:t>合水县何家畔镇何家畔村截污控源工程</w:t>
      </w:r>
      <w:r>
        <w:rPr>
          <w:color w:val="000000" w:themeColor="text1"/>
        </w:rPr>
        <w:t>按照设计规模排水量（</w:t>
      </w:r>
      <w:r>
        <w:rPr>
          <w:rFonts w:hint="eastAsia" w:eastAsiaTheme="minorEastAsia"/>
          <w:color w:val="000000" w:themeColor="text1"/>
        </w:rPr>
        <w:t>200</w:t>
      </w:r>
      <w:r>
        <w:rPr>
          <w:rFonts w:eastAsia="Times New Roman"/>
          <w:color w:val="000000" w:themeColor="text1"/>
        </w:rPr>
        <w:t>m</w:t>
      </w:r>
      <w:r>
        <w:rPr>
          <w:rFonts w:eastAsia="Times New Roman"/>
          <w:color w:val="000000" w:themeColor="text1"/>
          <w:vertAlign w:val="superscript"/>
        </w:rPr>
        <w:t>3</w:t>
      </w:r>
      <w:r>
        <w:rPr>
          <w:rFonts w:eastAsia="Times New Roman"/>
          <w:color w:val="000000" w:themeColor="text1"/>
        </w:rPr>
        <w:t>/d</w:t>
      </w:r>
      <w:r>
        <w:rPr>
          <w:color w:val="000000" w:themeColor="text1"/>
        </w:rPr>
        <w:t>）</w:t>
      </w:r>
      <w:r>
        <w:rPr>
          <w:color w:val="000000" w:themeColor="text1"/>
          <w:spacing w:val="-1"/>
        </w:rPr>
        <w:t>进行计算，从各正常</w:t>
      </w:r>
      <w:r>
        <w:rPr>
          <w:color w:val="000000" w:themeColor="text1"/>
          <w:spacing w:val="-2"/>
        </w:rPr>
        <w:t>工况的影响预测结果来看，在上游</w:t>
      </w:r>
      <w:r>
        <w:rPr>
          <w:rFonts w:hint="eastAsia"/>
          <w:color w:val="000000" w:themeColor="text1"/>
          <w:spacing w:val="-2"/>
        </w:rPr>
        <w:t>盖家川</w:t>
      </w:r>
      <w:r>
        <w:rPr>
          <w:rFonts w:hint="eastAsia"/>
          <w:color w:val="000000" w:themeColor="text1"/>
          <w:spacing w:val="-1"/>
        </w:rPr>
        <w:t>Ⅲ</w:t>
      </w:r>
      <w:r>
        <w:rPr>
          <w:color w:val="000000" w:themeColor="text1"/>
          <w:spacing w:val="-2"/>
        </w:rPr>
        <w:t>类限值来水条件下，设计条件按照多年最枯月</w:t>
      </w:r>
      <w:r>
        <w:rPr>
          <w:color w:val="000000" w:themeColor="text1"/>
          <w:spacing w:val="-3"/>
        </w:rPr>
        <w:t>平均流量</w:t>
      </w:r>
      <w:r>
        <w:rPr>
          <w:rFonts w:hint="eastAsia"/>
          <w:color w:val="000000" w:themeColor="text1"/>
        </w:rPr>
        <w:t>，</w:t>
      </w:r>
      <w:r>
        <w:rPr>
          <w:color w:val="000000" w:themeColor="text1"/>
          <w:spacing w:val="-4"/>
        </w:rPr>
        <w:t>污水排放浓度按《城镇污水处理厂污染物排放标准》（</w:t>
      </w:r>
      <w:r>
        <w:rPr>
          <w:rFonts w:eastAsia="Times New Roman"/>
          <w:color w:val="000000" w:themeColor="text1"/>
          <w:spacing w:val="-4"/>
        </w:rPr>
        <w:t>GB18918-2002</w:t>
      </w:r>
      <w:r>
        <w:rPr>
          <w:color w:val="000000" w:themeColor="text1"/>
          <w:spacing w:val="-4"/>
        </w:rPr>
        <w:t>）</w:t>
      </w:r>
      <w:r>
        <w:rPr>
          <w:color w:val="000000" w:themeColor="text1"/>
          <w:spacing w:val="-17"/>
        </w:rPr>
        <w:t>一级</w:t>
      </w:r>
      <w:r>
        <w:rPr>
          <w:rFonts w:eastAsiaTheme="minorEastAsia"/>
          <w:color w:val="000000" w:themeColor="text1"/>
        </w:rPr>
        <w:t>A</w:t>
      </w:r>
      <w:r>
        <w:rPr>
          <w:color w:val="000000" w:themeColor="text1"/>
        </w:rPr>
        <w:t>标准排放。区段内各断面氨氮、</w:t>
      </w:r>
      <w:r>
        <w:rPr>
          <w:rFonts w:eastAsia="Times New Roman"/>
          <w:color w:val="000000" w:themeColor="text1"/>
        </w:rPr>
        <w:t>BOD</w:t>
      </w:r>
      <w:r>
        <w:rPr>
          <w:rFonts w:eastAsia="Times New Roman"/>
          <w:color w:val="000000" w:themeColor="text1"/>
          <w:vertAlign w:val="subscript"/>
        </w:rPr>
        <w:t>5</w:t>
      </w:r>
      <w:r>
        <w:rPr>
          <w:color w:val="000000" w:themeColor="text1"/>
        </w:rPr>
        <w:t>、总磷</w:t>
      </w:r>
      <w:r>
        <w:rPr>
          <w:rFonts w:hint="eastAsia"/>
          <w:color w:val="000000" w:themeColor="text1"/>
        </w:rPr>
        <w:t>未</w:t>
      </w:r>
      <w:r>
        <w:rPr>
          <w:color w:val="000000" w:themeColor="text1"/>
        </w:rPr>
        <w:t>超</w:t>
      </w:r>
      <w:r>
        <w:rPr>
          <w:color w:val="000000" w:themeColor="text1"/>
          <w:spacing w:val="-1"/>
        </w:rPr>
        <w:t>出地表水</w:t>
      </w:r>
      <w:r>
        <w:rPr>
          <w:rFonts w:hint="eastAsia"/>
          <w:color w:val="000000" w:themeColor="text1"/>
          <w:spacing w:val="-1"/>
        </w:rPr>
        <w:t>Ⅲ</w:t>
      </w:r>
      <w:r>
        <w:rPr>
          <w:color w:val="000000" w:themeColor="text1"/>
          <w:spacing w:val="-1"/>
        </w:rPr>
        <w:t>类水质目标。在上游</w:t>
      </w:r>
      <w:r>
        <w:rPr>
          <w:rFonts w:hint="eastAsia"/>
          <w:color w:val="000000" w:themeColor="text1"/>
          <w:spacing w:val="-1"/>
        </w:rPr>
        <w:t>Ⅲ</w:t>
      </w:r>
      <w:r>
        <w:rPr>
          <w:color w:val="000000" w:themeColor="text1"/>
          <w:spacing w:val="-1"/>
        </w:rPr>
        <w:t>类限值来水下，区段内各断面水质均</w:t>
      </w:r>
      <w:r>
        <w:rPr>
          <w:rFonts w:hint="eastAsia"/>
          <w:color w:val="000000" w:themeColor="text1"/>
          <w:spacing w:val="-1"/>
        </w:rPr>
        <w:t>未</w:t>
      </w:r>
      <w:r>
        <w:rPr>
          <w:color w:val="000000" w:themeColor="text1"/>
          <w:spacing w:val="-1"/>
        </w:rPr>
        <w:t>超出地表水</w:t>
      </w:r>
      <w:r>
        <w:rPr>
          <w:rFonts w:hint="eastAsia"/>
          <w:color w:val="000000" w:themeColor="text1"/>
          <w:spacing w:val="-1"/>
        </w:rPr>
        <w:t>Ⅲ</w:t>
      </w:r>
      <w:r>
        <w:rPr>
          <w:color w:val="000000" w:themeColor="text1"/>
        </w:rPr>
        <w:t>类水质目标，对水功能区水质</w:t>
      </w:r>
      <w:r>
        <w:rPr>
          <w:rFonts w:hint="eastAsia"/>
          <w:color w:val="000000" w:themeColor="text1"/>
        </w:rPr>
        <w:t>不会</w:t>
      </w:r>
      <w:r>
        <w:rPr>
          <w:color w:val="000000" w:themeColor="text1"/>
        </w:rPr>
        <w:t>造成影响。</w:t>
      </w:r>
    </w:p>
    <w:p>
      <w:pPr>
        <w:adjustRightInd w:val="0"/>
        <w:ind w:firstLine="480"/>
        <w:textAlignment w:val="baseline"/>
        <w:rPr>
          <w:color w:val="000000" w:themeColor="text1"/>
          <w:szCs w:val="20"/>
        </w:rPr>
      </w:pPr>
      <w:r>
        <w:rPr>
          <w:color w:val="000000" w:themeColor="text1"/>
          <w:szCs w:val="20"/>
        </w:rPr>
        <w:t>（1）预测方案</w:t>
      </w:r>
    </w:p>
    <w:p>
      <w:pPr>
        <w:ind w:firstLine="480"/>
        <w:rPr>
          <w:color w:val="000000" w:themeColor="text1"/>
        </w:rPr>
      </w:pPr>
      <w:r>
        <w:rPr>
          <w:color w:val="000000" w:themeColor="text1"/>
        </w:rPr>
        <w:t>污水</w:t>
      </w:r>
      <w:r>
        <w:rPr>
          <w:rFonts w:hint="eastAsia"/>
          <w:color w:val="000000" w:themeColor="text1"/>
        </w:rPr>
        <w:t>站</w:t>
      </w:r>
      <w:r>
        <w:rPr>
          <w:color w:val="000000" w:themeColor="text1"/>
        </w:rPr>
        <w:t>污水经过处理</w:t>
      </w:r>
      <w:r>
        <w:rPr>
          <w:rFonts w:hint="eastAsia"/>
          <w:color w:val="000000" w:themeColor="text1"/>
        </w:rPr>
        <w:t>后满足《城镇污水处理厂污染物排放标准》（GB18918-2002）中的一级A标准</w:t>
      </w:r>
      <w:r>
        <w:rPr>
          <w:color w:val="000000" w:themeColor="text1"/>
        </w:rPr>
        <w:t>，</w:t>
      </w:r>
      <w:r>
        <w:rPr>
          <w:rFonts w:hint="eastAsia"/>
          <w:color w:val="000000" w:themeColor="text1"/>
        </w:rPr>
        <w:t>200</w:t>
      </w:r>
      <w:r>
        <w:rPr>
          <w:color w:val="000000" w:themeColor="text1"/>
        </w:rPr>
        <w:t>m</w:t>
      </w:r>
      <w:r>
        <w:rPr>
          <w:color w:val="000000" w:themeColor="text1"/>
          <w:vertAlign w:val="superscript"/>
        </w:rPr>
        <w:t>3</w:t>
      </w:r>
      <w:r>
        <w:rPr>
          <w:color w:val="000000" w:themeColor="text1"/>
        </w:rPr>
        <w:t>/d通过</w:t>
      </w:r>
      <w:r>
        <w:rPr>
          <w:rFonts w:hint="eastAsia"/>
          <w:color w:val="000000" w:themeColor="text1"/>
        </w:rPr>
        <w:t>管</w:t>
      </w:r>
      <w:r>
        <w:rPr>
          <w:color w:val="000000" w:themeColor="text1"/>
        </w:rPr>
        <w:t>道排入</w:t>
      </w:r>
      <w:r>
        <w:rPr>
          <w:rFonts w:hint="eastAsia"/>
          <w:color w:val="000000" w:themeColor="text1"/>
        </w:rPr>
        <w:t>盖家川，最终汇入马莲河。</w:t>
      </w:r>
    </w:p>
    <w:p>
      <w:pPr>
        <w:ind w:firstLine="480"/>
        <w:rPr>
          <w:color w:val="000000" w:themeColor="text1"/>
          <w:szCs w:val="28"/>
        </w:rPr>
      </w:pPr>
      <w:r>
        <w:rPr>
          <w:color w:val="000000" w:themeColor="text1"/>
          <w:szCs w:val="28"/>
        </w:rPr>
        <w:t>废水排放源强见表</w:t>
      </w:r>
      <w:r>
        <w:rPr>
          <w:rFonts w:hint="eastAsia"/>
          <w:color w:val="000000" w:themeColor="text1"/>
          <w:szCs w:val="28"/>
        </w:rPr>
        <w:t>6.4-1。</w:t>
      </w:r>
    </w:p>
    <w:p>
      <w:pPr>
        <w:adjustRightInd w:val="0"/>
        <w:ind w:firstLine="422"/>
        <w:jc w:val="center"/>
        <w:rPr>
          <w:b/>
          <w:sz w:val="21"/>
        </w:rPr>
      </w:pPr>
      <w:r>
        <w:rPr>
          <w:b/>
          <w:sz w:val="21"/>
        </w:rPr>
        <w:t>表</w:t>
      </w:r>
      <w:r>
        <w:rPr>
          <w:rFonts w:hint="eastAsia"/>
          <w:b/>
          <w:sz w:val="21"/>
        </w:rPr>
        <w:t xml:space="preserve">6.4-1   </w:t>
      </w:r>
      <w:r>
        <w:rPr>
          <w:b/>
          <w:sz w:val="21"/>
        </w:rPr>
        <w:t>污水污染源强</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23"/>
        <w:gridCol w:w="1109"/>
        <w:gridCol w:w="1727"/>
        <w:gridCol w:w="37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2623" w:type="dxa"/>
            <w:vMerge w:val="restart"/>
            <w:vAlign w:val="center"/>
          </w:tcPr>
          <w:p>
            <w:pPr>
              <w:ind w:firstLine="0" w:firstLineChars="0"/>
              <w:jc w:val="center"/>
              <w:rPr>
                <w:color w:val="000000" w:themeColor="text1"/>
                <w:szCs w:val="20"/>
              </w:rPr>
            </w:pPr>
            <w:r>
              <w:rPr>
                <w:color w:val="000000" w:themeColor="text1"/>
                <w:szCs w:val="20"/>
              </w:rPr>
              <w:t>项 目</w:t>
            </w:r>
          </w:p>
        </w:tc>
        <w:tc>
          <w:tcPr>
            <w:tcW w:w="2836" w:type="dxa"/>
            <w:gridSpan w:val="2"/>
            <w:vAlign w:val="center"/>
          </w:tcPr>
          <w:p>
            <w:pPr>
              <w:ind w:firstLine="0" w:firstLineChars="0"/>
              <w:jc w:val="center"/>
              <w:rPr>
                <w:color w:val="000000" w:themeColor="text1"/>
                <w:szCs w:val="20"/>
              </w:rPr>
            </w:pPr>
            <w:r>
              <w:rPr>
                <w:color w:val="000000" w:themeColor="text1"/>
                <w:szCs w:val="20"/>
              </w:rPr>
              <w:t>污水污染物浓度(mg/L)</w:t>
            </w:r>
          </w:p>
        </w:tc>
        <w:tc>
          <w:tcPr>
            <w:tcW w:w="3743" w:type="dxa"/>
            <w:vAlign w:val="center"/>
          </w:tcPr>
          <w:p>
            <w:pPr>
              <w:ind w:firstLine="0" w:firstLineChars="0"/>
              <w:jc w:val="center"/>
              <w:rPr>
                <w:color w:val="000000" w:themeColor="text1"/>
                <w:szCs w:val="20"/>
              </w:rPr>
            </w:pPr>
            <w:r>
              <w:rPr>
                <w:color w:val="000000" w:themeColor="text1"/>
                <w:szCs w:val="20"/>
              </w:rPr>
              <w:t>排放量（</w:t>
            </w:r>
            <w:r>
              <w:rPr>
                <w:rFonts w:hint="eastAsia"/>
                <w:color w:val="000000" w:themeColor="text1"/>
                <w:szCs w:val="20"/>
              </w:rPr>
              <w:t>m</w:t>
            </w:r>
            <w:r>
              <w:rPr>
                <w:rFonts w:hint="eastAsia"/>
                <w:color w:val="000000" w:themeColor="text1"/>
                <w:szCs w:val="20"/>
                <w:vertAlign w:val="superscript"/>
              </w:rPr>
              <w:t>3</w:t>
            </w:r>
            <w:r>
              <w:rPr>
                <w:rFonts w:hint="eastAsia"/>
                <w:color w:val="000000" w:themeColor="text1"/>
                <w:szCs w:val="20"/>
              </w:rPr>
              <w:t>/s</w:t>
            </w:r>
            <w:r>
              <w:rPr>
                <w:color w:val="000000" w:themeColor="text1"/>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2623" w:type="dxa"/>
            <w:vMerge w:val="continue"/>
            <w:vAlign w:val="center"/>
          </w:tcPr>
          <w:p>
            <w:pPr>
              <w:ind w:firstLine="480"/>
              <w:jc w:val="center"/>
              <w:rPr>
                <w:color w:val="000000" w:themeColor="text1"/>
                <w:szCs w:val="20"/>
              </w:rPr>
            </w:pPr>
          </w:p>
        </w:tc>
        <w:tc>
          <w:tcPr>
            <w:tcW w:w="1109" w:type="dxa"/>
            <w:vAlign w:val="center"/>
          </w:tcPr>
          <w:p>
            <w:pPr>
              <w:ind w:firstLine="0" w:firstLineChars="0"/>
              <w:jc w:val="center"/>
              <w:rPr>
                <w:color w:val="000000" w:themeColor="text1"/>
                <w:szCs w:val="20"/>
              </w:rPr>
            </w:pPr>
            <w:r>
              <w:rPr>
                <w:color w:val="000000" w:themeColor="text1"/>
                <w:szCs w:val="20"/>
              </w:rPr>
              <w:t>COD</w:t>
            </w:r>
            <w:r>
              <w:rPr>
                <w:color w:val="000000" w:themeColor="text1"/>
                <w:szCs w:val="20"/>
                <w:vertAlign w:val="subscript"/>
              </w:rPr>
              <w:t>cr</w:t>
            </w:r>
          </w:p>
        </w:tc>
        <w:tc>
          <w:tcPr>
            <w:tcW w:w="1727" w:type="dxa"/>
            <w:vAlign w:val="center"/>
          </w:tcPr>
          <w:p>
            <w:pPr>
              <w:ind w:firstLine="0" w:firstLineChars="0"/>
              <w:jc w:val="center"/>
              <w:rPr>
                <w:color w:val="000000" w:themeColor="text1"/>
                <w:szCs w:val="20"/>
              </w:rPr>
            </w:pPr>
            <w:r>
              <w:rPr>
                <w:color w:val="000000" w:themeColor="text1"/>
                <w:szCs w:val="20"/>
              </w:rPr>
              <w:t>氨氮</w:t>
            </w:r>
          </w:p>
        </w:tc>
        <w:tc>
          <w:tcPr>
            <w:tcW w:w="3743" w:type="dxa"/>
            <w:vMerge w:val="restart"/>
            <w:vAlign w:val="center"/>
          </w:tcPr>
          <w:p>
            <w:pPr>
              <w:ind w:firstLine="0" w:firstLineChars="0"/>
              <w:jc w:val="center"/>
              <w:rPr>
                <w:color w:val="000000" w:themeColor="text1"/>
                <w:szCs w:val="20"/>
              </w:rPr>
            </w:pPr>
            <w:r>
              <w:rPr>
                <w:rFonts w:hint="eastAsia"/>
                <w:color w:val="000000" w:themeColor="text1"/>
                <w:szCs w:val="20"/>
              </w:rPr>
              <w:t>0.002315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2623" w:type="dxa"/>
            <w:vAlign w:val="center"/>
          </w:tcPr>
          <w:p>
            <w:pPr>
              <w:ind w:firstLine="0" w:firstLineChars="0"/>
              <w:jc w:val="center"/>
              <w:rPr>
                <w:color w:val="000000" w:themeColor="text1"/>
                <w:szCs w:val="20"/>
              </w:rPr>
            </w:pPr>
            <w:r>
              <w:rPr>
                <w:color w:val="000000" w:themeColor="text1"/>
                <w:szCs w:val="20"/>
              </w:rPr>
              <w:t>正常</w:t>
            </w:r>
            <w:r>
              <w:rPr>
                <w:rFonts w:hint="eastAsia"/>
                <w:color w:val="000000" w:themeColor="text1"/>
                <w:szCs w:val="20"/>
              </w:rPr>
              <w:t>排放</w:t>
            </w:r>
          </w:p>
        </w:tc>
        <w:tc>
          <w:tcPr>
            <w:tcW w:w="1109" w:type="dxa"/>
            <w:vAlign w:val="center"/>
          </w:tcPr>
          <w:p>
            <w:pPr>
              <w:ind w:firstLine="0" w:firstLineChars="0"/>
              <w:jc w:val="center"/>
              <w:rPr>
                <w:color w:val="000000" w:themeColor="text1"/>
                <w:szCs w:val="20"/>
              </w:rPr>
            </w:pPr>
            <w:r>
              <w:rPr>
                <w:rFonts w:hint="eastAsia"/>
                <w:color w:val="000000" w:themeColor="text1"/>
                <w:szCs w:val="20"/>
              </w:rPr>
              <w:t>50</w:t>
            </w:r>
          </w:p>
        </w:tc>
        <w:tc>
          <w:tcPr>
            <w:tcW w:w="1727" w:type="dxa"/>
            <w:vAlign w:val="center"/>
          </w:tcPr>
          <w:p>
            <w:pPr>
              <w:ind w:firstLine="0" w:firstLineChars="0"/>
              <w:jc w:val="center"/>
              <w:rPr>
                <w:color w:val="000000" w:themeColor="text1"/>
                <w:szCs w:val="20"/>
              </w:rPr>
            </w:pPr>
            <w:r>
              <w:rPr>
                <w:rFonts w:hint="eastAsia"/>
                <w:color w:val="000000" w:themeColor="text1"/>
                <w:szCs w:val="20"/>
              </w:rPr>
              <w:t>5</w:t>
            </w:r>
          </w:p>
        </w:tc>
        <w:tc>
          <w:tcPr>
            <w:tcW w:w="3743" w:type="dxa"/>
            <w:vMerge w:val="continue"/>
            <w:vAlign w:val="center"/>
          </w:tcPr>
          <w:p>
            <w:pPr>
              <w:ind w:firstLine="480"/>
              <w:jc w:val="center"/>
              <w:rPr>
                <w:color w:val="000000" w:themeColor="text1"/>
                <w:szCs w:val="20"/>
              </w:rPr>
            </w:pPr>
          </w:p>
        </w:tc>
      </w:tr>
    </w:tbl>
    <w:p>
      <w:pPr>
        <w:ind w:right="79" w:rightChars="33" w:firstLine="480"/>
        <w:rPr>
          <w:color w:val="000000" w:themeColor="text1"/>
        </w:rPr>
      </w:pPr>
      <w:r>
        <w:rPr>
          <w:color w:val="000000" w:themeColor="text1"/>
        </w:rPr>
        <w:t>（2）</w:t>
      </w:r>
      <w:r>
        <w:rPr>
          <w:snapToGrid w:val="0"/>
          <w:color w:val="000000" w:themeColor="text1"/>
        </w:rPr>
        <w:t>预测</w:t>
      </w:r>
      <w:r>
        <w:rPr>
          <w:color w:val="000000" w:themeColor="text1"/>
        </w:rPr>
        <w:t>时段</w:t>
      </w:r>
    </w:p>
    <w:p>
      <w:pPr>
        <w:ind w:firstLine="480"/>
        <w:rPr>
          <w:color w:val="000000" w:themeColor="text1"/>
        </w:rPr>
      </w:pPr>
      <w:r>
        <w:rPr>
          <w:color w:val="000000" w:themeColor="text1"/>
        </w:rPr>
        <w:t>对</w:t>
      </w:r>
      <w:r>
        <w:rPr>
          <w:rFonts w:hint="eastAsia"/>
          <w:color w:val="000000" w:themeColor="text1"/>
        </w:rPr>
        <w:t>盖家川</w:t>
      </w:r>
      <w:r>
        <w:rPr>
          <w:color w:val="000000" w:themeColor="text1"/>
        </w:rPr>
        <w:t>地表水预测时段考虑枯水期。</w:t>
      </w:r>
    </w:p>
    <w:p>
      <w:pPr>
        <w:adjustRightInd w:val="0"/>
        <w:ind w:firstLine="480"/>
        <w:textAlignment w:val="baseline"/>
        <w:rPr>
          <w:color w:val="000000" w:themeColor="text1"/>
          <w:szCs w:val="20"/>
        </w:rPr>
      </w:pPr>
      <w:r>
        <w:rPr>
          <w:rFonts w:hint="eastAsia"/>
          <w:color w:val="000000" w:themeColor="text1"/>
          <w:szCs w:val="20"/>
        </w:rPr>
        <w:t>（3）评价因子</w:t>
      </w:r>
    </w:p>
    <w:p>
      <w:pPr>
        <w:ind w:firstLine="480"/>
        <w:rPr>
          <w:color w:val="000000" w:themeColor="text1"/>
        </w:rPr>
      </w:pPr>
      <w:r>
        <w:rPr>
          <w:color w:val="000000" w:themeColor="text1"/>
        </w:rPr>
        <w:t>根据污水</w:t>
      </w:r>
      <w:r>
        <w:rPr>
          <w:rFonts w:hint="eastAsia"/>
          <w:color w:val="000000" w:themeColor="text1"/>
        </w:rPr>
        <w:t>站</w:t>
      </w:r>
      <w:r>
        <w:rPr>
          <w:color w:val="000000" w:themeColor="text1"/>
        </w:rPr>
        <w:t>主要控制因子及</w:t>
      </w:r>
      <w:r>
        <w:rPr>
          <w:rFonts w:hint="eastAsia"/>
          <w:color w:val="000000" w:themeColor="text1"/>
        </w:rPr>
        <w:t>洪</w:t>
      </w:r>
      <w:r>
        <w:rPr>
          <w:color w:val="000000" w:themeColor="text1"/>
        </w:rPr>
        <w:t>河地表水水质污染特征，主要对化学需氧量（COD</w:t>
      </w:r>
      <w:r>
        <w:rPr>
          <w:color w:val="000000" w:themeColor="text1"/>
          <w:vertAlign w:val="subscript"/>
        </w:rPr>
        <w:t>cr</w:t>
      </w:r>
      <w:r>
        <w:rPr>
          <w:color w:val="000000" w:themeColor="text1"/>
        </w:rPr>
        <w:t>）、氨氮（NH</w:t>
      </w:r>
      <w:r>
        <w:rPr>
          <w:color w:val="000000" w:themeColor="text1"/>
          <w:vertAlign w:val="subscript"/>
        </w:rPr>
        <w:t>3</w:t>
      </w:r>
      <w:r>
        <w:rPr>
          <w:color w:val="000000" w:themeColor="text1"/>
        </w:rPr>
        <w:t>-N）进行预测评价。</w:t>
      </w:r>
    </w:p>
    <w:p>
      <w:pPr>
        <w:ind w:firstLine="480"/>
        <w:rPr>
          <w:color w:val="000000" w:themeColor="text1"/>
        </w:rPr>
      </w:pPr>
      <w:r>
        <w:rPr>
          <w:rFonts w:hint="eastAsia"/>
          <w:color w:val="000000" w:themeColor="text1"/>
        </w:rPr>
        <w:t>（4）预测参数</w:t>
      </w:r>
    </w:p>
    <w:p>
      <w:pPr>
        <w:ind w:firstLine="480"/>
        <w:rPr>
          <w:color w:val="000000" w:themeColor="text1"/>
        </w:rPr>
      </w:pPr>
      <w:r>
        <w:rPr>
          <w:rFonts w:hint="eastAsia"/>
          <w:color w:val="000000" w:themeColor="text1"/>
        </w:rPr>
        <w:t>①水文参数</w:t>
      </w:r>
    </w:p>
    <w:p>
      <w:pPr>
        <w:adjustRightInd w:val="0"/>
        <w:ind w:firstLine="480"/>
        <w:textAlignment w:val="baseline"/>
        <w:rPr>
          <w:color w:val="000000" w:themeColor="text1"/>
        </w:rPr>
      </w:pPr>
      <w:r>
        <w:rPr>
          <w:color w:val="000000" w:themeColor="text1"/>
        </w:rPr>
        <w:t>本次采用</w:t>
      </w:r>
      <w:r>
        <w:rPr>
          <w:rFonts w:hint="eastAsia"/>
          <w:color w:val="000000" w:themeColor="text1"/>
        </w:rPr>
        <w:t>近几</w:t>
      </w:r>
      <w:r>
        <w:rPr>
          <w:color w:val="000000" w:themeColor="text1"/>
        </w:rPr>
        <w:t>年</w:t>
      </w:r>
      <w:r>
        <w:rPr>
          <w:rFonts w:hint="eastAsia"/>
          <w:color w:val="000000" w:themeColor="text1"/>
        </w:rPr>
        <w:t>水文</w:t>
      </w:r>
      <w:r>
        <w:rPr>
          <w:color w:val="000000" w:themeColor="text1"/>
        </w:rPr>
        <w:t>资料</w:t>
      </w:r>
      <w:r>
        <w:rPr>
          <w:rFonts w:hint="eastAsia"/>
          <w:color w:val="000000" w:themeColor="text1"/>
        </w:rPr>
        <w:t>，盖家川</w:t>
      </w:r>
      <w:r>
        <w:rPr>
          <w:color w:val="000000" w:themeColor="text1"/>
        </w:rPr>
        <w:t>枯水期河流水文参数见表</w:t>
      </w:r>
      <w:r>
        <w:rPr>
          <w:rFonts w:hint="eastAsia"/>
          <w:color w:val="000000" w:themeColor="text1"/>
        </w:rPr>
        <w:t>6.4-2</w:t>
      </w:r>
      <w:r>
        <w:rPr>
          <w:color w:val="000000" w:themeColor="text1"/>
        </w:rPr>
        <w:t>。</w:t>
      </w:r>
    </w:p>
    <w:p>
      <w:pPr>
        <w:adjustRightInd w:val="0"/>
        <w:ind w:firstLine="422"/>
        <w:jc w:val="center"/>
        <w:rPr>
          <w:b/>
          <w:sz w:val="21"/>
        </w:rPr>
      </w:pPr>
      <w:r>
        <w:rPr>
          <w:b/>
          <w:sz w:val="21"/>
        </w:rPr>
        <w:t>表</w:t>
      </w:r>
      <w:r>
        <w:rPr>
          <w:rFonts w:hint="eastAsia"/>
          <w:b/>
          <w:sz w:val="21"/>
        </w:rPr>
        <w:t>6.4-2</w:t>
      </w:r>
      <w:r>
        <w:rPr>
          <w:b/>
          <w:sz w:val="21"/>
        </w:rPr>
        <w:t xml:space="preserve">   </w:t>
      </w:r>
      <w:r>
        <w:rPr>
          <w:rFonts w:hint="eastAsia"/>
          <w:b/>
          <w:sz w:val="21"/>
        </w:rPr>
        <w:t>盖家川</w:t>
      </w:r>
      <w:r>
        <w:rPr>
          <w:b/>
          <w:sz w:val="21"/>
        </w:rPr>
        <w:t>枯水期水文参数</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1883"/>
        <w:gridCol w:w="1889"/>
        <w:gridCol w:w="1843"/>
        <w:gridCol w:w="14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809" w:type="dxa"/>
            <w:tcBorders>
              <w:tl2br w:val="single" w:color="auto" w:sz="4" w:space="0"/>
            </w:tcBorders>
            <w:vAlign w:val="center"/>
          </w:tcPr>
          <w:p>
            <w:pPr>
              <w:ind w:firstLine="480"/>
              <w:jc w:val="center"/>
              <w:rPr>
                <w:color w:val="000000" w:themeColor="text1"/>
                <w:szCs w:val="20"/>
              </w:rPr>
            </w:pPr>
            <w:r>
              <w:rPr>
                <w:rFonts w:hint="eastAsia"/>
                <w:color w:val="000000" w:themeColor="text1"/>
                <w:szCs w:val="20"/>
              </w:rPr>
              <w:t xml:space="preserve"> </w:t>
            </w:r>
            <w:r>
              <w:rPr>
                <w:color w:val="000000" w:themeColor="text1"/>
                <w:szCs w:val="20"/>
              </w:rPr>
              <w:t>工程</w:t>
            </w:r>
          </w:p>
          <w:p>
            <w:pPr>
              <w:ind w:firstLine="0" w:firstLineChars="0"/>
              <w:rPr>
                <w:color w:val="000000" w:themeColor="text1"/>
                <w:szCs w:val="20"/>
              </w:rPr>
            </w:pPr>
            <w:r>
              <w:rPr>
                <w:color w:val="000000" w:themeColor="text1"/>
                <w:szCs w:val="20"/>
              </w:rPr>
              <w:t>水文期</w:t>
            </w:r>
          </w:p>
        </w:tc>
        <w:tc>
          <w:tcPr>
            <w:tcW w:w="1883" w:type="dxa"/>
            <w:vAlign w:val="center"/>
          </w:tcPr>
          <w:p>
            <w:pPr>
              <w:ind w:firstLine="0" w:firstLineChars="0"/>
              <w:jc w:val="center"/>
              <w:rPr>
                <w:color w:val="000000" w:themeColor="text1"/>
                <w:szCs w:val="20"/>
              </w:rPr>
            </w:pPr>
            <w:r>
              <w:rPr>
                <w:color w:val="000000" w:themeColor="text1"/>
                <w:szCs w:val="20"/>
              </w:rPr>
              <w:t>流速U(m/s)</w:t>
            </w:r>
          </w:p>
        </w:tc>
        <w:tc>
          <w:tcPr>
            <w:tcW w:w="1889" w:type="dxa"/>
            <w:vAlign w:val="center"/>
          </w:tcPr>
          <w:p>
            <w:pPr>
              <w:ind w:firstLine="0" w:firstLineChars="0"/>
              <w:jc w:val="center"/>
              <w:rPr>
                <w:color w:val="000000" w:themeColor="text1"/>
                <w:szCs w:val="20"/>
              </w:rPr>
            </w:pPr>
            <w:r>
              <w:rPr>
                <w:color w:val="000000" w:themeColor="text1"/>
                <w:szCs w:val="20"/>
              </w:rPr>
              <w:t>流量Q(m</w:t>
            </w:r>
            <w:r>
              <w:rPr>
                <w:color w:val="000000" w:themeColor="text1"/>
                <w:szCs w:val="20"/>
                <w:vertAlign w:val="superscript"/>
              </w:rPr>
              <w:t>3</w:t>
            </w:r>
            <w:r>
              <w:rPr>
                <w:color w:val="000000" w:themeColor="text1"/>
                <w:szCs w:val="20"/>
              </w:rPr>
              <w:t>/s)</w:t>
            </w:r>
          </w:p>
        </w:tc>
        <w:tc>
          <w:tcPr>
            <w:tcW w:w="1843" w:type="dxa"/>
            <w:vAlign w:val="center"/>
          </w:tcPr>
          <w:p>
            <w:pPr>
              <w:ind w:firstLine="0" w:firstLineChars="0"/>
              <w:jc w:val="center"/>
              <w:rPr>
                <w:color w:val="000000" w:themeColor="text1"/>
                <w:szCs w:val="20"/>
              </w:rPr>
            </w:pPr>
            <w:r>
              <w:rPr>
                <w:color w:val="000000" w:themeColor="text1"/>
                <w:szCs w:val="20"/>
              </w:rPr>
              <w:t>河宽B(m)</w:t>
            </w:r>
          </w:p>
        </w:tc>
        <w:tc>
          <w:tcPr>
            <w:tcW w:w="1492" w:type="dxa"/>
            <w:vAlign w:val="center"/>
          </w:tcPr>
          <w:p>
            <w:pPr>
              <w:ind w:firstLine="0" w:firstLineChars="0"/>
              <w:jc w:val="center"/>
              <w:rPr>
                <w:color w:val="000000" w:themeColor="text1"/>
                <w:szCs w:val="20"/>
              </w:rPr>
            </w:pPr>
            <w:r>
              <w:rPr>
                <w:color w:val="000000" w:themeColor="text1"/>
                <w:szCs w:val="20"/>
              </w:rPr>
              <w:t>河深H(m)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809" w:type="dxa"/>
            <w:vAlign w:val="center"/>
          </w:tcPr>
          <w:p>
            <w:pPr>
              <w:ind w:firstLine="480"/>
              <w:rPr>
                <w:color w:val="000000" w:themeColor="text1"/>
                <w:szCs w:val="20"/>
              </w:rPr>
            </w:pPr>
            <w:r>
              <w:rPr>
                <w:color w:val="000000" w:themeColor="text1"/>
                <w:szCs w:val="20"/>
              </w:rPr>
              <w:t>枯水期</w:t>
            </w:r>
          </w:p>
        </w:tc>
        <w:tc>
          <w:tcPr>
            <w:tcW w:w="1883" w:type="dxa"/>
            <w:vAlign w:val="center"/>
          </w:tcPr>
          <w:p>
            <w:pPr>
              <w:ind w:firstLine="0" w:firstLineChars="0"/>
              <w:jc w:val="center"/>
              <w:rPr>
                <w:color w:val="000000" w:themeColor="text1"/>
                <w:szCs w:val="20"/>
              </w:rPr>
            </w:pPr>
            <w:r>
              <w:rPr>
                <w:rFonts w:hint="eastAsia"/>
                <w:color w:val="000000" w:themeColor="text1"/>
                <w:szCs w:val="20"/>
              </w:rPr>
              <w:t>0.55</w:t>
            </w:r>
          </w:p>
        </w:tc>
        <w:tc>
          <w:tcPr>
            <w:tcW w:w="1889" w:type="dxa"/>
            <w:vAlign w:val="center"/>
          </w:tcPr>
          <w:p>
            <w:pPr>
              <w:ind w:firstLine="0" w:firstLineChars="0"/>
              <w:jc w:val="center"/>
              <w:rPr>
                <w:color w:val="000000" w:themeColor="text1"/>
                <w:szCs w:val="20"/>
              </w:rPr>
            </w:pPr>
            <w:r>
              <w:rPr>
                <w:rFonts w:hint="eastAsia"/>
                <w:color w:val="000000" w:themeColor="text1"/>
                <w:szCs w:val="20"/>
              </w:rPr>
              <w:t>0.04</w:t>
            </w:r>
          </w:p>
        </w:tc>
        <w:tc>
          <w:tcPr>
            <w:tcW w:w="1843" w:type="dxa"/>
            <w:vAlign w:val="center"/>
          </w:tcPr>
          <w:p>
            <w:pPr>
              <w:ind w:firstLine="0" w:firstLineChars="0"/>
              <w:jc w:val="center"/>
              <w:rPr>
                <w:color w:val="000000" w:themeColor="text1"/>
                <w:szCs w:val="20"/>
              </w:rPr>
            </w:pPr>
            <w:r>
              <w:rPr>
                <w:rFonts w:hint="eastAsia"/>
                <w:color w:val="000000" w:themeColor="text1"/>
                <w:szCs w:val="20"/>
              </w:rPr>
              <w:t>2</w:t>
            </w:r>
          </w:p>
        </w:tc>
        <w:tc>
          <w:tcPr>
            <w:tcW w:w="1492" w:type="dxa"/>
            <w:vAlign w:val="center"/>
          </w:tcPr>
          <w:p>
            <w:pPr>
              <w:ind w:firstLine="0" w:firstLineChars="0"/>
              <w:jc w:val="center"/>
              <w:rPr>
                <w:color w:val="000000" w:themeColor="text1"/>
                <w:szCs w:val="20"/>
              </w:rPr>
            </w:pPr>
            <w:r>
              <w:rPr>
                <w:rFonts w:hint="eastAsia"/>
                <w:color w:val="000000" w:themeColor="text1"/>
                <w:szCs w:val="20"/>
              </w:rPr>
              <w:t>0.2</w:t>
            </w:r>
          </w:p>
        </w:tc>
      </w:tr>
    </w:tbl>
    <w:p>
      <w:pPr>
        <w:ind w:firstLine="480"/>
        <w:rPr>
          <w:color w:val="000000" w:themeColor="text1"/>
        </w:rPr>
      </w:pPr>
      <w:r>
        <w:rPr>
          <w:rFonts w:hint="eastAsia"/>
          <w:color w:val="000000" w:themeColor="text1"/>
        </w:rPr>
        <w:t>盖家川何家畔村</w:t>
      </w:r>
      <w:r>
        <w:rPr>
          <w:color w:val="000000" w:themeColor="text1"/>
        </w:rPr>
        <w:t>段COD和氨氮的降解系数见表</w:t>
      </w:r>
      <w:r>
        <w:rPr>
          <w:rFonts w:hint="eastAsia"/>
          <w:color w:val="000000" w:themeColor="text1"/>
        </w:rPr>
        <w:t>6.4-3。</w:t>
      </w:r>
    </w:p>
    <w:p>
      <w:pPr>
        <w:adjustRightInd w:val="0"/>
        <w:ind w:firstLine="422"/>
        <w:jc w:val="center"/>
        <w:rPr>
          <w:b/>
          <w:sz w:val="21"/>
        </w:rPr>
      </w:pPr>
      <w:r>
        <w:rPr>
          <w:b/>
          <w:sz w:val="21"/>
        </w:rPr>
        <w:t>表</w:t>
      </w:r>
      <w:r>
        <w:rPr>
          <w:rFonts w:hint="eastAsia"/>
          <w:b/>
          <w:sz w:val="21"/>
        </w:rPr>
        <w:t>6.4-3   盖家川降解</w:t>
      </w:r>
      <w:r>
        <w:rPr>
          <w:b/>
          <w:sz w:val="21"/>
        </w:rPr>
        <w:t>系数表</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05"/>
        <w:gridCol w:w="3015"/>
        <w:gridCol w:w="29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3005" w:type="dxa"/>
            <w:vAlign w:val="center"/>
          </w:tcPr>
          <w:p>
            <w:pPr>
              <w:ind w:firstLine="0" w:firstLineChars="0"/>
              <w:jc w:val="center"/>
              <w:rPr>
                <w:color w:val="000000" w:themeColor="text1"/>
                <w:szCs w:val="20"/>
              </w:rPr>
            </w:pPr>
            <w:r>
              <w:rPr>
                <w:rFonts w:hint="eastAsia"/>
                <w:color w:val="000000" w:themeColor="text1"/>
                <w:szCs w:val="20"/>
              </w:rPr>
              <w:t>评价因子</w:t>
            </w:r>
          </w:p>
        </w:tc>
        <w:tc>
          <w:tcPr>
            <w:tcW w:w="3015" w:type="dxa"/>
            <w:vAlign w:val="center"/>
          </w:tcPr>
          <w:p>
            <w:pPr>
              <w:ind w:firstLine="0" w:firstLineChars="0"/>
              <w:jc w:val="center"/>
              <w:rPr>
                <w:color w:val="000000" w:themeColor="text1"/>
                <w:szCs w:val="20"/>
              </w:rPr>
            </w:pPr>
            <w:r>
              <w:rPr>
                <w:rFonts w:hint="eastAsia"/>
                <w:color w:val="000000" w:themeColor="text1"/>
                <w:szCs w:val="20"/>
              </w:rPr>
              <w:t>COD</w:t>
            </w:r>
          </w:p>
        </w:tc>
        <w:tc>
          <w:tcPr>
            <w:tcW w:w="2942" w:type="dxa"/>
            <w:vAlign w:val="center"/>
          </w:tcPr>
          <w:p>
            <w:pPr>
              <w:ind w:firstLine="0" w:firstLineChars="0"/>
              <w:jc w:val="center"/>
              <w:rPr>
                <w:color w:val="000000" w:themeColor="text1"/>
                <w:szCs w:val="20"/>
              </w:rPr>
            </w:pPr>
            <w:r>
              <w:rPr>
                <w:color w:val="000000" w:themeColor="text1"/>
                <w:szCs w:val="20"/>
              </w:rPr>
              <w:t>NH</w:t>
            </w:r>
            <w:r>
              <w:rPr>
                <w:color w:val="000000" w:themeColor="text1"/>
                <w:szCs w:val="20"/>
                <w:vertAlign w:val="subscript"/>
              </w:rPr>
              <w:t>3</w:t>
            </w:r>
            <w:r>
              <w:rPr>
                <w:color w:val="000000" w:themeColor="text1"/>
                <w:szCs w:val="20"/>
              </w:rP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3005" w:type="dxa"/>
            <w:vAlign w:val="center"/>
          </w:tcPr>
          <w:p>
            <w:pPr>
              <w:ind w:firstLine="0" w:firstLineChars="0"/>
              <w:jc w:val="center"/>
              <w:rPr>
                <w:color w:val="000000" w:themeColor="text1"/>
                <w:szCs w:val="20"/>
              </w:rPr>
            </w:pPr>
            <w:r>
              <w:rPr>
                <w:rFonts w:hint="eastAsia"/>
                <w:color w:val="000000" w:themeColor="text1"/>
                <w:szCs w:val="20"/>
              </w:rPr>
              <w:t>降解系数（1/d）</w:t>
            </w:r>
          </w:p>
        </w:tc>
        <w:tc>
          <w:tcPr>
            <w:tcW w:w="3015" w:type="dxa"/>
            <w:vAlign w:val="center"/>
          </w:tcPr>
          <w:p>
            <w:pPr>
              <w:ind w:firstLine="0" w:firstLineChars="0"/>
              <w:jc w:val="center"/>
              <w:rPr>
                <w:color w:val="000000" w:themeColor="text1"/>
                <w:szCs w:val="20"/>
              </w:rPr>
            </w:pPr>
            <w:r>
              <w:rPr>
                <w:rFonts w:hint="eastAsia"/>
                <w:color w:val="000000" w:themeColor="text1"/>
                <w:szCs w:val="20"/>
              </w:rPr>
              <w:t>0.40</w:t>
            </w:r>
          </w:p>
        </w:tc>
        <w:tc>
          <w:tcPr>
            <w:tcW w:w="2942" w:type="dxa"/>
            <w:vAlign w:val="center"/>
          </w:tcPr>
          <w:p>
            <w:pPr>
              <w:ind w:firstLine="199" w:firstLineChars="83"/>
              <w:jc w:val="center"/>
              <w:rPr>
                <w:color w:val="000000" w:themeColor="text1"/>
                <w:szCs w:val="20"/>
              </w:rPr>
            </w:pPr>
            <w:r>
              <w:rPr>
                <w:rFonts w:hint="eastAsia"/>
                <w:color w:val="000000" w:themeColor="text1"/>
                <w:szCs w:val="20"/>
              </w:rPr>
              <w:t>0.33</w:t>
            </w:r>
          </w:p>
        </w:tc>
      </w:tr>
    </w:tbl>
    <w:p>
      <w:pPr>
        <w:ind w:right="79" w:rightChars="33" w:firstLine="480"/>
        <w:rPr>
          <w:color w:val="000000" w:themeColor="text1"/>
        </w:rPr>
      </w:pPr>
      <w:r>
        <w:rPr>
          <w:rFonts w:hint="eastAsia"/>
          <w:color w:val="000000" w:themeColor="text1"/>
        </w:rPr>
        <w:t>②</w:t>
      </w:r>
      <w:r>
        <w:rPr>
          <w:snapToGrid w:val="0"/>
          <w:color w:val="000000" w:themeColor="text1"/>
        </w:rPr>
        <w:t>河流</w:t>
      </w:r>
      <w:r>
        <w:rPr>
          <w:color w:val="000000" w:themeColor="text1"/>
        </w:rPr>
        <w:t>的水质背景值</w:t>
      </w:r>
    </w:p>
    <w:p>
      <w:pPr>
        <w:ind w:right="79" w:rightChars="33" w:firstLine="480"/>
        <w:rPr>
          <w:color w:val="000000" w:themeColor="text1"/>
        </w:rPr>
      </w:pPr>
      <w:r>
        <w:rPr>
          <w:color w:val="000000" w:themeColor="text1"/>
        </w:rPr>
        <w:t>本次预测上游背景对照断面水质</w:t>
      </w:r>
      <w:r>
        <w:rPr>
          <w:rFonts w:hint="eastAsia"/>
          <w:color w:val="000000" w:themeColor="text1"/>
        </w:rPr>
        <w:t>采取的数据为排污口上游500m的断面在2018年5月30日至6月1日监测的基础上，结合该河流地表水Ⅲ类标准限值确定</w:t>
      </w:r>
      <w:r>
        <w:rPr>
          <w:color w:val="000000" w:themeColor="text1"/>
        </w:rPr>
        <w:t>，背景浓度值见表</w:t>
      </w:r>
      <w:r>
        <w:rPr>
          <w:rFonts w:hint="eastAsia"/>
          <w:color w:val="000000" w:themeColor="text1"/>
        </w:rPr>
        <w:t>6.4-4</w:t>
      </w:r>
      <w:r>
        <w:rPr>
          <w:color w:val="000000" w:themeColor="text1"/>
        </w:rPr>
        <w:t>。</w:t>
      </w:r>
    </w:p>
    <w:p>
      <w:pPr>
        <w:adjustRightInd w:val="0"/>
        <w:ind w:firstLine="422"/>
        <w:jc w:val="center"/>
        <w:rPr>
          <w:b/>
          <w:bCs/>
          <w:color w:val="000000" w:themeColor="text1"/>
          <w:szCs w:val="21"/>
        </w:rPr>
      </w:pPr>
      <w:r>
        <w:rPr>
          <w:b/>
          <w:sz w:val="21"/>
        </w:rPr>
        <w:t>表</w:t>
      </w:r>
      <w:r>
        <w:rPr>
          <w:rFonts w:hint="eastAsia"/>
          <w:b/>
          <w:sz w:val="21"/>
        </w:rPr>
        <w:t xml:space="preserve">6.4-4   </w:t>
      </w:r>
      <w:r>
        <w:rPr>
          <w:b/>
          <w:sz w:val="21"/>
        </w:rPr>
        <w:t>上游背景浓度单位（mg/L）</w:t>
      </w:r>
    </w:p>
    <w:tbl>
      <w:tblPr>
        <w:tblStyle w:val="17"/>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877"/>
        <w:gridCol w:w="2527"/>
        <w:gridCol w:w="252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2" w:hRule="atLeast"/>
          <w:jc w:val="center"/>
        </w:trPr>
        <w:tc>
          <w:tcPr>
            <w:tcW w:w="3877" w:type="dxa"/>
            <w:vAlign w:val="center"/>
          </w:tcPr>
          <w:p>
            <w:pPr>
              <w:ind w:firstLine="480"/>
              <w:jc w:val="center"/>
              <w:rPr>
                <w:color w:val="000000" w:themeColor="text1"/>
                <w:szCs w:val="20"/>
              </w:rPr>
            </w:pPr>
            <w:r>
              <w:rPr>
                <w:color w:val="000000" w:themeColor="text1"/>
                <w:szCs w:val="20"/>
              </w:rPr>
              <w:t>控制因子</w:t>
            </w:r>
          </w:p>
        </w:tc>
        <w:tc>
          <w:tcPr>
            <w:tcW w:w="2527" w:type="dxa"/>
            <w:vAlign w:val="center"/>
          </w:tcPr>
          <w:p>
            <w:pPr>
              <w:ind w:firstLine="480"/>
              <w:jc w:val="center"/>
              <w:rPr>
                <w:color w:val="000000" w:themeColor="text1"/>
                <w:szCs w:val="20"/>
              </w:rPr>
            </w:pPr>
            <w:r>
              <w:rPr>
                <w:color w:val="000000" w:themeColor="text1"/>
                <w:szCs w:val="20"/>
              </w:rPr>
              <w:t>COD</w:t>
            </w:r>
          </w:p>
        </w:tc>
        <w:tc>
          <w:tcPr>
            <w:tcW w:w="2527" w:type="dxa"/>
            <w:vAlign w:val="center"/>
          </w:tcPr>
          <w:p>
            <w:pPr>
              <w:ind w:firstLine="480"/>
              <w:jc w:val="center"/>
              <w:rPr>
                <w:color w:val="000000" w:themeColor="text1"/>
                <w:szCs w:val="20"/>
              </w:rPr>
            </w:pPr>
            <w:r>
              <w:rPr>
                <w:color w:val="000000" w:themeColor="text1"/>
                <w:szCs w:val="20"/>
              </w:rPr>
              <w:t>NH</w:t>
            </w:r>
            <w:r>
              <w:rPr>
                <w:color w:val="000000" w:themeColor="text1"/>
                <w:szCs w:val="20"/>
                <w:vertAlign w:val="subscript"/>
              </w:rPr>
              <w:t>3</w:t>
            </w:r>
            <w:r>
              <w:rPr>
                <w:color w:val="000000" w:themeColor="text1"/>
                <w:szCs w:val="20"/>
              </w:rPr>
              <w:t>-N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2" w:hRule="atLeast"/>
          <w:jc w:val="center"/>
        </w:trPr>
        <w:tc>
          <w:tcPr>
            <w:tcW w:w="3877" w:type="dxa"/>
            <w:vAlign w:val="center"/>
          </w:tcPr>
          <w:p>
            <w:pPr>
              <w:ind w:firstLine="480"/>
              <w:jc w:val="center"/>
              <w:rPr>
                <w:color w:val="000000" w:themeColor="text1"/>
                <w:szCs w:val="20"/>
              </w:rPr>
            </w:pPr>
            <w:r>
              <w:rPr>
                <w:rFonts w:hint="eastAsia"/>
                <w:color w:val="000000" w:themeColor="text1"/>
                <w:szCs w:val="20"/>
              </w:rPr>
              <w:t>Ⅲ</w:t>
            </w:r>
            <w:r>
              <w:rPr>
                <w:color w:val="000000" w:themeColor="text1"/>
                <w:szCs w:val="20"/>
              </w:rPr>
              <w:t>类标准限值</w:t>
            </w:r>
          </w:p>
        </w:tc>
        <w:tc>
          <w:tcPr>
            <w:tcW w:w="2527" w:type="dxa"/>
            <w:vAlign w:val="center"/>
          </w:tcPr>
          <w:p>
            <w:pPr>
              <w:ind w:firstLine="480"/>
              <w:jc w:val="center"/>
              <w:rPr>
                <w:color w:val="000000" w:themeColor="text1"/>
                <w:szCs w:val="20"/>
              </w:rPr>
            </w:pPr>
            <w:r>
              <w:rPr>
                <w:rFonts w:hint="eastAsia"/>
                <w:color w:val="000000" w:themeColor="text1"/>
                <w:szCs w:val="20"/>
              </w:rPr>
              <w:t>20</w:t>
            </w:r>
          </w:p>
        </w:tc>
        <w:tc>
          <w:tcPr>
            <w:tcW w:w="2527" w:type="dxa"/>
            <w:vAlign w:val="center"/>
          </w:tcPr>
          <w:p>
            <w:pPr>
              <w:ind w:firstLine="480"/>
              <w:jc w:val="center"/>
              <w:rPr>
                <w:color w:val="000000" w:themeColor="text1"/>
                <w:szCs w:val="20"/>
              </w:rPr>
            </w:pPr>
            <w:r>
              <w:rPr>
                <w:rFonts w:hint="eastAsia"/>
                <w:color w:val="000000" w:themeColor="text1"/>
                <w:szCs w:val="20"/>
              </w:rPr>
              <w:t>1</w:t>
            </w:r>
          </w:p>
        </w:tc>
      </w:tr>
    </w:tbl>
    <w:p>
      <w:pPr>
        <w:adjustRightInd w:val="0"/>
        <w:snapToGrid w:val="0"/>
        <w:ind w:firstLine="480"/>
        <w:rPr>
          <w:rFonts w:ascii="宋体"/>
          <w:color w:val="000000" w:themeColor="text1"/>
          <w:szCs w:val="28"/>
        </w:rPr>
      </w:pPr>
      <w:r>
        <w:rPr>
          <w:rFonts w:hint="eastAsia" w:ascii="宋体"/>
          <w:color w:val="000000" w:themeColor="text1"/>
          <w:szCs w:val="28"/>
        </w:rPr>
        <w:t>③横向扩散系数Ey</w:t>
      </w:r>
    </w:p>
    <w:p>
      <w:pPr>
        <w:adjustRightInd w:val="0"/>
        <w:snapToGrid w:val="0"/>
        <w:ind w:firstLine="480"/>
        <w:rPr>
          <w:color w:val="000000" w:themeColor="text1"/>
          <w:szCs w:val="28"/>
        </w:rPr>
      </w:pPr>
      <w:r>
        <w:rPr>
          <w:rFonts w:hint="eastAsia"/>
          <w:color w:val="000000" w:themeColor="text1"/>
          <w:szCs w:val="28"/>
        </w:rPr>
        <w:t>盖家川</w:t>
      </w:r>
      <w:r>
        <w:rPr>
          <w:color w:val="000000" w:themeColor="text1"/>
          <w:szCs w:val="28"/>
        </w:rPr>
        <w:t>河枯水期水面宽度</w:t>
      </w:r>
      <w:r>
        <w:rPr>
          <w:rFonts w:hint="eastAsia"/>
          <w:color w:val="000000" w:themeColor="text1"/>
          <w:szCs w:val="28"/>
        </w:rPr>
        <w:t>2</w:t>
      </w:r>
      <w:r>
        <w:rPr>
          <w:color w:val="000000" w:themeColor="text1"/>
          <w:szCs w:val="28"/>
        </w:rPr>
        <w:t>m，水深0.</w:t>
      </w:r>
      <w:r>
        <w:rPr>
          <w:rFonts w:hint="eastAsia"/>
          <w:color w:val="000000" w:themeColor="text1"/>
          <w:szCs w:val="28"/>
        </w:rPr>
        <w:t>2</w:t>
      </w:r>
      <w:r>
        <w:rPr>
          <w:color w:val="000000" w:themeColor="text1"/>
          <w:szCs w:val="28"/>
        </w:rPr>
        <w:t>m，宽深比为</w:t>
      </w:r>
      <w:r>
        <w:rPr>
          <w:rFonts w:hint="eastAsia"/>
          <w:color w:val="000000" w:themeColor="text1"/>
          <w:szCs w:val="28"/>
        </w:rPr>
        <w:t>1</w:t>
      </w:r>
      <w:r>
        <w:rPr>
          <w:color w:val="000000" w:themeColor="text1"/>
          <w:szCs w:val="28"/>
        </w:rPr>
        <w:t>0。参照《河流横向扩散系数的研究进展》（顾莉等，2014）中列举的顺直河段的代表性横向扩散系数值，选取郑旭荣等（2002）的验证实测资料中给出的横向扩散系数，即Ey=0.16m</w:t>
      </w:r>
      <w:r>
        <w:rPr>
          <w:color w:val="000000" w:themeColor="text1"/>
          <w:szCs w:val="28"/>
          <w:vertAlign w:val="superscript"/>
        </w:rPr>
        <w:t>2</w:t>
      </w:r>
      <w:r>
        <w:rPr>
          <w:color w:val="000000" w:themeColor="text1"/>
          <w:szCs w:val="28"/>
        </w:rPr>
        <w:t>/s。</w:t>
      </w:r>
    </w:p>
    <w:p>
      <w:pPr>
        <w:adjustRightInd w:val="0"/>
        <w:snapToGrid w:val="0"/>
        <w:ind w:firstLine="480"/>
        <w:rPr>
          <w:color w:val="000000" w:themeColor="text1"/>
        </w:rPr>
      </w:pPr>
      <w:r>
        <w:rPr>
          <w:rFonts w:hint="eastAsia"/>
          <w:color w:val="000000" w:themeColor="text1"/>
        </w:rPr>
        <w:t>④纵向扩散系数</w:t>
      </w:r>
    </w:p>
    <w:p>
      <w:pPr>
        <w:adjustRightInd w:val="0"/>
        <w:snapToGrid w:val="0"/>
        <w:ind w:firstLine="480"/>
        <w:rPr>
          <w:rFonts w:ascii="宋体"/>
          <w:color w:val="000000" w:themeColor="text1"/>
          <w:szCs w:val="28"/>
        </w:rPr>
      </w:pPr>
      <w:r>
        <w:rPr>
          <w:rFonts w:hint="eastAsia" w:ascii="宋体"/>
          <w:color w:val="000000" w:themeColor="text1"/>
          <w:szCs w:val="28"/>
        </w:rPr>
        <w:t>Ex根据费希尔经验公式确定：</w:t>
      </w:r>
    </w:p>
    <w:p>
      <w:pPr>
        <w:ind w:firstLine="1680" w:firstLineChars="700"/>
        <w:rPr>
          <w:color w:val="000000" w:themeColor="text1"/>
        </w:rPr>
      </w:pPr>
      <w:r>
        <w:rPr>
          <w:color w:val="000000" w:themeColor="text1"/>
          <w:lang w:val="en-US" w:bidi="ar-SA"/>
        </w:rPr>
        <w:drawing>
          <wp:inline distT="0" distB="0" distL="0" distR="0">
            <wp:extent cx="1181100" cy="5143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81100" cy="514350"/>
                    </a:xfrm>
                    <a:prstGeom prst="rect">
                      <a:avLst/>
                    </a:prstGeom>
                    <a:noFill/>
                    <a:ln>
                      <a:noFill/>
                    </a:ln>
                  </pic:spPr>
                </pic:pic>
              </a:graphicData>
            </a:graphic>
          </wp:inline>
        </w:drawing>
      </w:r>
    </w:p>
    <w:p>
      <w:pPr>
        <w:ind w:firstLine="720" w:firstLineChars="300"/>
        <w:rPr>
          <w:color w:val="000000" w:themeColor="text1"/>
        </w:rPr>
      </w:pPr>
      <w:r>
        <w:rPr>
          <w:rFonts w:hint="eastAsia"/>
          <w:color w:val="000000" w:themeColor="text1"/>
        </w:rPr>
        <w:t>式中：H—水深，m；</w:t>
      </w:r>
    </w:p>
    <w:p>
      <w:pPr>
        <w:ind w:firstLine="1440" w:firstLineChars="600"/>
        <w:rPr>
          <w:color w:val="000000" w:themeColor="text1"/>
        </w:rPr>
      </w:pPr>
      <w:r>
        <w:rPr>
          <w:rFonts w:hint="eastAsia"/>
          <w:color w:val="000000" w:themeColor="text1"/>
        </w:rPr>
        <w:t>u*—摩阻流速，m/s。其计算公式如下：</w:t>
      </w:r>
    </w:p>
    <w:p>
      <w:pPr>
        <w:adjustRightInd w:val="0"/>
        <w:snapToGrid w:val="0"/>
        <w:ind w:firstLine="1440" w:firstLineChars="600"/>
        <w:rPr>
          <w:rFonts w:ascii="宋体"/>
          <w:color w:val="000000" w:themeColor="text1"/>
          <w:szCs w:val="28"/>
          <w:lang w:val="en-US"/>
        </w:rPr>
      </w:pPr>
      <w:r>
        <w:rPr>
          <w:rFonts w:ascii="宋体"/>
          <w:color w:val="000000" w:themeColor="text1"/>
          <w:szCs w:val="28"/>
          <w:lang w:val="en-US" w:bidi="ar-SA"/>
        </w:rPr>
        <w:drawing>
          <wp:inline distT="0" distB="0" distL="0" distR="0">
            <wp:extent cx="923925" cy="3905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923925" cy="390525"/>
                    </a:xfrm>
                    <a:prstGeom prst="rect">
                      <a:avLst/>
                    </a:prstGeom>
                    <a:noFill/>
                    <a:ln>
                      <a:noFill/>
                    </a:ln>
                  </pic:spPr>
                </pic:pic>
              </a:graphicData>
            </a:graphic>
          </wp:inline>
        </w:drawing>
      </w:r>
    </w:p>
    <w:p>
      <w:pPr>
        <w:ind w:firstLine="480"/>
        <w:rPr>
          <w:color w:val="000000" w:themeColor="text1"/>
          <w:lang w:val="en-US"/>
        </w:rPr>
      </w:pPr>
      <w:r>
        <w:rPr>
          <w:rFonts w:hint="eastAsia"/>
          <w:color w:val="000000" w:themeColor="text1"/>
        </w:rPr>
        <w:t>式中</w:t>
      </w:r>
      <w:r>
        <w:rPr>
          <w:rFonts w:hint="eastAsia"/>
          <w:color w:val="000000" w:themeColor="text1"/>
          <w:lang w:val="en-US"/>
        </w:rPr>
        <w:t>：g—</w:t>
      </w:r>
      <w:r>
        <w:rPr>
          <w:rFonts w:hint="eastAsia"/>
          <w:color w:val="000000" w:themeColor="text1"/>
        </w:rPr>
        <w:t>重力加速度</w:t>
      </w:r>
      <w:r>
        <w:rPr>
          <w:rFonts w:hint="eastAsia"/>
          <w:color w:val="000000" w:themeColor="text1"/>
          <w:lang w:val="en-US"/>
        </w:rPr>
        <w:t>，9.8m/s；</w:t>
      </w:r>
    </w:p>
    <w:p>
      <w:pPr>
        <w:ind w:firstLine="1200" w:firstLineChars="500"/>
        <w:rPr>
          <w:color w:val="000000" w:themeColor="text1"/>
        </w:rPr>
      </w:pPr>
      <w:r>
        <w:rPr>
          <w:rFonts w:hint="eastAsia"/>
          <w:color w:val="000000" w:themeColor="text1"/>
        </w:rPr>
        <w:t>i—水力梯度，无量纲。</w:t>
      </w:r>
    </w:p>
    <w:p>
      <w:pPr>
        <w:ind w:firstLine="480"/>
        <w:rPr>
          <w:color w:val="000000" w:themeColor="text1"/>
        </w:rPr>
      </w:pPr>
      <w:r>
        <w:rPr>
          <w:rFonts w:hint="eastAsia"/>
          <w:color w:val="000000" w:themeColor="text1"/>
        </w:rPr>
        <w:t>流速计算公式如下：</w:t>
      </w:r>
    </w:p>
    <w:p>
      <w:pPr>
        <w:adjustRightInd w:val="0"/>
        <w:snapToGrid w:val="0"/>
        <w:ind w:firstLine="780" w:firstLineChars="325"/>
        <w:rPr>
          <w:rFonts w:ascii="宋体"/>
          <w:color w:val="000000" w:themeColor="text1"/>
          <w:szCs w:val="28"/>
        </w:rPr>
      </w:pPr>
      <w:r>
        <w:rPr>
          <w:rFonts w:ascii="宋体"/>
          <w:color w:val="000000" w:themeColor="text1"/>
          <w:szCs w:val="28"/>
          <w:lang w:val="en-US" w:bidi="ar-SA"/>
        </w:rPr>
        <w:drawing>
          <wp:inline distT="0" distB="0" distL="0" distR="0">
            <wp:extent cx="1143000" cy="5143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143000" cy="514350"/>
                    </a:xfrm>
                    <a:prstGeom prst="rect">
                      <a:avLst/>
                    </a:prstGeom>
                    <a:noFill/>
                    <a:ln>
                      <a:noFill/>
                    </a:ln>
                  </pic:spPr>
                </pic:pic>
              </a:graphicData>
            </a:graphic>
          </wp:inline>
        </w:drawing>
      </w:r>
    </w:p>
    <w:p>
      <w:pPr>
        <w:adjustRightInd w:val="0"/>
        <w:snapToGrid w:val="0"/>
        <w:ind w:firstLine="480"/>
        <w:rPr>
          <w:color w:val="000000" w:themeColor="text1"/>
          <w:szCs w:val="28"/>
        </w:rPr>
      </w:pPr>
      <w:r>
        <w:rPr>
          <w:color w:val="000000" w:themeColor="text1"/>
          <w:szCs w:val="28"/>
        </w:rPr>
        <w:t>式中：n—粗糙系数，粗糙系数为 0.0</w:t>
      </w:r>
      <w:r>
        <w:rPr>
          <w:rFonts w:hint="eastAsia"/>
          <w:color w:val="000000" w:themeColor="text1"/>
          <w:szCs w:val="28"/>
        </w:rPr>
        <w:t>30</w:t>
      </w:r>
      <w:r>
        <w:rPr>
          <w:color w:val="000000" w:themeColor="text1"/>
          <w:szCs w:val="28"/>
        </w:rPr>
        <w:t>~0.0</w:t>
      </w:r>
      <w:r>
        <w:rPr>
          <w:rFonts w:hint="eastAsia"/>
          <w:color w:val="000000" w:themeColor="text1"/>
          <w:szCs w:val="28"/>
        </w:rPr>
        <w:t>45</w:t>
      </w:r>
      <w:r>
        <w:rPr>
          <w:color w:val="000000" w:themeColor="text1"/>
          <w:szCs w:val="28"/>
        </w:rPr>
        <w:t>，取0.0</w:t>
      </w:r>
      <w:r>
        <w:rPr>
          <w:rFonts w:hint="eastAsia"/>
          <w:color w:val="000000" w:themeColor="text1"/>
          <w:szCs w:val="28"/>
        </w:rPr>
        <w:t>35</w:t>
      </w:r>
      <w:r>
        <w:rPr>
          <w:color w:val="000000" w:themeColor="text1"/>
          <w:szCs w:val="28"/>
        </w:rPr>
        <w:t>。</w:t>
      </w:r>
    </w:p>
    <w:p>
      <w:pPr>
        <w:adjustRightInd w:val="0"/>
        <w:snapToGrid w:val="0"/>
        <w:ind w:firstLine="480"/>
        <w:rPr>
          <w:color w:val="000000" w:themeColor="text1"/>
          <w:szCs w:val="28"/>
        </w:rPr>
      </w:pPr>
      <w:r>
        <w:rPr>
          <w:color w:val="000000" w:themeColor="text1"/>
          <w:szCs w:val="28"/>
        </w:rPr>
        <w:t>R—水力半径，m；</w:t>
      </w:r>
    </w:p>
    <w:p>
      <w:pPr>
        <w:adjustRightInd w:val="0"/>
        <w:snapToGrid w:val="0"/>
        <w:ind w:firstLine="1080" w:firstLineChars="450"/>
        <w:rPr>
          <w:rFonts w:ascii="宋体"/>
          <w:color w:val="000000" w:themeColor="text1"/>
          <w:szCs w:val="28"/>
        </w:rPr>
      </w:pPr>
      <w:r>
        <w:rPr>
          <w:rFonts w:ascii="宋体"/>
          <w:color w:val="000000" w:themeColor="text1"/>
          <w:szCs w:val="28"/>
          <w:lang w:val="en-US" w:bidi="ar-SA"/>
        </w:rPr>
        <w:drawing>
          <wp:inline distT="0" distB="0" distL="0" distR="0">
            <wp:extent cx="914400" cy="4953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914400" cy="495300"/>
                    </a:xfrm>
                    <a:prstGeom prst="rect">
                      <a:avLst/>
                    </a:prstGeom>
                    <a:noFill/>
                    <a:ln>
                      <a:noFill/>
                    </a:ln>
                  </pic:spPr>
                </pic:pic>
              </a:graphicData>
            </a:graphic>
          </wp:inline>
        </w:drawing>
      </w:r>
      <w:r>
        <w:rPr>
          <w:rFonts w:ascii="宋体"/>
          <w:color w:val="000000" w:themeColor="text1"/>
          <w:szCs w:val="28"/>
        </w:rPr>
        <w:t></w:t>
      </w:r>
    </w:p>
    <w:p>
      <w:pPr>
        <w:adjustRightInd w:val="0"/>
        <w:snapToGrid w:val="0"/>
        <w:ind w:firstLine="480"/>
        <w:rPr>
          <w:color w:val="000000" w:themeColor="text1"/>
          <w:szCs w:val="28"/>
        </w:rPr>
      </w:pPr>
      <w:r>
        <w:rPr>
          <w:color w:val="000000" w:themeColor="text1"/>
          <w:szCs w:val="28"/>
        </w:rPr>
        <w:t>计算可得</w:t>
      </w:r>
      <w:r>
        <w:rPr>
          <w:rFonts w:hint="eastAsia"/>
          <w:color w:val="000000" w:themeColor="text1"/>
          <w:szCs w:val="28"/>
        </w:rPr>
        <w:t>，盖家川</w:t>
      </w:r>
      <w:r>
        <w:rPr>
          <w:color w:val="000000" w:themeColor="text1"/>
          <w:szCs w:val="28"/>
        </w:rPr>
        <w:t>Ex为</w:t>
      </w:r>
      <w:r>
        <w:rPr>
          <w:rFonts w:hint="eastAsia"/>
          <w:color w:val="000000" w:themeColor="text1"/>
          <w:szCs w:val="28"/>
        </w:rPr>
        <w:t>0.7747</w:t>
      </w:r>
      <w:r>
        <w:rPr>
          <w:color w:val="000000" w:themeColor="text1"/>
          <w:szCs w:val="28"/>
        </w:rPr>
        <w:t>m</w:t>
      </w:r>
      <w:r>
        <w:rPr>
          <w:color w:val="000000" w:themeColor="text1"/>
          <w:szCs w:val="28"/>
          <w:vertAlign w:val="superscript"/>
        </w:rPr>
        <w:t>2</w:t>
      </w:r>
      <w:r>
        <w:rPr>
          <w:color w:val="000000" w:themeColor="text1"/>
          <w:szCs w:val="28"/>
        </w:rPr>
        <w:t>/s。</w:t>
      </w:r>
    </w:p>
    <w:p>
      <w:pPr>
        <w:adjustRightInd w:val="0"/>
        <w:ind w:firstLine="480"/>
        <w:textAlignment w:val="baseline"/>
        <w:rPr>
          <w:color w:val="000000" w:themeColor="text1"/>
          <w:szCs w:val="20"/>
        </w:rPr>
      </w:pPr>
      <w:bookmarkStart w:id="33" w:name="_Toc389668121"/>
      <w:bookmarkStart w:id="34" w:name="_Toc369167130"/>
      <w:bookmarkStart w:id="35" w:name="_Toc389667120"/>
      <w:bookmarkStart w:id="36" w:name="_Toc341867170"/>
      <w:r>
        <w:rPr>
          <w:rFonts w:hint="eastAsia"/>
          <w:color w:val="000000" w:themeColor="text1"/>
          <w:szCs w:val="20"/>
        </w:rPr>
        <w:t>（5）</w:t>
      </w:r>
      <w:r>
        <w:rPr>
          <w:color w:val="000000" w:themeColor="text1"/>
          <w:szCs w:val="20"/>
        </w:rPr>
        <w:t>预测模式</w:t>
      </w:r>
      <w:bookmarkEnd w:id="33"/>
      <w:bookmarkEnd w:id="34"/>
      <w:bookmarkEnd w:id="35"/>
      <w:bookmarkEnd w:id="36"/>
    </w:p>
    <w:p>
      <w:pPr>
        <w:ind w:firstLine="480"/>
        <w:rPr>
          <w:color w:val="000000" w:themeColor="text1"/>
        </w:rPr>
      </w:pPr>
      <w:r>
        <w:rPr>
          <w:color w:val="000000" w:themeColor="text1"/>
        </w:rPr>
        <w:t>按照《制定地方水污染物排放标准的技术原则和方法》（GB3839-83）的规定和《环境影响评价技术导则 地</w:t>
      </w:r>
      <w:r>
        <w:rPr>
          <w:rFonts w:hint="eastAsia"/>
          <w:color w:val="000000" w:themeColor="text1"/>
        </w:rPr>
        <w:t>表</w:t>
      </w:r>
      <w:r>
        <w:rPr>
          <w:color w:val="000000" w:themeColor="text1"/>
        </w:rPr>
        <w:t>水环境》（HJ2.3-</w:t>
      </w:r>
      <w:r>
        <w:rPr>
          <w:rFonts w:hint="eastAsia"/>
          <w:color w:val="000000" w:themeColor="text1"/>
        </w:rPr>
        <w:t>2018</w:t>
      </w:r>
      <w:r>
        <w:rPr>
          <w:color w:val="000000" w:themeColor="text1"/>
        </w:rPr>
        <w:t>）的要求，</w:t>
      </w:r>
      <w:r>
        <w:rPr>
          <w:rFonts w:hint="eastAsia"/>
          <w:color w:val="000000" w:themeColor="text1"/>
        </w:rPr>
        <w:t>根据地表水环境特点，选用适当数学模型，对地表水水质进行预测计算，以此分析工程排水对收纳水体水质的影响程度。</w:t>
      </w:r>
    </w:p>
    <w:p>
      <w:pPr>
        <w:adjustRightInd w:val="0"/>
        <w:snapToGrid w:val="0"/>
        <w:ind w:firstLine="480"/>
        <w:rPr>
          <w:color w:val="000000" w:themeColor="text1"/>
          <w:szCs w:val="28"/>
        </w:rPr>
      </w:pPr>
      <w:r>
        <w:rPr>
          <w:color w:val="000000" w:themeColor="text1"/>
          <w:szCs w:val="28"/>
        </w:rPr>
        <w:t>根据</w:t>
      </w:r>
      <w:r>
        <w:rPr>
          <w:rFonts w:hint="eastAsia"/>
          <w:color w:val="000000" w:themeColor="text1"/>
          <w:szCs w:val="28"/>
        </w:rPr>
        <w:t>盖家川</w:t>
      </w:r>
      <w:r>
        <w:rPr>
          <w:color w:val="000000" w:themeColor="text1"/>
          <w:szCs w:val="28"/>
        </w:rPr>
        <w:t>的河流特点，枯水期的</w:t>
      </w:r>
      <w:r>
        <w:rPr>
          <w:rFonts w:hint="eastAsia"/>
          <w:color w:val="000000" w:themeColor="text1"/>
          <w:szCs w:val="28"/>
        </w:rPr>
        <w:t>盖家川</w:t>
      </w:r>
      <w:r>
        <w:rPr>
          <w:color w:val="000000" w:themeColor="text1"/>
          <w:szCs w:val="28"/>
        </w:rPr>
        <w:t>水深0.</w:t>
      </w:r>
      <w:r>
        <w:rPr>
          <w:rFonts w:hint="eastAsia"/>
          <w:color w:val="000000" w:themeColor="text1"/>
          <w:szCs w:val="28"/>
        </w:rPr>
        <w:t>2</w:t>
      </w:r>
      <w:r>
        <w:rPr>
          <w:color w:val="000000" w:themeColor="text1"/>
          <w:szCs w:val="28"/>
        </w:rPr>
        <w:t>m，水宽</w:t>
      </w:r>
      <w:r>
        <w:rPr>
          <w:rFonts w:hint="eastAsia"/>
          <w:color w:val="000000" w:themeColor="text1"/>
          <w:szCs w:val="28"/>
        </w:rPr>
        <w:t>2</w:t>
      </w:r>
      <w:r>
        <w:rPr>
          <w:color w:val="000000" w:themeColor="text1"/>
          <w:szCs w:val="28"/>
        </w:rPr>
        <w:t>.0m，流量为</w:t>
      </w:r>
      <w:r>
        <w:rPr>
          <w:rFonts w:hint="eastAsia"/>
          <w:color w:val="000000" w:themeColor="text1"/>
          <w:szCs w:val="28"/>
        </w:rPr>
        <w:t>0.04</w:t>
      </w:r>
      <w:r>
        <w:rPr>
          <w:color w:val="000000" w:themeColor="text1"/>
          <w:szCs w:val="28"/>
        </w:rPr>
        <w:t>m</w:t>
      </w:r>
      <w:r>
        <w:rPr>
          <w:color w:val="000000" w:themeColor="text1"/>
          <w:szCs w:val="28"/>
          <w:vertAlign w:val="superscript"/>
        </w:rPr>
        <w:t>3</w:t>
      </w:r>
      <w:r>
        <w:rPr>
          <w:color w:val="000000" w:themeColor="text1"/>
          <w:szCs w:val="28"/>
        </w:rPr>
        <w:t>/s，河流水量较小，垂向和横向断面上水质近似均匀，项目废水量</w:t>
      </w:r>
      <w:r>
        <w:rPr>
          <w:rFonts w:hint="eastAsia"/>
          <w:color w:val="000000" w:themeColor="text1"/>
          <w:szCs w:val="28"/>
        </w:rPr>
        <w:t>200</w:t>
      </w:r>
      <w:r>
        <w:rPr>
          <w:color w:val="000000" w:themeColor="text1"/>
          <w:szCs w:val="28"/>
        </w:rPr>
        <w:t>m</w:t>
      </w:r>
      <w:r>
        <w:rPr>
          <w:color w:val="000000" w:themeColor="text1"/>
          <w:szCs w:val="28"/>
          <w:vertAlign w:val="superscript"/>
        </w:rPr>
        <w:t>3</w:t>
      </w:r>
      <w:r>
        <w:rPr>
          <w:color w:val="000000" w:themeColor="text1"/>
          <w:szCs w:val="28"/>
        </w:rPr>
        <w:t>/d，排水稳定，废水入河后水宽和水深增加量不大，因此</w:t>
      </w:r>
      <w:r>
        <w:rPr>
          <w:rFonts w:hint="eastAsia"/>
          <w:color w:val="000000" w:themeColor="text1"/>
          <w:szCs w:val="28"/>
        </w:rPr>
        <w:t>盖家川</w:t>
      </w:r>
      <w:r>
        <w:rPr>
          <w:color w:val="000000" w:themeColor="text1"/>
          <w:szCs w:val="28"/>
        </w:rPr>
        <w:t>选择河流均匀混合模式和纵向一维模型进行预测。</w:t>
      </w:r>
    </w:p>
    <w:p>
      <w:pPr>
        <w:ind w:firstLine="480"/>
        <w:rPr>
          <w:color w:val="000000" w:themeColor="text1"/>
        </w:rPr>
      </w:pPr>
      <w:r>
        <w:rPr>
          <w:color w:val="000000" w:themeColor="text1"/>
        </w:rPr>
        <w:t>河流均匀混合模型：</w:t>
      </w:r>
    </w:p>
    <w:p>
      <w:pPr>
        <w:adjustRightInd w:val="0"/>
        <w:snapToGrid w:val="0"/>
        <w:ind w:firstLine="960" w:firstLineChars="400"/>
        <w:rPr>
          <w:color w:val="000000" w:themeColor="text1"/>
          <w:szCs w:val="28"/>
        </w:rPr>
      </w:pPr>
      <w:r>
        <w:rPr>
          <w:color w:val="000000" w:themeColor="text1"/>
          <w:szCs w:val="28"/>
          <w:lang w:val="en-US" w:bidi="ar-SA"/>
        </w:rPr>
        <w:drawing>
          <wp:inline distT="0" distB="0" distL="0" distR="0">
            <wp:extent cx="1457325" cy="5429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457325" cy="542925"/>
                    </a:xfrm>
                    <a:prstGeom prst="rect">
                      <a:avLst/>
                    </a:prstGeom>
                    <a:noFill/>
                    <a:ln>
                      <a:noFill/>
                    </a:ln>
                  </pic:spPr>
                </pic:pic>
              </a:graphicData>
            </a:graphic>
          </wp:inline>
        </w:drawing>
      </w:r>
    </w:p>
    <w:p>
      <w:pPr>
        <w:adjustRightInd w:val="0"/>
        <w:snapToGrid w:val="0"/>
        <w:ind w:firstLine="480"/>
        <w:rPr>
          <w:color w:val="000000" w:themeColor="text1"/>
          <w:szCs w:val="28"/>
        </w:rPr>
      </w:pPr>
      <w:r>
        <w:rPr>
          <w:color w:val="000000" w:themeColor="text1"/>
          <w:szCs w:val="28"/>
        </w:rPr>
        <w:t>式中：C——污染物浓度，mg/L；</w:t>
      </w:r>
    </w:p>
    <w:p>
      <w:pPr>
        <w:ind w:firstLine="960" w:firstLineChars="400"/>
        <w:rPr>
          <w:color w:val="000000" w:themeColor="text1"/>
        </w:rPr>
      </w:pPr>
      <w:r>
        <w:rPr>
          <w:color w:val="000000" w:themeColor="text1"/>
        </w:rPr>
        <w:t>C</w:t>
      </w:r>
      <w:r>
        <w:rPr>
          <w:color w:val="000000" w:themeColor="text1"/>
          <w:vertAlign w:val="subscript"/>
        </w:rPr>
        <w:t>p</w:t>
      </w:r>
      <w:r>
        <w:rPr>
          <w:color w:val="000000" w:themeColor="text1"/>
        </w:rPr>
        <w:t xml:space="preserve"> ——污染物排放浓度，mg/L</w:t>
      </w:r>
    </w:p>
    <w:p>
      <w:pPr>
        <w:ind w:firstLine="960" w:firstLineChars="400"/>
        <w:rPr>
          <w:color w:val="000000" w:themeColor="text1"/>
        </w:rPr>
      </w:pPr>
      <w:r>
        <w:rPr>
          <w:color w:val="000000" w:themeColor="text1"/>
        </w:rPr>
        <w:t>C</w:t>
      </w:r>
      <w:r>
        <w:rPr>
          <w:color w:val="000000" w:themeColor="text1"/>
          <w:vertAlign w:val="subscript"/>
        </w:rPr>
        <w:t>h</w:t>
      </w:r>
      <w:r>
        <w:rPr>
          <w:color w:val="000000" w:themeColor="text1"/>
        </w:rPr>
        <w:t xml:space="preserve"> ——河流上游污染物排放浓度，mg/L；</w:t>
      </w:r>
    </w:p>
    <w:p>
      <w:pPr>
        <w:ind w:firstLine="960" w:firstLineChars="400"/>
        <w:rPr>
          <w:color w:val="000000" w:themeColor="text1"/>
        </w:rPr>
      </w:pPr>
      <w:r>
        <w:rPr>
          <w:color w:val="000000" w:themeColor="text1"/>
        </w:rPr>
        <w:t>Q</w:t>
      </w:r>
      <w:r>
        <w:rPr>
          <w:color w:val="000000" w:themeColor="text1"/>
          <w:vertAlign w:val="subscript"/>
        </w:rPr>
        <w:t>P</w:t>
      </w:r>
      <w:r>
        <w:rPr>
          <w:color w:val="000000" w:themeColor="text1"/>
        </w:rPr>
        <w:t xml:space="preserve"> ——污水排放量，m</w:t>
      </w:r>
      <w:r>
        <w:rPr>
          <w:color w:val="000000" w:themeColor="text1"/>
          <w:vertAlign w:val="superscript"/>
        </w:rPr>
        <w:t>3</w:t>
      </w:r>
      <w:r>
        <w:rPr>
          <w:color w:val="000000" w:themeColor="text1"/>
        </w:rPr>
        <w:t>/s；</w:t>
      </w:r>
    </w:p>
    <w:p>
      <w:pPr>
        <w:ind w:firstLine="960" w:firstLineChars="400"/>
        <w:rPr>
          <w:color w:val="000000" w:themeColor="text1"/>
        </w:rPr>
      </w:pPr>
      <w:r>
        <w:rPr>
          <w:color w:val="000000" w:themeColor="text1"/>
        </w:rPr>
        <w:t>Q</w:t>
      </w:r>
      <w:r>
        <w:rPr>
          <w:color w:val="000000" w:themeColor="text1"/>
          <w:vertAlign w:val="subscript"/>
        </w:rPr>
        <w:t>h</w:t>
      </w:r>
      <w:r>
        <w:rPr>
          <w:color w:val="000000" w:themeColor="text1"/>
        </w:rPr>
        <w:t xml:space="preserve"> ——河流流量，m</w:t>
      </w:r>
      <w:r>
        <w:rPr>
          <w:color w:val="000000" w:themeColor="text1"/>
          <w:vertAlign w:val="superscript"/>
        </w:rPr>
        <w:t>3</w:t>
      </w:r>
      <w:r>
        <w:rPr>
          <w:color w:val="000000" w:themeColor="text1"/>
        </w:rPr>
        <w:t>/s。</w:t>
      </w:r>
    </w:p>
    <w:p>
      <w:pPr>
        <w:ind w:firstLine="480"/>
        <w:rPr>
          <w:color w:val="000000" w:themeColor="text1"/>
        </w:rPr>
      </w:pPr>
      <w:r>
        <w:rPr>
          <w:rFonts w:hint="eastAsia"/>
          <w:color w:val="000000" w:themeColor="text1"/>
        </w:rPr>
        <w:t>根据河流纵向一维水质模型方程的简化、分类判别条件（即O’Connor数</w:t>
      </w:r>
      <w:r>
        <w:rPr>
          <w:color w:val="000000" w:themeColor="text1"/>
        </w:rPr>
        <w:t>α</w:t>
      </w:r>
      <w:r>
        <w:rPr>
          <w:rFonts w:hint="eastAsia"/>
          <w:color w:val="000000" w:themeColor="text1"/>
        </w:rPr>
        <w:t>和贝克来数Pe的临界值），选择相应的解析解公式。</w:t>
      </w:r>
    </w:p>
    <w:p>
      <w:pPr>
        <w:ind w:firstLine="960" w:firstLineChars="400"/>
        <w:rPr>
          <w:color w:val="000000" w:themeColor="text1"/>
          <w:lang w:val="en-US"/>
        </w:rPr>
      </w:pPr>
      <w:r>
        <w:rPr>
          <w:color w:val="000000" w:themeColor="text1"/>
          <w:lang w:val="en-US" w:bidi="ar-SA"/>
        </w:rPr>
        <w:drawing>
          <wp:inline distT="0" distB="0" distL="0" distR="0">
            <wp:extent cx="857250" cy="8953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857250" cy="895350"/>
                    </a:xfrm>
                    <a:prstGeom prst="rect">
                      <a:avLst/>
                    </a:prstGeom>
                    <a:noFill/>
                    <a:ln>
                      <a:noFill/>
                    </a:ln>
                  </pic:spPr>
                </pic:pic>
              </a:graphicData>
            </a:graphic>
          </wp:inline>
        </w:drawing>
      </w:r>
    </w:p>
    <w:p>
      <w:pPr>
        <w:adjustRightInd w:val="0"/>
        <w:snapToGrid w:val="0"/>
        <w:ind w:firstLine="480"/>
        <w:rPr>
          <w:color w:val="000000" w:themeColor="text1"/>
          <w:szCs w:val="28"/>
        </w:rPr>
      </w:pPr>
      <w:r>
        <w:rPr>
          <w:color w:val="000000" w:themeColor="text1"/>
          <w:szCs w:val="28"/>
        </w:rPr>
        <w:t>式中：α——O’Connor 数，量纲为1，表征物质离散降解通量与移流通量比值；</w:t>
      </w:r>
    </w:p>
    <w:p>
      <w:pPr>
        <w:adjustRightInd w:val="0"/>
        <w:snapToGrid w:val="0"/>
        <w:ind w:firstLine="1200" w:firstLineChars="500"/>
        <w:rPr>
          <w:color w:val="000000" w:themeColor="text1"/>
          <w:szCs w:val="28"/>
        </w:rPr>
      </w:pPr>
      <w:r>
        <w:rPr>
          <w:color w:val="000000" w:themeColor="text1"/>
          <w:szCs w:val="28"/>
        </w:rPr>
        <w:t>Pe——贝克来数，量纲为1，表征物质移流通量与离散通量比值；</w:t>
      </w:r>
    </w:p>
    <w:p>
      <w:pPr>
        <w:adjustRightInd w:val="0"/>
        <w:snapToGrid w:val="0"/>
        <w:ind w:firstLine="1200" w:firstLineChars="500"/>
        <w:rPr>
          <w:color w:val="000000" w:themeColor="text1"/>
          <w:szCs w:val="28"/>
        </w:rPr>
      </w:pPr>
      <w:r>
        <w:rPr>
          <w:color w:val="000000" w:themeColor="text1"/>
          <w:szCs w:val="28"/>
        </w:rPr>
        <w:t>E</w:t>
      </w:r>
      <w:r>
        <w:rPr>
          <w:color w:val="000000" w:themeColor="text1"/>
          <w:szCs w:val="28"/>
          <w:vertAlign w:val="subscript"/>
        </w:rPr>
        <w:t>x</w:t>
      </w:r>
      <w:r>
        <w:rPr>
          <w:color w:val="000000" w:themeColor="text1"/>
          <w:szCs w:val="28"/>
        </w:rPr>
        <w:t xml:space="preserve"> ——污染物纵向扩散系数，m</w:t>
      </w:r>
      <w:r>
        <w:rPr>
          <w:color w:val="000000" w:themeColor="text1"/>
          <w:szCs w:val="28"/>
          <w:vertAlign w:val="superscript"/>
        </w:rPr>
        <w:t>2</w:t>
      </w:r>
      <w:r>
        <w:rPr>
          <w:color w:val="000000" w:themeColor="text1"/>
          <w:szCs w:val="28"/>
        </w:rPr>
        <w:t>/s；</w:t>
      </w:r>
    </w:p>
    <w:p>
      <w:pPr>
        <w:adjustRightInd w:val="0"/>
        <w:snapToGrid w:val="0"/>
        <w:ind w:firstLine="1200" w:firstLineChars="500"/>
        <w:rPr>
          <w:color w:val="000000" w:themeColor="text1"/>
          <w:szCs w:val="28"/>
        </w:rPr>
      </w:pPr>
      <w:r>
        <w:rPr>
          <w:color w:val="000000" w:themeColor="text1"/>
          <w:szCs w:val="28"/>
        </w:rPr>
        <w:t>k——污染物综合衰减系数，l/s。</w:t>
      </w:r>
    </w:p>
    <w:p>
      <w:pPr>
        <w:adjustRightInd w:val="0"/>
        <w:snapToGrid w:val="0"/>
        <w:ind w:firstLine="480"/>
        <w:rPr>
          <w:rFonts w:ascii="宋体"/>
          <w:color w:val="000000" w:themeColor="text1"/>
          <w:szCs w:val="28"/>
        </w:rPr>
      </w:pPr>
      <w:r>
        <w:rPr>
          <w:rFonts w:hint="eastAsia" w:ascii="宋体"/>
          <w:color w:val="000000" w:themeColor="text1"/>
          <w:szCs w:val="28"/>
        </w:rPr>
        <w:t>当</w:t>
      </w:r>
      <w:r>
        <w:rPr>
          <w:color w:val="000000" w:themeColor="text1"/>
          <w:szCs w:val="28"/>
        </w:rPr>
        <w:t>α</w:t>
      </w:r>
      <w:r>
        <w:rPr>
          <w:rFonts w:ascii="仿宋" w:hAnsi="仿宋" w:eastAsia="仿宋"/>
          <w:color w:val="000000" w:themeColor="text1"/>
          <w:szCs w:val="28"/>
        </w:rPr>
        <w:t>≤</w:t>
      </w:r>
      <w:r>
        <w:rPr>
          <w:color w:val="000000" w:themeColor="text1"/>
          <w:szCs w:val="28"/>
        </w:rPr>
        <w:t>0.027、Pe</w:t>
      </w:r>
      <w:r>
        <w:rPr>
          <w:rFonts w:hint="eastAsia" w:ascii="仿宋" w:hAnsi="仿宋" w:eastAsia="仿宋"/>
          <w:color w:val="000000" w:themeColor="text1"/>
          <w:szCs w:val="28"/>
        </w:rPr>
        <w:t>≥</w:t>
      </w:r>
      <w:r>
        <w:rPr>
          <w:color w:val="000000" w:themeColor="text1"/>
          <w:szCs w:val="28"/>
        </w:rPr>
        <w:t>1</w:t>
      </w:r>
      <w:r>
        <w:rPr>
          <w:rFonts w:hint="eastAsia" w:ascii="宋体"/>
          <w:color w:val="000000" w:themeColor="text1"/>
          <w:szCs w:val="28"/>
        </w:rPr>
        <w:t>时，适用对流降解模型：</w:t>
      </w:r>
    </w:p>
    <w:p>
      <w:pPr>
        <w:ind w:firstLine="1200" w:firstLineChars="500"/>
        <w:rPr>
          <w:color w:val="000000" w:themeColor="text1"/>
        </w:rPr>
      </w:pPr>
      <w:r>
        <w:rPr>
          <w:color w:val="000000" w:themeColor="text1"/>
          <w:lang w:val="en-US" w:bidi="ar-SA"/>
        </w:rPr>
        <w:drawing>
          <wp:inline distT="0" distB="0" distL="0" distR="0">
            <wp:extent cx="1485900" cy="914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485900" cy="914400"/>
                    </a:xfrm>
                    <a:prstGeom prst="rect">
                      <a:avLst/>
                    </a:prstGeom>
                    <a:noFill/>
                    <a:ln>
                      <a:noFill/>
                    </a:ln>
                  </pic:spPr>
                </pic:pic>
              </a:graphicData>
            </a:graphic>
          </wp:inline>
        </w:drawing>
      </w:r>
    </w:p>
    <w:p>
      <w:pPr>
        <w:adjustRightInd w:val="0"/>
        <w:snapToGrid w:val="0"/>
        <w:ind w:firstLine="480"/>
        <w:rPr>
          <w:color w:val="000000" w:themeColor="text1"/>
          <w:szCs w:val="28"/>
        </w:rPr>
      </w:pPr>
      <w:r>
        <w:rPr>
          <w:rFonts w:hint="eastAsia" w:ascii="宋体"/>
          <w:color w:val="000000" w:themeColor="text1"/>
          <w:szCs w:val="28"/>
        </w:rPr>
        <w:t>式中：</w:t>
      </w:r>
      <w:r>
        <w:rPr>
          <w:color w:val="000000" w:themeColor="text1"/>
          <w:szCs w:val="28"/>
        </w:rPr>
        <w:t>C—预测断面的污染物浓度，mg/L；</w:t>
      </w:r>
    </w:p>
    <w:p>
      <w:pPr>
        <w:adjustRightInd w:val="0"/>
        <w:snapToGrid w:val="0"/>
        <w:ind w:firstLine="1200" w:firstLineChars="500"/>
        <w:rPr>
          <w:color w:val="000000" w:themeColor="text1"/>
          <w:szCs w:val="28"/>
        </w:rPr>
      </w:pPr>
      <w:r>
        <w:rPr>
          <w:color w:val="000000" w:themeColor="text1"/>
          <w:szCs w:val="28"/>
        </w:rPr>
        <w:t>C</w:t>
      </w:r>
      <w:r>
        <w:rPr>
          <w:color w:val="000000" w:themeColor="text1"/>
          <w:szCs w:val="28"/>
          <w:vertAlign w:val="subscript"/>
        </w:rPr>
        <w:t>0</w:t>
      </w:r>
      <w:r>
        <w:rPr>
          <w:color w:val="000000" w:themeColor="text1"/>
          <w:szCs w:val="28"/>
        </w:rPr>
        <w:t xml:space="preserve"> —初始断面的污染物浓度，mg/L；</w:t>
      </w:r>
    </w:p>
    <w:p>
      <w:pPr>
        <w:adjustRightInd w:val="0"/>
        <w:snapToGrid w:val="0"/>
        <w:ind w:firstLine="1200" w:firstLineChars="500"/>
        <w:rPr>
          <w:color w:val="000000" w:themeColor="text1"/>
          <w:szCs w:val="28"/>
        </w:rPr>
      </w:pPr>
      <w:r>
        <w:rPr>
          <w:color w:val="000000" w:themeColor="text1"/>
          <w:szCs w:val="28"/>
        </w:rPr>
        <w:t>C</w:t>
      </w:r>
      <w:r>
        <w:rPr>
          <w:color w:val="000000" w:themeColor="text1"/>
          <w:szCs w:val="28"/>
          <w:vertAlign w:val="subscript"/>
        </w:rPr>
        <w:t>p</w:t>
      </w:r>
      <w:r>
        <w:rPr>
          <w:color w:val="000000" w:themeColor="text1"/>
          <w:szCs w:val="28"/>
        </w:rPr>
        <w:t xml:space="preserve"> ——污染物排放浓度，mg/L</w:t>
      </w:r>
    </w:p>
    <w:p>
      <w:pPr>
        <w:adjustRightInd w:val="0"/>
        <w:snapToGrid w:val="0"/>
        <w:ind w:firstLine="1200" w:firstLineChars="500"/>
        <w:rPr>
          <w:color w:val="000000" w:themeColor="text1"/>
          <w:szCs w:val="28"/>
        </w:rPr>
      </w:pPr>
      <w:r>
        <w:rPr>
          <w:color w:val="000000" w:themeColor="text1"/>
          <w:szCs w:val="28"/>
        </w:rPr>
        <w:t>C</w:t>
      </w:r>
      <w:r>
        <w:rPr>
          <w:color w:val="000000" w:themeColor="text1"/>
          <w:szCs w:val="28"/>
          <w:vertAlign w:val="subscript"/>
        </w:rPr>
        <w:t>h</w:t>
      </w:r>
      <w:r>
        <w:rPr>
          <w:color w:val="000000" w:themeColor="text1"/>
          <w:szCs w:val="28"/>
        </w:rPr>
        <w:t xml:space="preserve"> ——河流上游污染物排放浓度，mg/L；</w:t>
      </w:r>
    </w:p>
    <w:p>
      <w:pPr>
        <w:adjustRightInd w:val="0"/>
        <w:snapToGrid w:val="0"/>
        <w:ind w:firstLine="1200" w:firstLineChars="500"/>
        <w:rPr>
          <w:color w:val="000000" w:themeColor="text1"/>
          <w:szCs w:val="28"/>
        </w:rPr>
      </w:pPr>
      <w:r>
        <w:rPr>
          <w:color w:val="000000" w:themeColor="text1"/>
          <w:szCs w:val="28"/>
        </w:rPr>
        <w:t>Q</w:t>
      </w:r>
      <w:r>
        <w:rPr>
          <w:color w:val="000000" w:themeColor="text1"/>
          <w:szCs w:val="28"/>
          <w:vertAlign w:val="subscript"/>
        </w:rPr>
        <w:t>P</w:t>
      </w:r>
      <w:r>
        <w:rPr>
          <w:color w:val="000000" w:themeColor="text1"/>
          <w:szCs w:val="28"/>
        </w:rPr>
        <w:t xml:space="preserve"> ——废水排放量，m</w:t>
      </w:r>
      <w:r>
        <w:rPr>
          <w:color w:val="000000" w:themeColor="text1"/>
          <w:szCs w:val="28"/>
          <w:vertAlign w:val="superscript"/>
        </w:rPr>
        <w:t>3</w:t>
      </w:r>
      <w:r>
        <w:rPr>
          <w:color w:val="000000" w:themeColor="text1"/>
          <w:szCs w:val="28"/>
        </w:rPr>
        <w:t>/s；</w:t>
      </w:r>
    </w:p>
    <w:p>
      <w:pPr>
        <w:adjustRightInd w:val="0"/>
        <w:snapToGrid w:val="0"/>
        <w:ind w:firstLine="1200" w:firstLineChars="500"/>
        <w:rPr>
          <w:color w:val="000000" w:themeColor="text1"/>
          <w:szCs w:val="28"/>
        </w:rPr>
      </w:pPr>
      <w:r>
        <w:rPr>
          <w:color w:val="000000" w:themeColor="text1"/>
          <w:szCs w:val="28"/>
        </w:rPr>
        <w:t>Q</w:t>
      </w:r>
      <w:r>
        <w:rPr>
          <w:color w:val="000000" w:themeColor="text1"/>
          <w:szCs w:val="28"/>
          <w:vertAlign w:val="subscript"/>
        </w:rPr>
        <w:t>h</w:t>
      </w:r>
      <w:r>
        <w:rPr>
          <w:color w:val="000000" w:themeColor="text1"/>
          <w:szCs w:val="28"/>
        </w:rPr>
        <w:t xml:space="preserve"> ——河水流量，m</w:t>
      </w:r>
      <w:r>
        <w:rPr>
          <w:color w:val="000000" w:themeColor="text1"/>
          <w:szCs w:val="28"/>
          <w:vertAlign w:val="superscript"/>
        </w:rPr>
        <w:t>3</w:t>
      </w:r>
      <w:r>
        <w:rPr>
          <w:color w:val="000000" w:themeColor="text1"/>
          <w:szCs w:val="28"/>
        </w:rPr>
        <w:t>/s。</w:t>
      </w:r>
    </w:p>
    <w:p>
      <w:pPr>
        <w:adjustRightInd w:val="0"/>
        <w:snapToGrid w:val="0"/>
        <w:ind w:firstLine="1200" w:firstLineChars="500"/>
        <w:rPr>
          <w:color w:val="000000" w:themeColor="text1"/>
          <w:szCs w:val="28"/>
        </w:rPr>
      </w:pPr>
      <w:r>
        <w:rPr>
          <w:color w:val="000000" w:themeColor="text1"/>
          <w:szCs w:val="28"/>
        </w:rPr>
        <w:t>k—污染物的衰减系数，l/s；</w:t>
      </w:r>
    </w:p>
    <w:p>
      <w:pPr>
        <w:adjustRightInd w:val="0"/>
        <w:snapToGrid w:val="0"/>
        <w:ind w:firstLine="1200" w:firstLineChars="500"/>
        <w:rPr>
          <w:color w:val="000000" w:themeColor="text1"/>
          <w:szCs w:val="28"/>
        </w:rPr>
      </w:pPr>
      <w:r>
        <w:rPr>
          <w:color w:val="000000" w:themeColor="text1"/>
          <w:szCs w:val="28"/>
        </w:rPr>
        <w:t>x—从初始断面流过的纵向距离，m；</w:t>
      </w:r>
    </w:p>
    <w:p>
      <w:pPr>
        <w:adjustRightInd w:val="0"/>
        <w:snapToGrid w:val="0"/>
        <w:ind w:firstLine="1200" w:firstLineChars="500"/>
        <w:rPr>
          <w:color w:val="000000" w:themeColor="text1"/>
          <w:szCs w:val="28"/>
        </w:rPr>
      </w:pPr>
      <w:r>
        <w:rPr>
          <w:color w:val="000000" w:themeColor="text1"/>
          <w:szCs w:val="28"/>
        </w:rPr>
        <w:t>u—断面平均流速。</w:t>
      </w:r>
    </w:p>
    <w:p>
      <w:pPr>
        <w:adjustRightInd w:val="0"/>
        <w:snapToGrid w:val="0"/>
        <w:ind w:firstLine="480"/>
        <w:rPr>
          <w:rFonts w:ascii="宋体"/>
          <w:color w:val="000000" w:themeColor="text1"/>
          <w:szCs w:val="28"/>
        </w:rPr>
      </w:pPr>
      <w:r>
        <w:rPr>
          <w:rFonts w:hint="eastAsia" w:ascii="宋体"/>
          <w:color w:val="000000" w:themeColor="text1"/>
          <w:szCs w:val="28"/>
        </w:rPr>
        <w:t>当</w:t>
      </w:r>
      <w:r>
        <w:rPr>
          <w:color w:val="000000" w:themeColor="text1"/>
          <w:szCs w:val="28"/>
        </w:rPr>
        <w:t>α</w:t>
      </w:r>
      <w:r>
        <w:rPr>
          <w:rFonts w:ascii="仿宋" w:hAnsi="仿宋" w:eastAsia="仿宋"/>
          <w:color w:val="000000" w:themeColor="text1"/>
          <w:szCs w:val="28"/>
        </w:rPr>
        <w:t>≤</w:t>
      </w:r>
      <w:r>
        <w:rPr>
          <w:color w:val="000000" w:themeColor="text1"/>
          <w:szCs w:val="28"/>
        </w:rPr>
        <w:t>0.027、Pe</w:t>
      </w:r>
      <w:r>
        <w:rPr>
          <w:rFonts w:ascii="仿宋" w:hAnsi="仿宋" w:eastAsia="仿宋"/>
          <w:color w:val="000000" w:themeColor="text1"/>
          <w:szCs w:val="28"/>
        </w:rPr>
        <w:t>＜</w:t>
      </w:r>
      <w:r>
        <w:rPr>
          <w:color w:val="000000" w:themeColor="text1"/>
          <w:szCs w:val="28"/>
        </w:rPr>
        <w:t>1 时</w:t>
      </w:r>
      <w:r>
        <w:rPr>
          <w:rFonts w:hint="eastAsia" w:ascii="宋体"/>
          <w:color w:val="000000" w:themeColor="text1"/>
          <w:szCs w:val="28"/>
        </w:rPr>
        <w:t>，适用对流扩散降解简化模型：</w:t>
      </w:r>
    </w:p>
    <w:p>
      <w:pPr>
        <w:ind w:firstLine="1200" w:firstLineChars="500"/>
        <w:rPr>
          <w:color w:val="000000" w:themeColor="text1"/>
          <w:lang w:val="en-US"/>
        </w:rPr>
      </w:pPr>
      <w:r>
        <w:rPr>
          <w:color w:val="000000" w:themeColor="text1"/>
          <w:lang w:val="en-US" w:bidi="ar-SA"/>
        </w:rPr>
        <w:drawing>
          <wp:inline distT="0" distB="0" distL="0" distR="0">
            <wp:extent cx="1781175" cy="4095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781175" cy="409575"/>
                    </a:xfrm>
                    <a:prstGeom prst="rect">
                      <a:avLst/>
                    </a:prstGeom>
                    <a:noFill/>
                    <a:ln>
                      <a:noFill/>
                    </a:ln>
                  </pic:spPr>
                </pic:pic>
              </a:graphicData>
            </a:graphic>
          </wp:inline>
        </w:drawing>
      </w:r>
    </w:p>
    <w:p>
      <w:pPr>
        <w:ind w:firstLine="1200" w:firstLineChars="500"/>
        <w:rPr>
          <w:color w:val="000000" w:themeColor="text1"/>
        </w:rPr>
      </w:pPr>
      <w:r>
        <w:rPr>
          <w:color w:val="000000" w:themeColor="text1"/>
          <w:lang w:val="en-US" w:bidi="ar-SA"/>
        </w:rPr>
        <w:drawing>
          <wp:inline distT="0" distB="0" distL="0" distR="0">
            <wp:extent cx="1704975" cy="4762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704975" cy="476250"/>
                    </a:xfrm>
                    <a:prstGeom prst="rect">
                      <a:avLst/>
                    </a:prstGeom>
                    <a:noFill/>
                    <a:ln>
                      <a:noFill/>
                    </a:ln>
                  </pic:spPr>
                </pic:pic>
              </a:graphicData>
            </a:graphic>
          </wp:inline>
        </w:drawing>
      </w:r>
    </w:p>
    <w:p>
      <w:pPr>
        <w:adjustRightInd w:val="0"/>
        <w:snapToGrid w:val="0"/>
        <w:ind w:firstLine="480"/>
        <w:rPr>
          <w:rFonts w:ascii="宋体"/>
          <w:color w:val="000000" w:themeColor="text1"/>
          <w:szCs w:val="28"/>
        </w:rPr>
      </w:pPr>
      <w:r>
        <w:rPr>
          <w:rFonts w:hint="eastAsia" w:ascii="宋体"/>
          <w:color w:val="000000" w:themeColor="text1"/>
          <w:szCs w:val="28"/>
        </w:rPr>
        <w:t>当</w:t>
      </w:r>
      <w:r>
        <w:rPr>
          <w:rFonts w:hint="eastAsia" w:ascii="仿宋" w:hAnsi="仿宋" w:eastAsia="仿宋"/>
          <w:color w:val="000000" w:themeColor="text1"/>
          <w:szCs w:val="28"/>
        </w:rPr>
        <w:t>0.027＜α≤380</w:t>
      </w:r>
      <w:r>
        <w:rPr>
          <w:rFonts w:hint="eastAsia" w:ascii="宋体"/>
          <w:color w:val="000000" w:themeColor="text1"/>
          <w:szCs w:val="28"/>
        </w:rPr>
        <w:t xml:space="preserve"> 时，适用对流扩散降解模型：</w:t>
      </w:r>
    </w:p>
    <w:p>
      <w:pPr>
        <w:ind w:firstLine="960" w:firstLineChars="400"/>
        <w:rPr>
          <w:color w:val="000000" w:themeColor="text1"/>
        </w:rPr>
      </w:pPr>
      <w:r>
        <w:rPr>
          <w:color w:val="000000" w:themeColor="text1"/>
          <w:lang w:val="en-US" w:bidi="ar-SA"/>
        </w:rPr>
        <w:drawing>
          <wp:inline distT="0" distB="0" distL="0" distR="0">
            <wp:extent cx="2676525" cy="16668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676525" cy="1666875"/>
                    </a:xfrm>
                    <a:prstGeom prst="rect">
                      <a:avLst/>
                    </a:prstGeom>
                    <a:noFill/>
                    <a:ln>
                      <a:noFill/>
                    </a:ln>
                  </pic:spPr>
                </pic:pic>
              </a:graphicData>
            </a:graphic>
          </wp:inline>
        </w:drawing>
      </w:r>
    </w:p>
    <w:p>
      <w:pPr>
        <w:ind w:firstLine="480"/>
        <w:rPr>
          <w:color w:val="000000" w:themeColor="text1"/>
        </w:rPr>
      </w:pPr>
      <w:r>
        <w:rPr>
          <w:rFonts w:hint="eastAsia"/>
          <w:color w:val="000000" w:themeColor="text1"/>
        </w:rPr>
        <w:t>当</w:t>
      </w:r>
      <w:r>
        <w:rPr>
          <w:rFonts w:hint="eastAsia" w:ascii="仿宋" w:hAnsi="仿宋" w:eastAsia="仿宋"/>
          <w:color w:val="000000" w:themeColor="text1"/>
        </w:rPr>
        <w:t xml:space="preserve">α＞380 </w:t>
      </w:r>
      <w:r>
        <w:rPr>
          <w:rFonts w:hint="eastAsia"/>
          <w:color w:val="000000" w:themeColor="text1"/>
        </w:rPr>
        <w:t>时，适用扩散降解模型：</w:t>
      </w:r>
    </w:p>
    <w:p>
      <w:pPr>
        <w:adjustRightInd w:val="0"/>
        <w:snapToGrid w:val="0"/>
        <w:ind w:firstLine="960" w:firstLineChars="400"/>
        <w:rPr>
          <w:rFonts w:ascii="宋体"/>
          <w:color w:val="000000" w:themeColor="text1"/>
          <w:szCs w:val="28"/>
        </w:rPr>
      </w:pPr>
      <w:r>
        <w:rPr>
          <w:rFonts w:ascii="宋体"/>
          <w:color w:val="000000" w:themeColor="text1"/>
          <w:szCs w:val="28"/>
          <w:lang w:val="en-US" w:bidi="ar-SA"/>
        </w:rPr>
        <w:drawing>
          <wp:inline distT="0" distB="0" distL="0" distR="0">
            <wp:extent cx="1914525" cy="17049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914525" cy="1704975"/>
                    </a:xfrm>
                    <a:prstGeom prst="rect">
                      <a:avLst/>
                    </a:prstGeom>
                    <a:noFill/>
                    <a:ln>
                      <a:noFill/>
                    </a:ln>
                  </pic:spPr>
                </pic:pic>
              </a:graphicData>
            </a:graphic>
          </wp:inline>
        </w:drawing>
      </w:r>
    </w:p>
    <w:p>
      <w:pPr>
        <w:ind w:firstLine="480"/>
        <w:rPr>
          <w:color w:val="000000" w:themeColor="text1"/>
        </w:rPr>
      </w:pPr>
      <w:r>
        <w:rPr>
          <w:rFonts w:hint="eastAsia"/>
          <w:color w:val="000000" w:themeColor="text1"/>
        </w:rPr>
        <w:t>根据计算，</w:t>
      </w:r>
      <w:r>
        <w:rPr>
          <w:rFonts w:eastAsia="黑体"/>
          <w:color w:val="000000" w:themeColor="text1"/>
        </w:rPr>
        <w:t>α</w:t>
      </w:r>
      <w:r>
        <w:rPr>
          <w:rFonts w:hint="eastAsia" w:ascii="仿宋" w:hAnsi="仿宋" w:eastAsia="仿宋"/>
          <w:color w:val="000000" w:themeColor="text1"/>
        </w:rPr>
        <w:t>和</w:t>
      </w:r>
      <w:r>
        <w:rPr>
          <w:rFonts w:eastAsia="仿宋"/>
          <w:color w:val="000000" w:themeColor="text1"/>
        </w:rPr>
        <w:t>Pe</w:t>
      </w:r>
      <w:r>
        <w:rPr>
          <w:rFonts w:hint="eastAsia"/>
          <w:color w:val="000000" w:themeColor="text1"/>
        </w:rPr>
        <w:t>的计算结果见表</w:t>
      </w:r>
      <w:r>
        <w:rPr>
          <w:color w:val="000000" w:themeColor="text1"/>
        </w:rPr>
        <w:t>6</w:t>
      </w:r>
      <w:r>
        <w:rPr>
          <w:rFonts w:hint="eastAsia"/>
          <w:color w:val="000000" w:themeColor="text1"/>
        </w:rPr>
        <w:t>.4</w:t>
      </w:r>
      <w:r>
        <w:rPr>
          <w:color w:val="000000" w:themeColor="text1"/>
        </w:rPr>
        <w:t>-5</w:t>
      </w:r>
      <w:r>
        <w:rPr>
          <w:rFonts w:hint="eastAsia"/>
          <w:color w:val="000000" w:themeColor="text1"/>
        </w:rPr>
        <w:t>。</w:t>
      </w:r>
    </w:p>
    <w:p>
      <w:pPr>
        <w:adjustRightInd w:val="0"/>
        <w:ind w:firstLine="422"/>
        <w:jc w:val="center"/>
        <w:rPr>
          <w:b/>
          <w:sz w:val="21"/>
        </w:rPr>
      </w:pPr>
      <w:r>
        <w:rPr>
          <w:b/>
          <w:sz w:val="21"/>
        </w:rPr>
        <w:t>表6</w:t>
      </w:r>
      <w:r>
        <w:rPr>
          <w:rFonts w:hint="eastAsia"/>
          <w:b/>
          <w:sz w:val="21"/>
        </w:rPr>
        <w:t>.4</w:t>
      </w:r>
      <w:r>
        <w:rPr>
          <w:b/>
          <w:sz w:val="21"/>
        </w:rPr>
        <w:t xml:space="preserve">-5 </w:t>
      </w:r>
      <w:r>
        <w:rPr>
          <w:rFonts w:hint="eastAsia"/>
          <w:b/>
          <w:sz w:val="21"/>
        </w:rPr>
        <w:t xml:space="preserve"> </w:t>
      </w:r>
      <w:r>
        <w:rPr>
          <w:b/>
          <w:sz w:val="21"/>
        </w:rPr>
        <w:t xml:space="preserve"> </w:t>
      </w:r>
      <w:r>
        <w:rPr>
          <w:rFonts w:hint="eastAsia"/>
          <w:b/>
          <w:sz w:val="21"/>
        </w:rPr>
        <w:t>地表水预测水文参数统计</w:t>
      </w:r>
      <w:r>
        <w:rPr>
          <w:b/>
          <w:sz w:val="21"/>
        </w:rPr>
        <w:t>表</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30"/>
        <w:gridCol w:w="3040"/>
        <w:gridCol w:w="29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3030" w:type="dxa"/>
            <w:vAlign w:val="center"/>
          </w:tcPr>
          <w:p>
            <w:pPr>
              <w:ind w:firstLine="480"/>
              <w:jc w:val="center"/>
              <w:rPr>
                <w:color w:val="000000" w:themeColor="text1"/>
                <w:szCs w:val="20"/>
              </w:rPr>
            </w:pPr>
            <w:r>
              <w:rPr>
                <w:rFonts w:hint="eastAsia"/>
                <w:color w:val="000000" w:themeColor="text1"/>
                <w:szCs w:val="20"/>
              </w:rPr>
              <w:t>计算结果污染物</w:t>
            </w:r>
          </w:p>
        </w:tc>
        <w:tc>
          <w:tcPr>
            <w:tcW w:w="3040" w:type="dxa"/>
            <w:vAlign w:val="center"/>
          </w:tcPr>
          <w:p>
            <w:pPr>
              <w:ind w:firstLine="480"/>
              <w:jc w:val="center"/>
              <w:rPr>
                <w:color w:val="000000" w:themeColor="text1"/>
                <w:szCs w:val="20"/>
              </w:rPr>
            </w:pPr>
            <w:r>
              <w:rPr>
                <w:rFonts w:hint="eastAsia"/>
                <w:color w:val="000000" w:themeColor="text1"/>
                <w:szCs w:val="20"/>
              </w:rPr>
              <w:t>COD</w:t>
            </w:r>
          </w:p>
        </w:tc>
        <w:tc>
          <w:tcPr>
            <w:tcW w:w="2967" w:type="dxa"/>
            <w:vAlign w:val="center"/>
          </w:tcPr>
          <w:p>
            <w:pPr>
              <w:ind w:firstLine="480"/>
              <w:jc w:val="center"/>
              <w:rPr>
                <w:color w:val="000000" w:themeColor="text1"/>
                <w:szCs w:val="20"/>
              </w:rPr>
            </w:pPr>
            <w:r>
              <w:rPr>
                <w:color w:val="000000" w:themeColor="text1"/>
                <w:szCs w:val="20"/>
              </w:rPr>
              <w:t>NH</w:t>
            </w:r>
            <w:r>
              <w:rPr>
                <w:color w:val="000000" w:themeColor="text1"/>
                <w:szCs w:val="20"/>
                <w:vertAlign w:val="subscript"/>
              </w:rPr>
              <w:t>3</w:t>
            </w:r>
            <w:r>
              <w:rPr>
                <w:color w:val="000000" w:themeColor="text1"/>
                <w:szCs w:val="20"/>
              </w:rPr>
              <w:t>-N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3030" w:type="dxa"/>
            <w:vAlign w:val="center"/>
          </w:tcPr>
          <w:p>
            <w:pPr>
              <w:ind w:firstLine="480"/>
              <w:jc w:val="center"/>
              <w:rPr>
                <w:color w:val="000000" w:themeColor="text1"/>
                <w:szCs w:val="20"/>
              </w:rPr>
            </w:pPr>
            <w:r>
              <w:rPr>
                <w:rFonts w:eastAsia="黑体"/>
                <w:color w:val="000000" w:themeColor="text1"/>
              </w:rPr>
              <w:t>α</w:t>
            </w:r>
          </w:p>
        </w:tc>
        <w:tc>
          <w:tcPr>
            <w:tcW w:w="3040" w:type="dxa"/>
            <w:vAlign w:val="center"/>
          </w:tcPr>
          <w:p>
            <w:pPr>
              <w:ind w:firstLine="480"/>
              <w:jc w:val="center"/>
              <w:rPr>
                <w:color w:val="000000" w:themeColor="text1"/>
                <w:szCs w:val="20"/>
              </w:rPr>
            </w:pPr>
            <w:r>
              <w:rPr>
                <w:rFonts w:hint="eastAsia"/>
                <w:color w:val="000000" w:themeColor="text1"/>
                <w:szCs w:val="20"/>
              </w:rPr>
              <w:t>0.0000125</w:t>
            </w:r>
          </w:p>
        </w:tc>
        <w:tc>
          <w:tcPr>
            <w:tcW w:w="2967" w:type="dxa"/>
            <w:vAlign w:val="center"/>
          </w:tcPr>
          <w:p>
            <w:pPr>
              <w:ind w:firstLine="480"/>
              <w:jc w:val="center"/>
              <w:rPr>
                <w:color w:val="000000" w:themeColor="text1"/>
                <w:szCs w:val="20"/>
              </w:rPr>
            </w:pPr>
            <w:r>
              <w:rPr>
                <w:rFonts w:hint="eastAsia"/>
                <w:color w:val="000000" w:themeColor="text1"/>
                <w:szCs w:val="20"/>
              </w:rPr>
              <w:t>0.00000978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3030" w:type="dxa"/>
            <w:vAlign w:val="center"/>
          </w:tcPr>
          <w:p>
            <w:pPr>
              <w:ind w:firstLine="480"/>
              <w:jc w:val="center"/>
              <w:rPr>
                <w:color w:val="000000" w:themeColor="text1"/>
                <w:szCs w:val="20"/>
              </w:rPr>
            </w:pPr>
            <w:r>
              <w:rPr>
                <w:rFonts w:eastAsia="仿宋"/>
                <w:color w:val="000000" w:themeColor="text1"/>
              </w:rPr>
              <w:t>Pe</w:t>
            </w:r>
          </w:p>
        </w:tc>
        <w:tc>
          <w:tcPr>
            <w:tcW w:w="6007" w:type="dxa"/>
            <w:gridSpan w:val="2"/>
            <w:vAlign w:val="center"/>
          </w:tcPr>
          <w:p>
            <w:pPr>
              <w:ind w:firstLine="480"/>
              <w:jc w:val="center"/>
              <w:rPr>
                <w:color w:val="000000" w:themeColor="text1"/>
                <w:szCs w:val="20"/>
              </w:rPr>
            </w:pPr>
            <w:r>
              <w:rPr>
                <w:rFonts w:hint="eastAsia"/>
                <w:color w:val="000000" w:themeColor="text1"/>
                <w:szCs w:val="20"/>
              </w:rPr>
              <w:t>1.4199</w:t>
            </w:r>
          </w:p>
        </w:tc>
      </w:tr>
    </w:tbl>
    <w:p>
      <w:pPr>
        <w:adjustRightInd w:val="0"/>
        <w:snapToGrid w:val="0"/>
        <w:ind w:firstLine="480"/>
        <w:rPr>
          <w:rFonts w:ascii="宋体" w:hAnsi="宋体"/>
          <w:color w:val="000000" w:themeColor="text1"/>
          <w:szCs w:val="28"/>
        </w:rPr>
      </w:pPr>
      <w:r>
        <w:rPr>
          <w:rFonts w:hint="eastAsia" w:ascii="宋体" w:hAnsi="宋体"/>
          <w:color w:val="000000" w:themeColor="text1"/>
          <w:szCs w:val="28"/>
        </w:rPr>
        <w:t>由计算结果可知</w:t>
      </w:r>
      <w:r>
        <w:rPr>
          <w:rFonts w:hint="eastAsia" w:eastAsia="仿宋"/>
          <w:color w:val="000000" w:themeColor="text1"/>
        </w:rPr>
        <w:t>α≤0.027、Pe≥1</w:t>
      </w:r>
      <w:r>
        <w:rPr>
          <w:rFonts w:hint="eastAsia" w:ascii="宋体" w:hAnsi="宋体"/>
          <w:color w:val="000000" w:themeColor="text1"/>
          <w:szCs w:val="28"/>
        </w:rPr>
        <w:t>，因此适用对流降解模型。</w:t>
      </w:r>
    </w:p>
    <w:p>
      <w:pPr>
        <w:ind w:firstLine="480"/>
        <w:rPr>
          <w:color w:val="000000" w:themeColor="text1"/>
        </w:rPr>
      </w:pPr>
      <w:r>
        <w:rPr>
          <w:color w:val="000000" w:themeColor="text1"/>
        </w:rPr>
        <w:t>（7）混合过程段的计算</w:t>
      </w:r>
    </w:p>
    <w:p>
      <w:pPr>
        <w:ind w:firstLine="720" w:firstLineChars="300"/>
        <w:rPr>
          <w:color w:val="000000" w:themeColor="text1"/>
        </w:rPr>
      </w:pPr>
      <w:r>
        <w:rPr>
          <w:color w:val="000000" w:themeColor="text1"/>
          <w:lang w:val="en-US" w:bidi="ar-SA"/>
        </w:rPr>
        <w:drawing>
          <wp:inline distT="0" distB="0" distL="0" distR="0">
            <wp:extent cx="3590925" cy="4476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590925" cy="447675"/>
                    </a:xfrm>
                    <a:prstGeom prst="rect">
                      <a:avLst/>
                    </a:prstGeom>
                    <a:noFill/>
                    <a:ln>
                      <a:noFill/>
                    </a:ln>
                  </pic:spPr>
                </pic:pic>
              </a:graphicData>
            </a:graphic>
          </wp:inline>
        </w:drawing>
      </w:r>
    </w:p>
    <w:p>
      <w:pPr>
        <w:ind w:firstLine="480"/>
        <w:rPr>
          <w:color w:val="000000" w:themeColor="text1"/>
        </w:rPr>
      </w:pPr>
      <w:r>
        <w:rPr>
          <w:color w:val="000000" w:themeColor="text1"/>
        </w:rPr>
        <w:t>式中：Lm——混合段长度，m；</w:t>
      </w:r>
    </w:p>
    <w:p>
      <w:pPr>
        <w:ind w:firstLine="480"/>
        <w:rPr>
          <w:color w:val="000000" w:themeColor="text1"/>
        </w:rPr>
      </w:pPr>
      <w:r>
        <w:rPr>
          <w:color w:val="000000" w:themeColor="text1"/>
        </w:rPr>
        <w:t>B——水面宽度，m；</w:t>
      </w:r>
    </w:p>
    <w:p>
      <w:pPr>
        <w:ind w:firstLine="480"/>
        <w:rPr>
          <w:color w:val="000000" w:themeColor="text1"/>
        </w:rPr>
      </w:pPr>
      <w:r>
        <w:rPr>
          <w:color w:val="000000" w:themeColor="text1"/>
        </w:rPr>
        <w:t>a——排放口到岸边的距离，m；</w:t>
      </w:r>
    </w:p>
    <w:p>
      <w:pPr>
        <w:ind w:firstLine="480"/>
        <w:rPr>
          <w:color w:val="000000" w:themeColor="text1"/>
        </w:rPr>
      </w:pPr>
      <w:r>
        <w:rPr>
          <w:color w:val="000000" w:themeColor="text1"/>
        </w:rPr>
        <w:t>u——断面流速，m/s；</w:t>
      </w:r>
    </w:p>
    <w:p>
      <w:pPr>
        <w:ind w:firstLine="480"/>
        <w:rPr>
          <w:color w:val="000000" w:themeColor="text1"/>
        </w:rPr>
      </w:pPr>
      <w:r>
        <w:rPr>
          <w:color w:val="000000" w:themeColor="text1"/>
        </w:rPr>
        <w:t>Ey——污染物横向扩散系数，m</w:t>
      </w:r>
      <w:r>
        <w:rPr>
          <w:color w:val="000000" w:themeColor="text1"/>
          <w:vertAlign w:val="superscript"/>
        </w:rPr>
        <w:t>2</w:t>
      </w:r>
      <w:r>
        <w:rPr>
          <w:color w:val="000000" w:themeColor="text1"/>
        </w:rPr>
        <w:t xml:space="preserve">/s。    </w:t>
      </w:r>
    </w:p>
    <w:p>
      <w:pPr>
        <w:adjustRightInd w:val="0"/>
        <w:snapToGrid w:val="0"/>
        <w:ind w:firstLine="480"/>
        <w:rPr>
          <w:color w:val="000000" w:themeColor="text1"/>
          <w:szCs w:val="28"/>
        </w:rPr>
      </w:pPr>
      <w:r>
        <w:rPr>
          <w:color w:val="000000" w:themeColor="text1"/>
          <w:szCs w:val="28"/>
        </w:rPr>
        <w:t>计算可得，混合过程段长度Lm=</w:t>
      </w:r>
      <w:r>
        <w:rPr>
          <w:rFonts w:hint="eastAsia"/>
          <w:color w:val="000000" w:themeColor="text1"/>
          <w:szCs w:val="28"/>
        </w:rPr>
        <w:t>446.5</w:t>
      </w:r>
      <w:r>
        <w:rPr>
          <w:color w:val="000000" w:themeColor="text1"/>
          <w:szCs w:val="28"/>
        </w:rPr>
        <w:t>m。</w:t>
      </w:r>
    </w:p>
    <w:p>
      <w:pPr>
        <w:adjustRightInd w:val="0"/>
        <w:ind w:firstLine="480"/>
        <w:textAlignment w:val="baseline"/>
        <w:rPr>
          <w:color w:val="000000" w:themeColor="text1"/>
          <w:szCs w:val="20"/>
        </w:rPr>
      </w:pPr>
      <w:bookmarkStart w:id="37" w:name="_Toc369167131"/>
      <w:bookmarkStart w:id="38" w:name="_Toc389667121"/>
      <w:bookmarkStart w:id="39" w:name="_Toc389668122"/>
      <w:bookmarkStart w:id="40" w:name="_Toc341867171"/>
      <w:r>
        <w:rPr>
          <w:rFonts w:hint="eastAsia"/>
          <w:color w:val="000000" w:themeColor="text1"/>
          <w:szCs w:val="20"/>
        </w:rPr>
        <w:t>（8）</w:t>
      </w:r>
      <w:bookmarkEnd w:id="37"/>
      <w:bookmarkEnd w:id="38"/>
      <w:bookmarkEnd w:id="39"/>
      <w:bookmarkEnd w:id="40"/>
      <w:r>
        <w:rPr>
          <w:color w:val="000000" w:themeColor="text1"/>
          <w:szCs w:val="20"/>
        </w:rPr>
        <w:t>预测结果及评价</w:t>
      </w:r>
    </w:p>
    <w:p>
      <w:pPr>
        <w:ind w:right="79" w:rightChars="33" w:firstLine="480"/>
        <w:rPr>
          <w:rFonts w:ascii="宋体" w:hAnsi="宋体"/>
          <w:color w:val="000000" w:themeColor="text1"/>
        </w:rPr>
      </w:pPr>
      <w:r>
        <w:rPr>
          <w:rFonts w:hint="eastAsia" w:ascii="宋体" w:hAnsi="宋体"/>
          <w:color w:val="000000" w:themeColor="text1"/>
        </w:rPr>
        <w:t>①尾水正常排放预测结果</w:t>
      </w:r>
    </w:p>
    <w:p>
      <w:pPr>
        <w:ind w:right="79" w:rightChars="33" w:firstLine="480"/>
        <w:rPr>
          <w:color w:val="000000" w:themeColor="text1"/>
        </w:rPr>
      </w:pPr>
      <w:r>
        <w:rPr>
          <w:rFonts w:hint="eastAsia" w:ascii="宋体" w:hAnsi="宋体"/>
          <w:color w:val="000000" w:themeColor="text1"/>
        </w:rPr>
        <w:t>本次项目实施后，尾水正常排放情况下，污水进入盖家川</w:t>
      </w:r>
      <w:r>
        <w:rPr>
          <w:color w:val="000000" w:themeColor="text1"/>
        </w:rPr>
        <w:t>均匀混合后的COD浓度为</w:t>
      </w:r>
      <w:r>
        <w:rPr>
          <w:rFonts w:hint="eastAsia"/>
          <w:color w:val="000000" w:themeColor="text1"/>
        </w:rPr>
        <w:t>19.9307</w:t>
      </w:r>
      <w:r>
        <w:rPr>
          <w:color w:val="000000" w:themeColor="text1"/>
        </w:rPr>
        <w:t>mg/L，NH</w:t>
      </w:r>
      <w:r>
        <w:rPr>
          <w:color w:val="000000" w:themeColor="text1"/>
          <w:vertAlign w:val="subscript"/>
        </w:rPr>
        <w:t>3</w:t>
      </w:r>
      <w:r>
        <w:rPr>
          <w:color w:val="000000" w:themeColor="text1"/>
        </w:rPr>
        <w:t>-N 浓度为</w:t>
      </w:r>
      <w:r>
        <w:rPr>
          <w:rFonts w:hint="eastAsia"/>
          <w:color w:val="000000" w:themeColor="text1"/>
        </w:rPr>
        <w:t>0.9965</w:t>
      </w:r>
      <w:r>
        <w:rPr>
          <w:color w:val="000000" w:themeColor="text1"/>
        </w:rPr>
        <w:t>mg/L。污水预测源强见表6</w:t>
      </w:r>
      <w:r>
        <w:rPr>
          <w:rFonts w:hint="eastAsia"/>
          <w:color w:val="000000" w:themeColor="text1"/>
        </w:rPr>
        <w:t>.4</w:t>
      </w:r>
      <w:r>
        <w:rPr>
          <w:color w:val="000000" w:themeColor="text1"/>
        </w:rPr>
        <w:t>-6</w:t>
      </w:r>
      <w:r>
        <w:rPr>
          <w:color w:val="000000" w:themeColor="text1"/>
          <w:szCs w:val="21"/>
        </w:rPr>
        <w:t>。</w:t>
      </w:r>
    </w:p>
    <w:p>
      <w:pPr>
        <w:adjustRightInd w:val="0"/>
        <w:ind w:firstLine="422"/>
        <w:jc w:val="center"/>
        <w:rPr>
          <w:b/>
          <w:sz w:val="21"/>
        </w:rPr>
      </w:pPr>
      <w:r>
        <w:rPr>
          <w:b/>
          <w:sz w:val="21"/>
        </w:rPr>
        <w:t>表6</w:t>
      </w:r>
      <w:r>
        <w:rPr>
          <w:rFonts w:hint="eastAsia"/>
          <w:b/>
          <w:sz w:val="21"/>
        </w:rPr>
        <w:t>.4</w:t>
      </w:r>
      <w:r>
        <w:rPr>
          <w:b/>
          <w:sz w:val="21"/>
        </w:rPr>
        <w:t>-6       污水污染源强</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01"/>
        <w:gridCol w:w="1100"/>
        <w:gridCol w:w="1712"/>
        <w:gridCol w:w="35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01" w:type="dxa"/>
            <w:vMerge w:val="restart"/>
            <w:vAlign w:val="center"/>
          </w:tcPr>
          <w:p>
            <w:pPr>
              <w:ind w:firstLine="480"/>
              <w:jc w:val="center"/>
              <w:rPr>
                <w:color w:val="000000" w:themeColor="text1"/>
                <w:szCs w:val="20"/>
              </w:rPr>
            </w:pPr>
            <w:r>
              <w:rPr>
                <w:color w:val="000000" w:themeColor="text1"/>
                <w:szCs w:val="20"/>
              </w:rPr>
              <w:t>项 目</w:t>
            </w:r>
          </w:p>
        </w:tc>
        <w:tc>
          <w:tcPr>
            <w:tcW w:w="2812" w:type="dxa"/>
            <w:gridSpan w:val="2"/>
            <w:vAlign w:val="center"/>
          </w:tcPr>
          <w:p>
            <w:pPr>
              <w:ind w:firstLine="480"/>
              <w:jc w:val="center"/>
              <w:rPr>
                <w:color w:val="000000" w:themeColor="text1"/>
                <w:szCs w:val="20"/>
              </w:rPr>
            </w:pPr>
            <w:r>
              <w:rPr>
                <w:color w:val="000000" w:themeColor="text1"/>
                <w:szCs w:val="20"/>
              </w:rPr>
              <w:t>污水污染物浓度(mg/L)</w:t>
            </w:r>
          </w:p>
        </w:tc>
        <w:tc>
          <w:tcPr>
            <w:tcW w:w="3546" w:type="dxa"/>
            <w:vAlign w:val="center"/>
          </w:tcPr>
          <w:p>
            <w:pPr>
              <w:ind w:firstLine="480"/>
              <w:jc w:val="center"/>
              <w:rPr>
                <w:color w:val="000000" w:themeColor="text1"/>
                <w:szCs w:val="20"/>
              </w:rPr>
            </w:pPr>
            <w:r>
              <w:rPr>
                <w:color w:val="000000" w:themeColor="text1"/>
                <w:szCs w:val="20"/>
              </w:rPr>
              <w:t>排放量（</w:t>
            </w:r>
            <w:r>
              <w:rPr>
                <w:rFonts w:hint="eastAsia"/>
                <w:color w:val="000000" w:themeColor="text1"/>
                <w:szCs w:val="20"/>
              </w:rPr>
              <w:t>m</w:t>
            </w:r>
            <w:r>
              <w:rPr>
                <w:rFonts w:hint="eastAsia"/>
                <w:color w:val="000000" w:themeColor="text1"/>
                <w:szCs w:val="20"/>
                <w:vertAlign w:val="superscript"/>
              </w:rPr>
              <w:t>3</w:t>
            </w:r>
            <w:r>
              <w:rPr>
                <w:rFonts w:hint="eastAsia"/>
                <w:color w:val="000000" w:themeColor="text1"/>
                <w:szCs w:val="20"/>
              </w:rPr>
              <w:t>/s</w:t>
            </w:r>
            <w:r>
              <w:rPr>
                <w:color w:val="000000" w:themeColor="text1"/>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01" w:type="dxa"/>
            <w:vMerge w:val="continue"/>
            <w:vAlign w:val="center"/>
          </w:tcPr>
          <w:p>
            <w:pPr>
              <w:ind w:firstLine="480"/>
              <w:jc w:val="center"/>
              <w:rPr>
                <w:color w:val="000000" w:themeColor="text1"/>
                <w:szCs w:val="20"/>
              </w:rPr>
            </w:pPr>
          </w:p>
        </w:tc>
        <w:tc>
          <w:tcPr>
            <w:tcW w:w="1100" w:type="dxa"/>
            <w:vAlign w:val="center"/>
          </w:tcPr>
          <w:p>
            <w:pPr>
              <w:ind w:firstLine="0" w:firstLineChars="0"/>
              <w:rPr>
                <w:color w:val="000000" w:themeColor="text1"/>
                <w:szCs w:val="20"/>
              </w:rPr>
            </w:pPr>
            <w:r>
              <w:rPr>
                <w:color w:val="000000" w:themeColor="text1"/>
                <w:szCs w:val="20"/>
              </w:rPr>
              <w:t>COD</w:t>
            </w:r>
            <w:r>
              <w:rPr>
                <w:color w:val="000000" w:themeColor="text1"/>
                <w:szCs w:val="20"/>
                <w:vertAlign w:val="subscript"/>
              </w:rPr>
              <w:t>cr</w:t>
            </w:r>
          </w:p>
        </w:tc>
        <w:tc>
          <w:tcPr>
            <w:tcW w:w="1712" w:type="dxa"/>
            <w:vAlign w:val="center"/>
          </w:tcPr>
          <w:p>
            <w:pPr>
              <w:ind w:firstLine="480"/>
              <w:rPr>
                <w:color w:val="000000" w:themeColor="text1"/>
                <w:szCs w:val="20"/>
              </w:rPr>
            </w:pPr>
            <w:r>
              <w:rPr>
                <w:color w:val="000000" w:themeColor="text1"/>
                <w:szCs w:val="20"/>
              </w:rPr>
              <w:t>氨氮</w:t>
            </w:r>
          </w:p>
        </w:tc>
        <w:tc>
          <w:tcPr>
            <w:tcW w:w="3546" w:type="dxa"/>
            <w:vMerge w:val="restart"/>
            <w:vAlign w:val="center"/>
          </w:tcPr>
          <w:p>
            <w:pPr>
              <w:spacing w:line="240" w:lineRule="auto"/>
              <w:ind w:firstLine="480"/>
              <w:jc w:val="center"/>
              <w:rPr>
                <w:color w:val="000000" w:themeColor="text1"/>
                <w:szCs w:val="20"/>
              </w:rPr>
            </w:pPr>
            <w:r>
              <w:rPr>
                <w:rFonts w:hint="eastAsia"/>
                <w:color w:val="000000" w:themeColor="text1"/>
                <w:szCs w:val="20"/>
              </w:rPr>
              <w:t>0.002315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601" w:type="dxa"/>
            <w:vAlign w:val="center"/>
          </w:tcPr>
          <w:p>
            <w:pPr>
              <w:ind w:firstLine="480"/>
              <w:jc w:val="center"/>
              <w:rPr>
                <w:color w:val="000000" w:themeColor="text1"/>
                <w:szCs w:val="20"/>
              </w:rPr>
            </w:pPr>
            <w:r>
              <w:rPr>
                <w:color w:val="000000" w:themeColor="text1"/>
                <w:szCs w:val="20"/>
              </w:rPr>
              <w:t>污水正常</w:t>
            </w:r>
            <w:r>
              <w:rPr>
                <w:rFonts w:hint="eastAsia"/>
                <w:color w:val="000000" w:themeColor="text1"/>
                <w:szCs w:val="20"/>
              </w:rPr>
              <w:t>排放</w:t>
            </w:r>
          </w:p>
        </w:tc>
        <w:tc>
          <w:tcPr>
            <w:tcW w:w="1100" w:type="dxa"/>
            <w:vAlign w:val="center"/>
          </w:tcPr>
          <w:p>
            <w:pPr>
              <w:ind w:firstLine="0" w:firstLineChars="0"/>
              <w:rPr>
                <w:color w:val="000000" w:themeColor="text1"/>
                <w:szCs w:val="20"/>
              </w:rPr>
            </w:pPr>
            <w:r>
              <w:rPr>
                <w:rFonts w:hint="eastAsia"/>
                <w:color w:val="000000" w:themeColor="text1"/>
                <w:szCs w:val="20"/>
              </w:rPr>
              <w:t>19.9307</w:t>
            </w:r>
          </w:p>
        </w:tc>
        <w:tc>
          <w:tcPr>
            <w:tcW w:w="1712" w:type="dxa"/>
            <w:vAlign w:val="center"/>
          </w:tcPr>
          <w:p>
            <w:pPr>
              <w:ind w:firstLine="480"/>
              <w:rPr>
                <w:color w:val="000000" w:themeColor="text1"/>
                <w:szCs w:val="20"/>
              </w:rPr>
            </w:pPr>
            <w:r>
              <w:rPr>
                <w:rFonts w:hint="eastAsia"/>
                <w:color w:val="000000" w:themeColor="text1"/>
                <w:szCs w:val="20"/>
              </w:rPr>
              <w:t>0.9965</w:t>
            </w:r>
          </w:p>
        </w:tc>
        <w:tc>
          <w:tcPr>
            <w:tcW w:w="3546" w:type="dxa"/>
            <w:vMerge w:val="continue"/>
            <w:vAlign w:val="center"/>
          </w:tcPr>
          <w:p>
            <w:pPr>
              <w:ind w:firstLine="480"/>
              <w:jc w:val="center"/>
              <w:rPr>
                <w:color w:val="FF0000"/>
                <w:szCs w:val="20"/>
              </w:rPr>
            </w:pPr>
          </w:p>
        </w:tc>
      </w:tr>
    </w:tbl>
    <w:p>
      <w:pPr>
        <w:adjustRightInd w:val="0"/>
        <w:ind w:firstLine="480"/>
        <w:textAlignment w:val="baseline"/>
        <w:rPr>
          <w:color w:val="000000" w:themeColor="text1"/>
          <w:szCs w:val="20"/>
        </w:rPr>
      </w:pPr>
      <w:r>
        <w:rPr>
          <w:rFonts w:hint="eastAsia"/>
          <w:color w:val="000000" w:themeColor="text1"/>
          <w:szCs w:val="20"/>
        </w:rPr>
        <w:t>根据河流纵向一维水质模型中对流降解模型公式计算，盖家川枯水期时段评价段评</w:t>
      </w:r>
    </w:p>
    <w:p>
      <w:pPr>
        <w:adjustRightInd w:val="0"/>
        <w:ind w:firstLine="199" w:firstLineChars="83"/>
        <w:textAlignment w:val="baseline"/>
        <w:rPr>
          <w:color w:val="000000" w:themeColor="text1"/>
          <w:szCs w:val="20"/>
        </w:rPr>
      </w:pPr>
      <w:r>
        <w:rPr>
          <w:rFonts w:hint="eastAsia"/>
          <w:color w:val="000000" w:themeColor="text1"/>
          <w:szCs w:val="20"/>
        </w:rPr>
        <w:t>价因子预测浓度值见表</w:t>
      </w:r>
      <w:r>
        <w:rPr>
          <w:color w:val="000000" w:themeColor="text1"/>
          <w:szCs w:val="20"/>
        </w:rPr>
        <w:t>6</w:t>
      </w:r>
      <w:r>
        <w:rPr>
          <w:rFonts w:hint="eastAsia"/>
          <w:color w:val="000000" w:themeColor="text1"/>
          <w:szCs w:val="20"/>
        </w:rPr>
        <w:t>.4</w:t>
      </w:r>
      <w:r>
        <w:rPr>
          <w:color w:val="000000" w:themeColor="text1"/>
          <w:szCs w:val="20"/>
        </w:rPr>
        <w:t>-7</w:t>
      </w:r>
      <w:r>
        <w:rPr>
          <w:rFonts w:hint="eastAsia"/>
          <w:color w:val="000000" w:themeColor="text1"/>
          <w:szCs w:val="20"/>
        </w:rPr>
        <w:t>。</w:t>
      </w:r>
    </w:p>
    <w:p>
      <w:pPr>
        <w:adjustRightInd w:val="0"/>
        <w:ind w:firstLine="422"/>
        <w:jc w:val="center"/>
        <w:rPr>
          <w:b/>
          <w:sz w:val="21"/>
        </w:rPr>
      </w:pPr>
      <w:r>
        <w:rPr>
          <w:rFonts w:hint="eastAsia"/>
          <w:b/>
          <w:sz w:val="21"/>
        </w:rPr>
        <w:t xml:space="preserve">       </w:t>
      </w:r>
      <w:r>
        <w:rPr>
          <w:b/>
          <w:sz w:val="21"/>
        </w:rPr>
        <w:t>表6</w:t>
      </w:r>
      <w:r>
        <w:rPr>
          <w:rFonts w:hint="eastAsia"/>
          <w:b/>
          <w:sz w:val="21"/>
        </w:rPr>
        <w:t>.4</w:t>
      </w:r>
      <w:r>
        <w:rPr>
          <w:b/>
          <w:sz w:val="21"/>
        </w:rPr>
        <w:t xml:space="preserve">-7     </w:t>
      </w:r>
      <w:r>
        <w:rPr>
          <w:rFonts w:hint="eastAsia"/>
          <w:b/>
          <w:sz w:val="21"/>
        </w:rPr>
        <w:t>盖家川</w:t>
      </w:r>
      <w:r>
        <w:rPr>
          <w:b/>
          <w:sz w:val="21"/>
        </w:rPr>
        <w:t xml:space="preserve">地表水影响预测结果表   </w:t>
      </w:r>
      <w:r>
        <w:rPr>
          <w:rFonts w:hint="eastAsia"/>
          <w:b/>
          <w:sz w:val="21"/>
        </w:rPr>
        <w:t xml:space="preserve">         </w:t>
      </w:r>
      <w:r>
        <w:rPr>
          <w:b/>
          <w:sz w:val="21"/>
        </w:rPr>
        <w:t>单位：mg/L</w:t>
      </w:r>
    </w:p>
    <w:tbl>
      <w:tblPr>
        <w:tblStyle w:val="17"/>
        <w:tblW w:w="881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684"/>
        <w:gridCol w:w="2017"/>
        <w:gridCol w:w="2565"/>
        <w:gridCol w:w="255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color w:val="000000" w:themeColor="text1"/>
                <w:szCs w:val="21"/>
              </w:rPr>
              <w:t>序号</w:t>
            </w:r>
          </w:p>
        </w:tc>
        <w:tc>
          <w:tcPr>
            <w:tcW w:w="2017" w:type="dxa"/>
            <w:shd w:val="clear" w:color="auto" w:fill="auto"/>
            <w:noWrap/>
            <w:vAlign w:val="center"/>
          </w:tcPr>
          <w:p>
            <w:pPr>
              <w:widowControl/>
              <w:ind w:firstLine="0" w:firstLineChars="0"/>
              <w:jc w:val="center"/>
              <w:rPr>
                <w:color w:val="000000" w:themeColor="text1"/>
                <w:szCs w:val="21"/>
              </w:rPr>
            </w:pPr>
            <w:r>
              <w:rPr>
                <w:color w:val="000000" w:themeColor="text1"/>
                <w:szCs w:val="21"/>
              </w:rPr>
              <w:t>衰减距离x(m)</w:t>
            </w:r>
          </w:p>
        </w:tc>
        <w:tc>
          <w:tcPr>
            <w:tcW w:w="2565" w:type="dxa"/>
            <w:shd w:val="clear" w:color="auto" w:fill="auto"/>
            <w:noWrap/>
            <w:vAlign w:val="center"/>
          </w:tcPr>
          <w:p>
            <w:pPr>
              <w:widowControl/>
              <w:ind w:firstLine="0" w:firstLineChars="0"/>
              <w:jc w:val="center"/>
              <w:rPr>
                <w:color w:val="000000" w:themeColor="text1"/>
                <w:szCs w:val="21"/>
              </w:rPr>
            </w:pPr>
            <w:r>
              <w:rPr>
                <w:color w:val="000000" w:themeColor="text1"/>
                <w:szCs w:val="21"/>
              </w:rPr>
              <w:t>CODcr C(mg/L)</w:t>
            </w:r>
          </w:p>
        </w:tc>
        <w:tc>
          <w:tcPr>
            <w:tcW w:w="2551" w:type="dxa"/>
            <w:vAlign w:val="center"/>
          </w:tcPr>
          <w:p>
            <w:pPr>
              <w:widowControl/>
              <w:ind w:firstLine="0" w:firstLineChars="0"/>
              <w:jc w:val="center"/>
              <w:rPr>
                <w:color w:val="000000" w:themeColor="text1"/>
                <w:szCs w:val="21"/>
              </w:rPr>
            </w:pPr>
            <w:r>
              <w:rPr>
                <w:color w:val="000000" w:themeColor="text1"/>
                <w:szCs w:val="20"/>
              </w:rPr>
              <w:t>氨氮</w:t>
            </w:r>
            <w:r>
              <w:rPr>
                <w:color w:val="000000" w:themeColor="text1"/>
                <w:szCs w:val="21"/>
              </w:rPr>
              <w:t>C(mg/L)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color w:val="000000" w:themeColor="text1"/>
                <w:szCs w:val="21"/>
              </w:rPr>
              <w:t>1</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19.9861</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0.9993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color w:val="000000" w:themeColor="text1"/>
                <w:szCs w:val="21"/>
              </w:rPr>
              <w:t>2</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200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19.9722</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0.9986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color w:val="000000" w:themeColor="text1"/>
                <w:szCs w:val="21"/>
              </w:rPr>
              <w:t>3</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300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19.9584</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0.9979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color w:val="000000" w:themeColor="text1"/>
                <w:szCs w:val="21"/>
              </w:rPr>
              <w:t>4</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400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19.9445</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0.9972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color w:val="000000" w:themeColor="text1"/>
                <w:szCs w:val="21"/>
              </w:rPr>
              <w:t>5</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500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19.9307</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0.9965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color w:val="000000" w:themeColor="text1"/>
                <w:szCs w:val="21"/>
              </w:rPr>
              <w:t>6</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600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19.9168</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0.9958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7</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700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19.9030</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0.9952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8</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800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19.8892</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0.9945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9</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900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19.8754</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0.9938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10</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1000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19.8616</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0.9931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11</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1200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19.8340</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0.9931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12</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1400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19.8065</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0.9917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13</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1600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19.7790</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0.9890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14</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1800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19.7516</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0.9876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15</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2000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19.7242</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0.9862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16</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2500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19.6558</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0.9828</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17</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3000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19.5877</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0.9794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18</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3500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19.5198</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0.9760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4000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19.4522</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0.9726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20</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4500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19.3847</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0.9692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21</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5000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19.3176</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0.9592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22</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5500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19.2506</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0.9625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1684"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23</w:t>
            </w:r>
          </w:p>
        </w:tc>
        <w:tc>
          <w:tcPr>
            <w:tcW w:w="2017"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6000</w:t>
            </w:r>
          </w:p>
        </w:tc>
        <w:tc>
          <w:tcPr>
            <w:tcW w:w="2565" w:type="dxa"/>
            <w:shd w:val="clear" w:color="auto" w:fill="auto"/>
            <w:noWrap/>
            <w:vAlign w:val="center"/>
          </w:tcPr>
          <w:p>
            <w:pPr>
              <w:widowControl/>
              <w:ind w:firstLine="0" w:firstLineChars="0"/>
              <w:jc w:val="center"/>
              <w:rPr>
                <w:color w:val="000000" w:themeColor="text1"/>
                <w:szCs w:val="21"/>
              </w:rPr>
            </w:pPr>
            <w:r>
              <w:rPr>
                <w:rFonts w:hint="eastAsia"/>
                <w:color w:val="000000" w:themeColor="text1"/>
                <w:szCs w:val="21"/>
              </w:rPr>
              <w:t>19.1839</w:t>
            </w:r>
          </w:p>
        </w:tc>
        <w:tc>
          <w:tcPr>
            <w:tcW w:w="2551" w:type="dxa"/>
            <w:vAlign w:val="center"/>
          </w:tcPr>
          <w:p>
            <w:pPr>
              <w:widowControl/>
              <w:ind w:firstLine="0" w:firstLineChars="0"/>
              <w:jc w:val="center"/>
              <w:rPr>
                <w:color w:val="000000" w:themeColor="text1"/>
                <w:szCs w:val="21"/>
              </w:rPr>
            </w:pPr>
            <w:r>
              <w:rPr>
                <w:rFonts w:hint="eastAsia"/>
                <w:color w:val="000000" w:themeColor="text1"/>
                <w:szCs w:val="21"/>
              </w:rPr>
              <w:t>0.9592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0" w:hRule="atLeast"/>
          <w:jc w:val="center"/>
        </w:trPr>
        <w:tc>
          <w:tcPr>
            <w:tcW w:w="3701" w:type="dxa"/>
            <w:gridSpan w:val="2"/>
            <w:shd w:val="clear" w:color="auto" w:fill="auto"/>
            <w:noWrap/>
            <w:vAlign w:val="bottom"/>
          </w:tcPr>
          <w:p>
            <w:pPr>
              <w:widowControl/>
              <w:ind w:firstLine="480"/>
              <w:jc w:val="center"/>
              <w:rPr>
                <w:color w:val="000000" w:themeColor="text1"/>
                <w:szCs w:val="21"/>
              </w:rPr>
            </w:pPr>
            <w:r>
              <w:rPr>
                <w:color w:val="000000" w:themeColor="text1"/>
                <w:szCs w:val="21"/>
              </w:rPr>
              <w:t>地表水Ⅲ类标准</w:t>
            </w:r>
          </w:p>
        </w:tc>
        <w:tc>
          <w:tcPr>
            <w:tcW w:w="2565" w:type="dxa"/>
            <w:shd w:val="clear" w:color="auto" w:fill="auto"/>
            <w:noWrap/>
            <w:vAlign w:val="center"/>
          </w:tcPr>
          <w:p>
            <w:pPr>
              <w:ind w:firstLine="480"/>
              <w:jc w:val="center"/>
              <w:rPr>
                <w:color w:val="000000" w:themeColor="text1"/>
                <w:szCs w:val="21"/>
              </w:rPr>
            </w:pPr>
            <w:r>
              <w:rPr>
                <w:color w:val="000000" w:themeColor="text1"/>
                <w:szCs w:val="21"/>
              </w:rPr>
              <w:t>≤20.0</w:t>
            </w:r>
          </w:p>
        </w:tc>
        <w:tc>
          <w:tcPr>
            <w:tcW w:w="2551" w:type="dxa"/>
          </w:tcPr>
          <w:p>
            <w:pPr>
              <w:ind w:firstLine="480"/>
              <w:jc w:val="center"/>
              <w:rPr>
                <w:color w:val="000000" w:themeColor="text1"/>
              </w:rPr>
            </w:pPr>
            <w:r>
              <w:rPr>
                <w:color w:val="000000" w:themeColor="text1"/>
                <w:szCs w:val="21"/>
              </w:rPr>
              <w:t>≤1.0</w:t>
            </w:r>
          </w:p>
        </w:tc>
      </w:tr>
    </w:tbl>
    <w:p>
      <w:pPr>
        <w:adjustRightInd w:val="0"/>
        <w:ind w:firstLine="482"/>
        <w:jc w:val="center"/>
        <w:rPr>
          <w:b/>
          <w:color w:val="000000" w:themeColor="text1"/>
          <w:szCs w:val="21"/>
        </w:rPr>
      </w:pPr>
    </w:p>
    <w:p>
      <w:pPr>
        <w:ind w:firstLine="480"/>
        <w:rPr>
          <w:color w:val="000000" w:themeColor="text1"/>
        </w:rPr>
      </w:pPr>
      <w:r>
        <w:rPr>
          <w:color w:val="000000" w:themeColor="text1"/>
        </w:rPr>
        <w:t>经计算和预测，污水经处理后排入</w:t>
      </w:r>
      <w:r>
        <w:rPr>
          <w:rFonts w:hint="eastAsia"/>
          <w:color w:val="000000" w:themeColor="text1"/>
        </w:rPr>
        <w:t>盖家川</w:t>
      </w:r>
      <w:r>
        <w:rPr>
          <w:color w:val="000000" w:themeColor="text1"/>
        </w:rPr>
        <w:t>，</w:t>
      </w:r>
      <w:r>
        <w:rPr>
          <w:rFonts w:hint="eastAsia"/>
          <w:color w:val="000000" w:themeColor="text1"/>
        </w:rPr>
        <w:t>能够COD、NH</w:t>
      </w:r>
      <w:r>
        <w:rPr>
          <w:rFonts w:hint="eastAsia"/>
          <w:color w:val="000000" w:themeColor="text1"/>
          <w:vertAlign w:val="subscript"/>
        </w:rPr>
        <w:t>3</w:t>
      </w:r>
      <w:r>
        <w:rPr>
          <w:rFonts w:hint="eastAsia"/>
          <w:color w:val="000000" w:themeColor="text1"/>
        </w:rPr>
        <w:t>-N排入水体后污染物浓度</w:t>
      </w:r>
      <w:r>
        <w:rPr>
          <w:color w:val="000000" w:themeColor="text1"/>
        </w:rPr>
        <w:t>低于《地表水环境质量标准》（GB3838-2002）中Ⅲ类水质限值（COD</w:t>
      </w:r>
      <w:r>
        <w:rPr>
          <w:rFonts w:hint="eastAsia"/>
          <w:color w:val="000000" w:themeColor="text1"/>
        </w:rPr>
        <w:t>：</w:t>
      </w:r>
      <w:r>
        <w:rPr>
          <w:color w:val="000000" w:themeColor="text1"/>
        </w:rPr>
        <w:t>20mg/</w:t>
      </w:r>
      <w:r>
        <w:rPr>
          <w:rFonts w:hint="eastAsia"/>
          <w:color w:val="000000" w:themeColor="text1"/>
        </w:rPr>
        <w:t>L、</w:t>
      </w:r>
      <w:r>
        <w:rPr>
          <w:color w:val="000000" w:themeColor="text1"/>
        </w:rPr>
        <w:t>NH</w:t>
      </w:r>
      <w:r>
        <w:rPr>
          <w:color w:val="000000" w:themeColor="text1"/>
          <w:vertAlign w:val="subscript"/>
        </w:rPr>
        <w:t>3</w:t>
      </w:r>
      <w:r>
        <w:rPr>
          <w:color w:val="000000" w:themeColor="text1"/>
        </w:rPr>
        <w:t>-N：1.0mg/L）</w:t>
      </w:r>
      <w:r>
        <w:rPr>
          <w:rFonts w:hint="eastAsia"/>
          <w:color w:val="000000" w:themeColor="text1"/>
        </w:rPr>
        <w:t>，</w:t>
      </w:r>
      <w:r>
        <w:rPr>
          <w:color w:val="000000" w:themeColor="text1"/>
        </w:rPr>
        <w:t>因此对</w:t>
      </w:r>
      <w:r>
        <w:rPr>
          <w:rFonts w:hint="eastAsia"/>
          <w:color w:val="000000" w:themeColor="text1"/>
        </w:rPr>
        <w:t>汇入后的马莲河的水质影响较小</w:t>
      </w:r>
      <w:r>
        <w:rPr>
          <w:color w:val="000000" w:themeColor="text1"/>
        </w:rPr>
        <w:t>。</w:t>
      </w:r>
    </w:p>
    <w:p>
      <w:pPr>
        <w:pStyle w:val="3"/>
      </w:pPr>
      <w:bookmarkStart w:id="41" w:name="_Toc57964374"/>
      <w:r>
        <w:rPr>
          <w:rFonts w:hint="eastAsia"/>
        </w:rPr>
        <w:t xml:space="preserve">6.5 </w:t>
      </w:r>
      <w:r>
        <w:t>对水生态的影响分析</w:t>
      </w:r>
      <w:bookmarkEnd w:id="41"/>
    </w:p>
    <w:p>
      <w:pPr>
        <w:ind w:firstLine="480"/>
      </w:pPr>
      <w:r>
        <w:t>通过实地调查和查阅《泾河水健康评估》等有关文献资料，针对</w:t>
      </w:r>
      <w:r>
        <w:rPr>
          <w:rFonts w:hint="eastAsia"/>
        </w:rPr>
        <w:t>最终汇入的</w:t>
      </w:r>
      <w:r>
        <w:rPr>
          <w:color w:val="000000" w:themeColor="text1"/>
        </w:rPr>
        <w:t>马莲河</w:t>
      </w:r>
      <w:r>
        <w:t>底栖动物和鱼类生物进行分析。</w:t>
      </w:r>
    </w:p>
    <w:p>
      <w:pPr>
        <w:ind w:firstLine="480"/>
      </w:pPr>
      <w:r>
        <w:rPr>
          <w:rFonts w:hint="eastAsia"/>
        </w:rPr>
        <w:t>（1）对水生环境的影响</w:t>
      </w:r>
    </w:p>
    <w:p>
      <w:pPr>
        <w:ind w:firstLine="480"/>
      </w:pPr>
      <w:r>
        <w:rPr>
          <w:rFonts w:hint="eastAsia"/>
        </w:rPr>
        <w:t>工程实施不改变本河段的河势，对本河段水文情势无明显影响，总体上对水生生境无明显影响。</w:t>
      </w:r>
    </w:p>
    <w:p>
      <w:pPr>
        <w:ind w:firstLine="480"/>
      </w:pPr>
      <w:r>
        <w:rPr>
          <w:rFonts w:hint="eastAsia"/>
        </w:rPr>
        <w:t>污水经处理后排入盖家川，对河段有一定的影响，其影响范围主要是排污口下游影响范围内的岸边水质和底质，但局部岸边水质的微小变化对水生生境影响很小。</w:t>
      </w:r>
    </w:p>
    <w:p>
      <w:pPr>
        <w:ind w:firstLine="480"/>
      </w:pPr>
      <w:r>
        <w:rPr>
          <w:rFonts w:hint="eastAsia"/>
        </w:rPr>
        <w:t>（2）对水生生物及渔业资源的影响</w:t>
      </w:r>
    </w:p>
    <w:p>
      <w:pPr>
        <w:ind w:firstLine="480"/>
      </w:pPr>
      <w:r>
        <w:rPr>
          <w:rFonts w:hint="eastAsia"/>
        </w:rPr>
        <w:t>项目污水排污河段区域无饮用水源取水口，水生生物和鱼类很小，因此，项目排污口设置对水生生物和渔业资源影响很小。</w:t>
      </w:r>
      <w:r>
        <w:t>由于本项目属于减排项目，按照现状一级A排放标准预测，到2020年每年可减排</w:t>
      </w:r>
      <w:r>
        <w:rPr>
          <w:color w:val="000000" w:themeColor="text1"/>
        </w:rPr>
        <w:t xml:space="preserve">COD </w:t>
      </w:r>
      <w:r>
        <w:rPr>
          <w:rFonts w:hint="eastAsia"/>
          <w:color w:val="000000" w:themeColor="text1"/>
        </w:rPr>
        <w:t>32.85</w:t>
      </w:r>
      <w:r>
        <w:rPr>
          <w:color w:val="000000" w:themeColor="text1"/>
        </w:rPr>
        <w:t>t，氨氮</w:t>
      </w:r>
      <w:r>
        <w:rPr>
          <w:rFonts w:hint="eastAsia"/>
          <w:color w:val="000000" w:themeColor="text1"/>
        </w:rPr>
        <w:t>2.555</w:t>
      </w:r>
      <w:r>
        <w:rPr>
          <w:color w:val="000000" w:themeColor="text1"/>
        </w:rPr>
        <w:t>t；到2030年，每年可减排COD</w:t>
      </w:r>
      <w:r>
        <w:rPr>
          <w:rFonts w:hint="eastAsia"/>
          <w:color w:val="000000" w:themeColor="text1"/>
        </w:rPr>
        <w:t>32.85</w:t>
      </w:r>
      <w:r>
        <w:rPr>
          <w:color w:val="000000" w:themeColor="text1"/>
        </w:rPr>
        <w:t>t，氨氮</w:t>
      </w:r>
      <w:r>
        <w:rPr>
          <w:rFonts w:hint="eastAsia"/>
          <w:color w:val="000000" w:themeColor="text1"/>
        </w:rPr>
        <w:t>2.555</w:t>
      </w:r>
      <w:r>
        <w:rPr>
          <w:color w:val="000000" w:themeColor="text1"/>
        </w:rPr>
        <w:t>t，可</w:t>
      </w:r>
      <w:r>
        <w:t>以有效的保护</w:t>
      </w:r>
      <w:r>
        <w:rPr>
          <w:rFonts w:hint="eastAsia"/>
        </w:rPr>
        <w:t>盖家川及马莲河</w:t>
      </w:r>
      <w:r>
        <w:t>水体环境</w:t>
      </w:r>
      <w:r>
        <w:rPr>
          <w:rFonts w:hint="eastAsia"/>
        </w:rPr>
        <w:t>，</w:t>
      </w:r>
      <w:r>
        <w:t>保护和修复</w:t>
      </w:r>
      <w:r>
        <w:rPr>
          <w:rFonts w:hint="eastAsia"/>
        </w:rPr>
        <w:t>盖家川及马莲河河</w:t>
      </w:r>
      <w:r>
        <w:t>水生态现状，结合本项目建设，对于</w:t>
      </w:r>
      <w:r>
        <w:rPr>
          <w:rFonts w:hint="eastAsia"/>
        </w:rPr>
        <w:t>马莲河</w:t>
      </w:r>
      <w:r>
        <w:t>水生态环境改善起到重要作用。</w:t>
      </w:r>
    </w:p>
    <w:p>
      <w:pPr>
        <w:pStyle w:val="3"/>
      </w:pPr>
      <w:bookmarkStart w:id="42" w:name="_Toc57964375"/>
      <w:r>
        <w:rPr>
          <w:rFonts w:hint="eastAsia"/>
        </w:rPr>
        <w:t>6.6</w:t>
      </w:r>
      <w:r>
        <w:t>对地下水影响分析</w:t>
      </w:r>
      <w:bookmarkEnd w:id="42"/>
    </w:p>
    <w:p>
      <w:pPr>
        <w:tabs>
          <w:tab w:val="right" w:pos="0"/>
        </w:tabs>
        <w:adjustRightInd w:val="0"/>
        <w:snapToGrid w:val="0"/>
        <w:ind w:firstLine="480"/>
        <w:rPr>
          <w:color w:val="000000"/>
        </w:rPr>
      </w:pPr>
      <w:r>
        <w:rPr>
          <w:rFonts w:hint="eastAsia"/>
          <w:color w:val="000000"/>
        </w:rPr>
        <w:t>（1）对浅层地下水的污染影响</w:t>
      </w:r>
    </w:p>
    <w:p>
      <w:pPr>
        <w:tabs>
          <w:tab w:val="right" w:pos="0"/>
        </w:tabs>
        <w:adjustRightInd w:val="0"/>
        <w:snapToGrid w:val="0"/>
        <w:ind w:firstLine="480"/>
        <w:rPr>
          <w:color w:val="000000"/>
        </w:rPr>
      </w:pPr>
      <w:r>
        <w:rPr>
          <w:rFonts w:hint="eastAsia"/>
          <w:color w:val="000000"/>
        </w:rPr>
        <w:t>正常情况下，对地下水的污染主要是由于污染物迁移穿过包气带进入含水层造成。为确保地下水不受污染，应对地下水污染进行有效防治，坚持预防为主，防治结合的原则。做好防渗措施，防止污染物下渗造成地下水污染，特别应该杜绝污水池渗漏和管道渗漏及废弃物乱堆放，消灭污染源，对污染物进行科学处理，确保所有污染物达标排放。防止地下水受到污染。</w:t>
      </w:r>
    </w:p>
    <w:p>
      <w:pPr>
        <w:tabs>
          <w:tab w:val="right" w:pos="0"/>
        </w:tabs>
        <w:adjustRightInd w:val="0"/>
        <w:snapToGrid w:val="0"/>
        <w:ind w:firstLine="480"/>
        <w:rPr>
          <w:color w:val="000000"/>
        </w:rPr>
      </w:pPr>
      <w:r>
        <w:rPr>
          <w:rFonts w:hint="eastAsia"/>
          <w:color w:val="000000"/>
        </w:rPr>
        <w:t>（2）对深层地下水的污染影响</w:t>
      </w:r>
    </w:p>
    <w:p>
      <w:pPr>
        <w:tabs>
          <w:tab w:val="right" w:pos="0"/>
        </w:tabs>
        <w:adjustRightInd w:val="0"/>
        <w:snapToGrid w:val="0"/>
        <w:ind w:firstLine="480"/>
        <w:rPr>
          <w:color w:val="000000"/>
        </w:rPr>
      </w:pPr>
      <w:r>
        <w:rPr>
          <w:rFonts w:hint="eastAsia"/>
          <w:color w:val="000000"/>
        </w:rPr>
        <w:t>判断深层地下水是否会受到污染影响，通常分析深层地下水含水组上覆地层的防污性能和有无与浅层地下水的水利联系。建设项目场地属弱透水土层，场地环境类型为II类。深层土分布的素填土、含砾粉质粘土层为弱透水层，所以垂直渗入补给条件较差，与浅层地下水水利联系不密切。因此，深层地下水不会受到项目下渗污水的污染影响。</w:t>
      </w:r>
    </w:p>
    <w:p>
      <w:pPr>
        <w:ind w:firstLine="480"/>
        <w:rPr>
          <w:color w:val="000000" w:themeColor="text1"/>
        </w:rPr>
      </w:pPr>
      <w:r>
        <w:rPr>
          <w:color w:val="000000" w:themeColor="text1"/>
        </w:rPr>
        <w:t>污水处理厂尾水排</w:t>
      </w:r>
      <w:r>
        <w:rPr>
          <w:rFonts w:hint="eastAsia"/>
          <w:color w:val="000000" w:themeColor="text1"/>
        </w:rPr>
        <w:t>入盖家川</w:t>
      </w:r>
      <w:r>
        <w:rPr>
          <w:color w:val="000000" w:themeColor="text1"/>
        </w:rPr>
        <w:t>后，该河道枯季水位流量均有所提高；本次对</w:t>
      </w:r>
      <w:r>
        <w:rPr>
          <w:rFonts w:hint="eastAsia"/>
          <w:color w:val="000000" w:themeColor="text1"/>
        </w:rPr>
        <w:t>盖家川</w:t>
      </w:r>
      <w:r>
        <w:rPr>
          <w:color w:val="000000" w:themeColor="text1"/>
        </w:rPr>
        <w:t>河道水质进行了取样分析，为</w:t>
      </w:r>
      <w:r>
        <w:rPr>
          <w:rFonts w:hint="eastAsia"/>
          <w:color w:val="000000" w:themeColor="text1"/>
        </w:rPr>
        <w:t>Ⅲ</w:t>
      </w:r>
      <w:r>
        <w:rPr>
          <w:color w:val="000000" w:themeColor="text1"/>
        </w:rPr>
        <w:t>类水</w:t>
      </w:r>
      <w:r>
        <w:rPr>
          <w:rFonts w:hint="eastAsia"/>
          <w:color w:val="000000" w:themeColor="text1"/>
        </w:rPr>
        <w:t>质，何家畔村截污控源工程污</w:t>
      </w:r>
      <w:r>
        <w:rPr>
          <w:color w:val="000000" w:themeColor="text1"/>
        </w:rPr>
        <w:t>水处理厂尾水汇入后， 地表水水质虽较现状污染物浓度有所降低，仍为</w:t>
      </w:r>
      <w:r>
        <w:rPr>
          <w:rFonts w:hint="eastAsia"/>
          <w:color w:val="000000" w:themeColor="text1"/>
        </w:rPr>
        <w:t>Ⅲ</w:t>
      </w:r>
      <w:r>
        <w:rPr>
          <w:color w:val="000000" w:themeColor="text1"/>
        </w:rPr>
        <w:t>类水</w:t>
      </w:r>
      <w:r>
        <w:rPr>
          <w:rFonts w:hint="eastAsia"/>
          <w:color w:val="000000" w:themeColor="text1"/>
        </w:rPr>
        <w:t>质。</w:t>
      </w:r>
    </w:p>
    <w:p>
      <w:pPr>
        <w:tabs>
          <w:tab w:val="right" w:pos="0"/>
        </w:tabs>
        <w:adjustRightInd w:val="0"/>
        <w:snapToGrid w:val="0"/>
        <w:ind w:firstLine="480"/>
        <w:rPr>
          <w:color w:val="000000"/>
        </w:rPr>
      </w:pPr>
      <w:r>
        <w:rPr>
          <w:rFonts w:hint="eastAsia"/>
          <w:color w:val="000000"/>
        </w:rPr>
        <w:t>因此，综上所述，项目所在区域的包气带防污性能为强、深层土分布的素填土、含砾粉质粘土层为弱透水层，所以垂直渗入补给条件较差，在采取相应措施后，对地下水产生污染影响较小。</w:t>
      </w:r>
    </w:p>
    <w:p>
      <w:pPr>
        <w:pStyle w:val="3"/>
      </w:pPr>
      <w:bookmarkStart w:id="43" w:name="_bookmark36"/>
      <w:bookmarkEnd w:id="43"/>
      <w:bookmarkStart w:id="44" w:name="_Toc57964376"/>
      <w:r>
        <w:rPr>
          <w:rFonts w:hint="eastAsia"/>
        </w:rPr>
        <w:t xml:space="preserve">6.7 </w:t>
      </w:r>
      <w:r>
        <w:t>对重要第三方影响分析</w:t>
      </w:r>
      <w:bookmarkEnd w:id="44"/>
    </w:p>
    <w:p>
      <w:pPr>
        <w:ind w:firstLine="480"/>
      </w:pPr>
      <w:r>
        <w:t>根据</w:t>
      </w:r>
      <w:r>
        <w:rPr>
          <w:rFonts w:hint="eastAsia"/>
        </w:rPr>
        <w:t>盖家川</w:t>
      </w:r>
      <w:r>
        <w:t>现场调研，</w:t>
      </w:r>
      <w:r>
        <w:rPr>
          <w:rFonts w:hint="eastAsia"/>
        </w:rPr>
        <w:t>入河排污口汇入盖家川后到马莲河汇入口间</w:t>
      </w:r>
      <w:r>
        <w:t>无重要第三方取水口， 故不会对下游第三方产生影响。</w:t>
      </w:r>
    </w:p>
    <w:p>
      <w:pPr>
        <w:pStyle w:val="3"/>
      </w:pPr>
      <w:bookmarkStart w:id="45" w:name="_bookmark37"/>
      <w:bookmarkEnd w:id="45"/>
      <w:bookmarkStart w:id="46" w:name="_Toc57964377"/>
      <w:r>
        <w:rPr>
          <w:rFonts w:hint="eastAsia"/>
        </w:rPr>
        <w:t xml:space="preserve">6.8 </w:t>
      </w:r>
      <w:r>
        <w:t>排污口设置合理性分析</w:t>
      </w:r>
      <w:bookmarkEnd w:id="46"/>
    </w:p>
    <w:p>
      <w:pPr>
        <w:ind w:firstLine="480"/>
      </w:pPr>
      <w:r>
        <w:rPr>
          <w:rFonts w:hint="eastAsia"/>
        </w:rPr>
        <w:t>合水县何家畔镇何家畔村截污控源工程</w:t>
      </w:r>
      <w:r>
        <w:t>入河排污口位于马莲河环县、庆城、合 水、宁县工业、农业用水区</w:t>
      </w:r>
      <w:r>
        <w:rPr>
          <w:rFonts w:hint="eastAsia"/>
        </w:rPr>
        <w:t>，符合</w:t>
      </w:r>
      <w:r>
        <w:t>入河排污口管理、防洪要求。</w:t>
      </w:r>
    </w:p>
    <w:p>
      <w:pPr>
        <w:ind w:firstLine="480"/>
      </w:pPr>
      <w:r>
        <w:t>正常情况下，入河排污不会造成</w:t>
      </w:r>
      <w:r>
        <w:rPr>
          <w:rFonts w:hint="eastAsia"/>
        </w:rPr>
        <w:t>盖家川</w:t>
      </w:r>
      <w:r>
        <w:t>断面水质超标，对水生态、地下水造成一定影响，但影响在可控范围内。污水处理厂收集处理了</w:t>
      </w:r>
      <w:r>
        <w:rPr>
          <w:rFonts w:hint="eastAsia"/>
        </w:rPr>
        <w:t>何家畔村镇区</w:t>
      </w:r>
      <w:r>
        <w:t>生活</w:t>
      </w:r>
      <w:r>
        <w:rPr>
          <w:rFonts w:hint="eastAsia"/>
        </w:rPr>
        <w:t>污</w:t>
      </w:r>
      <w:r>
        <w:t>水，对于改善</w:t>
      </w:r>
      <w:r>
        <w:rPr>
          <w:rFonts w:hint="eastAsia"/>
        </w:rPr>
        <w:t>盖家川、马莲河</w:t>
      </w:r>
      <w:r>
        <w:t>河水环境现状起到了关键性作用，在落实本论证提出的控制措施的前提下，其在</w:t>
      </w:r>
      <w:r>
        <w:rPr>
          <w:rFonts w:hint="eastAsia"/>
        </w:rPr>
        <w:t>盖家川</w:t>
      </w:r>
      <w:r>
        <w:t>设置入河排污口是合理的。</w:t>
      </w:r>
      <w:bookmarkStart w:id="47" w:name="_Toc45201378"/>
      <w:bookmarkStart w:id="48" w:name="_Toc45201437"/>
      <w:r>
        <w:br w:type="page"/>
      </w:r>
    </w:p>
    <w:p>
      <w:pPr>
        <w:pStyle w:val="2"/>
      </w:pPr>
      <w:bookmarkStart w:id="49" w:name="_Toc57964378"/>
      <w:r>
        <w:rPr>
          <w:rFonts w:hint="eastAsia"/>
        </w:rPr>
        <w:t>7 水资源保护措施</w:t>
      </w:r>
      <w:bookmarkEnd w:id="49"/>
    </w:p>
    <w:p>
      <w:pPr>
        <w:pStyle w:val="3"/>
      </w:pPr>
      <w:bookmarkStart w:id="50" w:name="_Toc57964379"/>
      <w:r>
        <w:rPr>
          <w:rFonts w:hint="eastAsia"/>
        </w:rPr>
        <w:t>7.1 常规措施</w:t>
      </w:r>
      <w:bookmarkEnd w:id="50"/>
    </w:p>
    <w:p>
      <w:pPr>
        <w:pStyle w:val="4"/>
      </w:pPr>
      <w:r>
        <w:rPr>
          <w:rFonts w:hint="eastAsia"/>
        </w:rPr>
        <w:t>7.1.1 日常运行管理</w:t>
      </w:r>
    </w:p>
    <w:p>
      <w:pPr>
        <w:ind w:firstLine="480"/>
      </w:pPr>
      <w:r>
        <w:rPr>
          <w:rFonts w:hint="eastAsia"/>
        </w:rPr>
        <w:t>合水县何家畔镇何家畔村截污控源工程污水处理厂</w:t>
      </w:r>
      <w:r>
        <w:t>主管单位对所辖污水处理厂处理设施正常运行、设备检修、水量水质报表、污泥排放质量标准等进行监督核查，检查方式包括定期检查和不定期抽查，同时明确污水处理厂运行责任追究制度，对于因污水处理厂自身运行管理不善造成的处理可设施不能正常稳定运行最终造成出水水质不达标或其他重大质量</w:t>
      </w:r>
      <w:r>
        <w:rPr>
          <w:spacing w:val="-10"/>
        </w:rPr>
        <w:t>事清的，由相关监督部门责令其限期整改。</w:t>
      </w:r>
    </w:p>
    <w:p>
      <w:pPr>
        <w:ind w:firstLine="480"/>
      </w:pPr>
      <w:r>
        <w:rPr>
          <w:rFonts w:hint="eastAsia"/>
        </w:rPr>
        <w:t>何家畔村截污控源工程</w:t>
      </w:r>
      <w:r>
        <w:t>污水处理厂结合本厂实际情况也出台了相应的设备管理、污水质监测、应急处置、责任追究等管理制度，并作为</w:t>
      </w:r>
      <w:r>
        <w:rPr>
          <w:rFonts w:hint="eastAsia"/>
        </w:rPr>
        <w:t>何家畔村</w:t>
      </w:r>
      <w:r>
        <w:t>污水处理利厂环保技术监</w:t>
      </w:r>
      <w:r>
        <w:rPr>
          <w:spacing w:val="-10"/>
        </w:rPr>
        <w:t>督、考核、奖惩的依据。</w:t>
      </w:r>
    </w:p>
    <w:p>
      <w:pPr>
        <w:ind w:firstLine="428"/>
        <w:rPr>
          <w:spacing w:val="-10"/>
          <w:szCs w:val="24"/>
        </w:rPr>
      </w:pPr>
      <w:r>
        <w:rPr>
          <w:spacing w:val="-13"/>
          <w:szCs w:val="24"/>
        </w:rPr>
        <w:t xml:space="preserve">为加强污水处理厂处理工艺和处理设备的监督管理，保证各项处理设备稳定运行， </w:t>
      </w:r>
      <w:r>
        <w:rPr>
          <w:szCs w:val="24"/>
        </w:rPr>
        <w:t>确保污染物稳定达标排放，</w:t>
      </w:r>
      <w:r>
        <w:rPr>
          <w:rFonts w:hint="eastAsia"/>
          <w:szCs w:val="24"/>
        </w:rPr>
        <w:t>合水县</w:t>
      </w:r>
      <w:r>
        <w:rPr>
          <w:szCs w:val="24"/>
        </w:rPr>
        <w:t>制定了专项环保管理制度，对污水处厂长、设备管理岗、生产运行岗等重要岗位设置有岗位职责说明书，明确岗位具体职责责任到人</w:t>
      </w:r>
      <w:r>
        <w:rPr>
          <w:rFonts w:hint="eastAsia"/>
          <w:szCs w:val="24"/>
        </w:rPr>
        <w:t>合水县何家畔村</w:t>
      </w:r>
      <w:r>
        <w:rPr>
          <w:szCs w:val="24"/>
        </w:rPr>
        <w:t>污水处理厂同时还制定有污水处理厂工艺管理制度、设备管理控制程序、设备安全操作规程、设备维护保养制度等，对污水处理厂处理工艺、设备管理、设备维</w:t>
      </w:r>
      <w:r>
        <w:rPr>
          <w:spacing w:val="-10"/>
          <w:szCs w:val="24"/>
        </w:rPr>
        <w:t>护保养、安全操作规程、应急处理等作出了明确规定，并对执行情况纳入绩效考核。</w:t>
      </w:r>
    </w:p>
    <w:p>
      <w:pPr>
        <w:pStyle w:val="4"/>
      </w:pPr>
      <w:r>
        <w:rPr>
          <w:rFonts w:hint="eastAsia"/>
        </w:rPr>
        <w:t>7.1.2 中水回用</w:t>
      </w:r>
    </w:p>
    <w:p>
      <w:pPr>
        <w:ind w:firstLine="480"/>
      </w:pPr>
      <w:r>
        <w:t>目前</w:t>
      </w:r>
      <w:r>
        <w:rPr>
          <w:rFonts w:hint="eastAsia"/>
        </w:rPr>
        <w:t>何家畔村</w:t>
      </w:r>
      <w:r>
        <w:t>污水处理厂按照一级</w:t>
      </w:r>
      <w:r>
        <w:rPr>
          <w:rFonts w:hint="eastAsia" w:eastAsiaTheme="minorEastAsia"/>
        </w:rPr>
        <w:t>A</w:t>
      </w:r>
      <w:r>
        <w:t>排放标准，水质符合《城市污水再生利用农田灌溉用水水质》（</w:t>
      </w:r>
      <w:r>
        <w:rPr>
          <w:rFonts w:eastAsia="Times New Roman"/>
        </w:rPr>
        <w:t>GB/T20922-2007</w:t>
      </w:r>
      <w:r>
        <w:t>）、《工业循环冷却水处理设计规范》（</w:t>
      </w:r>
      <w:r>
        <w:rPr>
          <w:rFonts w:eastAsia="Times New Roman"/>
        </w:rPr>
        <w:t>GB50050-2007</w:t>
      </w:r>
      <w:r>
        <w:t>）</w:t>
      </w:r>
      <w:r>
        <w:rPr>
          <w:rFonts w:hint="eastAsia"/>
        </w:rPr>
        <w:t>、</w:t>
      </w:r>
      <w:r>
        <w:t>《城市污水再生利用城市杂用水水质》（</w:t>
      </w:r>
      <w:r>
        <w:rPr>
          <w:rFonts w:eastAsia="Times New Roman"/>
        </w:rPr>
        <w:t>GB/T18920-2002</w:t>
      </w:r>
      <w:r>
        <w:t>）、《城市污水再生利用工业用水水质》（</w:t>
      </w:r>
      <w:r>
        <w:rPr>
          <w:rFonts w:eastAsia="Times New Roman"/>
        </w:rPr>
        <w:t>GB/T19923-2005</w:t>
      </w:r>
      <w:r>
        <w:t>）、《城市污水再生利用绿地灌溉水质》</w:t>
      </w:r>
      <w:r>
        <w:rPr>
          <w:spacing w:val="-1"/>
        </w:rPr>
        <w:t>（</w:t>
      </w:r>
      <w:r>
        <w:rPr>
          <w:rFonts w:eastAsia="Times New Roman"/>
          <w:spacing w:val="-1"/>
        </w:rPr>
        <w:t>GB/T25499-2010</w:t>
      </w:r>
      <w:r>
        <w:rPr>
          <w:spacing w:val="-1"/>
        </w:rPr>
        <w:t>）</w:t>
      </w:r>
      <w:r>
        <w:t>。</w:t>
      </w:r>
    </w:p>
    <w:p>
      <w:pPr>
        <w:ind w:firstLine="480"/>
      </w:pPr>
      <w:r>
        <w:t>不符合《城市污水再生利用景观环境用水水质</w:t>
      </w:r>
      <w:r>
        <w:rPr>
          <w:rFonts w:hint="eastAsia"/>
        </w:rPr>
        <w:t>》</w:t>
      </w:r>
      <w:r>
        <w:t>（</w:t>
      </w:r>
      <w:r>
        <w:rPr>
          <w:rFonts w:eastAsia="Times New Roman"/>
        </w:rPr>
        <w:t>GB/T18921-2002</w:t>
      </w:r>
      <w:r>
        <w:t>）</w:t>
      </w:r>
      <w:r>
        <w:rPr>
          <w:spacing w:val="-6"/>
        </w:rPr>
        <w:t>、《再生水水质标准》</w:t>
      </w:r>
      <w:r>
        <w:t>（</w:t>
      </w:r>
      <w:r>
        <w:rPr>
          <w:rFonts w:eastAsia="Times New Roman"/>
        </w:rPr>
        <w:t>SL3862006</w:t>
      </w:r>
      <w:r>
        <w:t>）</w:t>
      </w:r>
      <w:r>
        <w:rPr>
          <w:spacing w:val="-4"/>
        </w:rPr>
        <w:t>。可直接或经进一步处</w:t>
      </w:r>
      <w:r>
        <w:rPr>
          <w:spacing w:val="-9"/>
        </w:rPr>
        <w:t>理后用于景观环境、绿地灌溉、厕所冲洗、道路清扫、车辆冲洗、农田灌溉及一般</w:t>
      </w:r>
      <w:r>
        <w:t>工业循环冷却水等用途。</w:t>
      </w:r>
    </w:p>
    <w:p>
      <w:pPr>
        <w:ind w:firstLine="480"/>
      </w:pPr>
      <w:r>
        <w:t>2006 年，建设部印发的《城市污水再生利用技术政策》（建科［2006］100号）提出“国家和地方在制定全国性、流域性、区域性水污染防治规划与城市污水处理工程建设规划时，应包含城市污水再生利用工程建设规划。并要求“2015 年北方地区缺水城市达到 20％～25％，南方沿海缺水城市达到 10％～15％，其他地区城市也应开展此项工作，并逐年提高利用率”。 2016 年 12 月，国务院颁布了《“十三五”全国城镇污水处理及再生利用设施建设规划》，规划中将“再生利用”列入指导思想，将通过加强技术指导和资金支持，加快污水再生利用设施建设。</w:t>
      </w:r>
    </w:p>
    <w:p>
      <w:pPr>
        <w:ind w:firstLine="480"/>
      </w:pPr>
      <w:r>
        <w:t>考虑到庆阳市水资源紧缺，建议</w:t>
      </w:r>
      <w:r>
        <w:rPr>
          <w:rFonts w:hint="eastAsia"/>
        </w:rPr>
        <w:t>何家畔村</w:t>
      </w:r>
      <w:r>
        <w:t>污水污水处理厂主管部门和</w:t>
      </w:r>
      <w:r>
        <w:rPr>
          <w:rFonts w:hint="eastAsia"/>
        </w:rPr>
        <w:t>合水县</w:t>
      </w:r>
      <w:r>
        <w:t>地方政府相关部门协调，统筹规划和建设基于污水处理厂出水的中水回用设施和输送管网实行分质供应，继续拓宽中水综合利用途径，争取到 2030 年中水回用达到 55%，减轻</w:t>
      </w:r>
      <w:r>
        <w:rPr>
          <w:rFonts w:hint="eastAsia"/>
        </w:rPr>
        <w:t>马莲河</w:t>
      </w:r>
      <w:r>
        <w:t>水体污染、改善生态环境、缓解水资源供需矛盾和促进</w:t>
      </w:r>
      <w:r>
        <w:rPr>
          <w:rFonts w:hint="eastAsia"/>
        </w:rPr>
        <w:t>合水县</w:t>
      </w:r>
      <w:r>
        <w:t>经济社会可持续发展。一方面能够适应水资源需求的不断增长，节省各种水资源的取用量，同时也能减少排入</w:t>
      </w:r>
      <w:r>
        <w:rPr>
          <w:rFonts w:hint="eastAsia"/>
        </w:rPr>
        <w:t>马莲河</w:t>
      </w:r>
      <w:r>
        <w:t>的污染物总量，降低污染治理成本。</w:t>
      </w:r>
    </w:p>
    <w:p>
      <w:pPr>
        <w:pStyle w:val="4"/>
      </w:pPr>
      <w:r>
        <w:rPr>
          <w:rFonts w:hint="eastAsia"/>
        </w:rPr>
        <w:t>7.1.3 入河排污口规范化建设</w:t>
      </w:r>
    </w:p>
    <w:p>
      <w:pPr>
        <w:ind w:firstLine="480"/>
      </w:pPr>
      <w:r>
        <w:rPr>
          <w:rFonts w:hint="eastAsia"/>
        </w:rPr>
        <w:t>何家畔村</w:t>
      </w:r>
      <w:r>
        <w:t>污水处理厂应按照《入河排污口管理技术导则》（SL532-2011）开展入河排污口规 范化建设，原则上满足以下要求：</w:t>
      </w:r>
    </w:p>
    <w:p>
      <w:pPr>
        <w:ind w:firstLine="480"/>
      </w:pPr>
      <w:r>
        <w:t>（1）入河排污口设置应便于采集样品、便于计量监测、便于日常现场监督检查。</w:t>
      </w:r>
    </w:p>
    <w:p>
      <w:pPr>
        <w:ind w:firstLine="480"/>
      </w:pPr>
      <w:r>
        <w:t>（2）入河排污口应设置在设计洪水淹没线之上，工程设施应符合防洪要求。</w:t>
      </w:r>
    </w:p>
    <w:p>
      <w:pPr>
        <w:ind w:firstLine="480"/>
      </w:pPr>
      <w:r>
        <w:t>（3）入河排污口口门不得设暗管通入河道底部，如特殊情况需要设管道的，必须留出观测窗口，以便于采样和监督。</w:t>
      </w:r>
    </w:p>
    <w:p>
      <w:pPr>
        <w:ind w:firstLine="480"/>
      </w:pPr>
      <w:r>
        <w:t>（4）入河排污口口门处应有明显的标志牌</w:t>
      </w:r>
      <w:r>
        <w:rPr>
          <w:rFonts w:hint="eastAsia"/>
        </w:rPr>
        <w:t>，</w:t>
      </w:r>
      <w:r>
        <w:t>标志牌内容应包括管网，以下资料信息：</w:t>
      </w:r>
      <w:r>
        <w:rPr>
          <w:rFonts w:hint="eastAsia" w:ascii="宋体" w:hAnsi="宋体"/>
        </w:rPr>
        <w:t>①</w:t>
      </w:r>
      <w:r>
        <w:t>入河排污口编号；</w:t>
      </w:r>
      <w:r>
        <w:rPr>
          <w:rFonts w:hint="eastAsia" w:ascii="宋体" w:hAnsi="宋体"/>
        </w:rPr>
        <w:t>②</w:t>
      </w:r>
      <w:r>
        <w:t>入河排污口名称；</w:t>
      </w:r>
      <w:r>
        <w:rPr>
          <w:rFonts w:hint="eastAsia" w:ascii="宋体" w:hAnsi="宋体"/>
        </w:rPr>
        <w:t>③</w:t>
      </w:r>
      <w:r>
        <w:t>入河排污段口地理位置及经纬度坐标；</w:t>
      </w:r>
      <w:r>
        <w:rPr>
          <w:rFonts w:hint="eastAsia" w:ascii="宋体" w:hAnsi="宋体"/>
        </w:rPr>
        <w:t>④</w:t>
      </w:r>
      <w:r>
        <w:t>排入的水功能区名称及水质保护目标；会入河排污口设置单位；</w:t>
      </w:r>
      <w:r>
        <w:rPr>
          <w:rFonts w:hint="eastAsia" w:ascii="宋体" w:hAnsi="宋体"/>
        </w:rPr>
        <w:t>⑥</w:t>
      </w:r>
      <w:r>
        <w:t>入河排污口设置审批单位及监督电话。</w:t>
      </w:r>
    </w:p>
    <w:p>
      <w:pPr>
        <w:ind w:firstLine="480"/>
      </w:pPr>
      <w:r>
        <w:t>（5）标志牌设置应距入河排污口较近处，可根据情况分别选择低设置立式或平面固定式标志牌，并且能长久保留。此外</w:t>
      </w:r>
      <w:r>
        <w:rPr>
          <w:rFonts w:hint="eastAsia"/>
        </w:rPr>
        <w:t>，</w:t>
      </w:r>
      <w:r>
        <w:t>为便于区分责任，同时保护当地地下水。</w:t>
      </w:r>
    </w:p>
    <w:p>
      <w:pPr>
        <w:pStyle w:val="4"/>
      </w:pPr>
      <w:r>
        <w:rPr>
          <w:rFonts w:hint="eastAsia"/>
        </w:rPr>
        <w:t>7.1.4 水质监测与管理</w:t>
      </w:r>
    </w:p>
    <w:p>
      <w:pPr>
        <w:ind w:firstLine="480"/>
      </w:pPr>
      <w:r>
        <w:rPr>
          <w:rFonts w:hint="eastAsia"/>
        </w:rPr>
        <w:t>何家畔村</w:t>
      </w:r>
      <w:r>
        <w:t>污水处理厂水质监测监测方案</w:t>
      </w:r>
      <w:r>
        <w:rPr>
          <w:rFonts w:hint="eastAsia"/>
        </w:rPr>
        <w:t>为</w:t>
      </w:r>
      <w:r>
        <w:t>手工监测，监测项目为COD、氨氮、TN、TP、BOD5、SS、pH、色度、 粪大肠菌、六价铬，其中 COD、氨氮每日监测1次，其他项目每月监测1次，监测点位为污水处理厂出水口。样品采集及监测方法均按照相关国家标准执行。此外，</w:t>
      </w:r>
      <w:r>
        <w:rPr>
          <w:rFonts w:hint="eastAsia"/>
        </w:rPr>
        <w:t>合水县</w:t>
      </w:r>
      <w:r>
        <w:t>环境监测站对</w:t>
      </w:r>
      <w:r>
        <w:rPr>
          <w:rFonts w:hint="eastAsia"/>
        </w:rPr>
        <w:t>何家畔村</w:t>
      </w:r>
      <w:r>
        <w:t>污水处理厂开展监督性监测，对污水处理厂进、出水口进行每月1次的监督性监测。</w:t>
      </w:r>
    </w:p>
    <w:p>
      <w:pPr>
        <w:ind w:firstLine="480"/>
      </w:pPr>
      <w:r>
        <w:t>应按照《&lt;入河排污口监督管理办法&gt;细则》有关要求，对监测方案进一步完善，使监测点位、监测因子、监测频次满足《入河排污口管理技术导则》（SL532-2011）要求，并将入河排污口基本情况和排放的废污水量、水质定期报表等资料整理归档， 建立排污资料档案，定期、不定期接受相关部门的监督检查，按时上报入河排污口有关资料和报表。</w:t>
      </w:r>
    </w:p>
    <w:p>
      <w:pPr>
        <w:ind w:firstLine="480"/>
      </w:pPr>
      <w:r>
        <w:t>本论证初步编制了</w:t>
      </w:r>
      <w:r>
        <w:rPr>
          <w:rFonts w:hint="eastAsia"/>
        </w:rPr>
        <w:t>何家畔村</w:t>
      </w:r>
      <w:r>
        <w:t>污水污水处理厂入河排污口第三方水质监测方案，供参考。</w:t>
      </w:r>
    </w:p>
    <w:p>
      <w:pPr>
        <w:ind w:firstLine="480"/>
      </w:pPr>
      <w:r>
        <w:t>（1）监测点位</w:t>
      </w:r>
    </w:p>
    <w:p>
      <w:pPr>
        <w:ind w:firstLine="480"/>
        <w:rPr>
          <w:color w:val="000000" w:themeColor="text1"/>
        </w:rPr>
      </w:pPr>
      <w:r>
        <w:rPr>
          <w:color w:val="000000" w:themeColor="text1"/>
        </w:rPr>
        <w:t>1）</w:t>
      </w:r>
      <w:r>
        <w:rPr>
          <w:rFonts w:hint="eastAsia"/>
          <w:color w:val="000000" w:themeColor="text1"/>
        </w:rPr>
        <w:t>何家畔村</w:t>
      </w:r>
      <w:r>
        <w:rPr>
          <w:color w:val="000000" w:themeColor="text1"/>
        </w:rPr>
        <w:t>污水处理厂排污口包括</w:t>
      </w:r>
      <w:r>
        <w:rPr>
          <w:rFonts w:hint="eastAsia"/>
          <w:color w:val="000000" w:themeColor="text1"/>
        </w:rPr>
        <w:t>何家畔村</w:t>
      </w:r>
      <w:r>
        <w:rPr>
          <w:color w:val="000000" w:themeColor="text1"/>
        </w:rPr>
        <w:t>污水处理厂外排口、污水入</w:t>
      </w:r>
      <w:r>
        <w:rPr>
          <w:rFonts w:hint="eastAsia"/>
          <w:color w:val="000000" w:themeColor="text1"/>
        </w:rPr>
        <w:t>盖家川</w:t>
      </w:r>
      <w:r>
        <w:rPr>
          <w:color w:val="000000" w:themeColor="text1"/>
        </w:rPr>
        <w:t xml:space="preserve">口。 </w:t>
      </w:r>
    </w:p>
    <w:p>
      <w:pPr>
        <w:ind w:firstLine="480"/>
        <w:rPr>
          <w:color w:val="000000" w:themeColor="text1"/>
        </w:rPr>
      </w:pPr>
      <w:r>
        <w:rPr>
          <w:color w:val="000000" w:themeColor="text1"/>
        </w:rPr>
        <w:t>2）</w:t>
      </w:r>
      <w:r>
        <w:rPr>
          <w:rFonts w:hint="eastAsia"/>
          <w:color w:val="000000" w:themeColor="text1"/>
        </w:rPr>
        <w:t>盖家川</w:t>
      </w:r>
    </w:p>
    <w:p>
      <w:pPr>
        <w:ind w:firstLine="480"/>
        <w:rPr>
          <w:color w:val="000000" w:themeColor="text1"/>
        </w:rPr>
      </w:pPr>
      <w:r>
        <w:rPr>
          <w:rFonts w:hint="eastAsia"/>
          <w:color w:val="000000" w:themeColor="text1"/>
        </w:rPr>
        <w:t>何家畔村</w:t>
      </w:r>
      <w:r>
        <w:rPr>
          <w:color w:val="000000" w:themeColor="text1"/>
        </w:rPr>
        <w:t>污水厂污水入</w:t>
      </w:r>
      <w:r>
        <w:rPr>
          <w:rFonts w:hint="eastAsia"/>
          <w:color w:val="000000" w:themeColor="text1"/>
        </w:rPr>
        <w:t>盖家川</w:t>
      </w:r>
      <w:r>
        <w:rPr>
          <w:color w:val="000000" w:themeColor="text1"/>
        </w:rPr>
        <w:t>河口附近水域：入</w:t>
      </w:r>
      <w:r>
        <w:rPr>
          <w:rFonts w:hint="eastAsia"/>
          <w:color w:val="000000" w:themeColor="text1"/>
        </w:rPr>
        <w:t>盖家川</w:t>
      </w:r>
      <w:r>
        <w:rPr>
          <w:color w:val="000000" w:themeColor="text1"/>
        </w:rPr>
        <w:t>河口上游 500m（对照断面）、入</w:t>
      </w:r>
      <w:r>
        <w:rPr>
          <w:rFonts w:hint="eastAsia"/>
          <w:color w:val="000000" w:themeColor="text1"/>
        </w:rPr>
        <w:t>盖家川</w:t>
      </w:r>
      <w:r>
        <w:rPr>
          <w:color w:val="000000" w:themeColor="text1"/>
        </w:rPr>
        <w:t>河口（水功能区控制断面）、入</w:t>
      </w:r>
      <w:r>
        <w:rPr>
          <w:rFonts w:hint="eastAsia"/>
          <w:color w:val="000000" w:themeColor="text1"/>
        </w:rPr>
        <w:t>盖家川</w:t>
      </w:r>
      <w:r>
        <w:rPr>
          <w:color w:val="000000" w:themeColor="text1"/>
        </w:rPr>
        <w:t>河口下游</w:t>
      </w:r>
      <w:r>
        <w:rPr>
          <w:rFonts w:hint="eastAsia"/>
          <w:color w:val="000000" w:themeColor="text1"/>
        </w:rPr>
        <w:t>15</w:t>
      </w:r>
      <w:r>
        <w:rPr>
          <w:color w:val="000000" w:themeColor="text1"/>
        </w:rPr>
        <w:t>00m（水功能区消减断面）</w:t>
      </w:r>
      <w:r>
        <w:rPr>
          <w:rFonts w:hint="eastAsia"/>
          <w:color w:val="000000" w:themeColor="text1"/>
        </w:rPr>
        <w:t>、入马莲河口</w:t>
      </w:r>
      <w:r>
        <w:rPr>
          <w:color w:val="000000" w:themeColor="text1"/>
        </w:rPr>
        <w:t>。</w:t>
      </w:r>
    </w:p>
    <w:p>
      <w:pPr>
        <w:ind w:firstLine="480"/>
      </w:pPr>
      <w:r>
        <w:t>（2）监测因子</w:t>
      </w:r>
    </w:p>
    <w:p>
      <w:pPr>
        <w:ind w:firstLine="480"/>
      </w:pPr>
      <w:r>
        <w:t>1）</w:t>
      </w:r>
      <w:r>
        <w:rPr>
          <w:rFonts w:hint="eastAsia"/>
        </w:rPr>
        <w:t>合水县何家畔村</w:t>
      </w:r>
      <w:r>
        <w:t>污水处理厂排污口</w:t>
      </w:r>
    </w:p>
    <w:p>
      <w:pPr>
        <w:ind w:firstLine="480"/>
      </w:pPr>
      <w:r>
        <w:t>流量、水温、pH 值、SS、COD、BOD、氨氮、总磷、总氮、挥发酚、石油类、动植物油、硫化物、阴离子表面活性剂、粪大肠菌群，共 15 项。</w:t>
      </w:r>
    </w:p>
    <w:p>
      <w:pPr>
        <w:ind w:firstLine="480"/>
      </w:pPr>
      <w:r>
        <w:t>2）</w:t>
      </w:r>
      <w:r>
        <w:rPr>
          <w:rFonts w:hint="eastAsia"/>
        </w:rPr>
        <w:t>盖家川</w:t>
      </w:r>
    </w:p>
    <w:p>
      <w:pPr>
        <w:ind w:firstLine="480"/>
      </w:pPr>
      <w:r>
        <w:t>流量、水温、pH 值、溶解氧（D0）、高锰酸盐指数、COD、BOD、氨氮、 总磷、总氮、挥发酚、石油类、动植物油、硫化物、阴离子表面活性剂，共 24 项。</w:t>
      </w:r>
    </w:p>
    <w:p>
      <w:pPr>
        <w:ind w:firstLine="480"/>
      </w:pPr>
      <w:r>
        <w:t xml:space="preserve">（3）监测频次 </w:t>
      </w:r>
    </w:p>
    <w:p>
      <w:pPr>
        <w:ind w:firstLine="480"/>
      </w:pPr>
      <w:r>
        <w:t>每月监测一次。在河段发生突发水污染事故或旱情紧急情况时，应按照主管部门要求加大监测频次。</w:t>
      </w:r>
    </w:p>
    <w:p>
      <w:pPr>
        <w:ind w:firstLine="480"/>
      </w:pPr>
      <w:r>
        <w:t xml:space="preserve">（4）监测方法 </w:t>
      </w:r>
    </w:p>
    <w:p>
      <w:pPr>
        <w:ind w:firstLine="480"/>
      </w:pPr>
      <w:r>
        <w:t>按照国家或水利、环保等行业标准方法进行测定。</w:t>
      </w:r>
    </w:p>
    <w:p>
      <w:pPr>
        <w:pStyle w:val="4"/>
      </w:pPr>
      <w:r>
        <w:rPr>
          <w:rFonts w:hint="eastAsia"/>
        </w:rPr>
        <w:t>7.1.5 建立信息报送制度</w:t>
      </w:r>
    </w:p>
    <w:p>
      <w:pPr>
        <w:ind w:firstLine="480"/>
      </w:pPr>
      <w:r>
        <w:t>入河排污口设置单位定期向主管部门如实报送上一年度入河排污口有关情况的</w:t>
      </w:r>
      <w:r>
        <w:rPr>
          <w:rFonts w:hint="eastAsia"/>
        </w:rPr>
        <w:t>报表。</w:t>
      </w:r>
    </w:p>
    <w:p>
      <w:pPr>
        <w:ind w:firstLine="480"/>
      </w:pPr>
      <w:r>
        <w:rPr>
          <w:rFonts w:hint="eastAsia"/>
        </w:rPr>
        <w:t>主管部门每年按照规定的审批权限，对排污口开展监督性检查和年审工作，不</w:t>
      </w:r>
      <w:r>
        <w:t>定期组织排污口第三方监督性监测，并向上级主管部门报告排水水质、水量及污染物排放状况的统计报表。</w:t>
      </w:r>
    </w:p>
    <w:p>
      <w:pPr>
        <w:pStyle w:val="3"/>
      </w:pPr>
      <w:bookmarkStart w:id="51" w:name="_Toc57964380"/>
      <w:r>
        <w:rPr>
          <w:rFonts w:hint="eastAsia"/>
        </w:rPr>
        <w:t>7.2 应急措施</w:t>
      </w:r>
      <w:bookmarkEnd w:id="51"/>
    </w:p>
    <w:p>
      <w:pPr>
        <w:ind w:firstLine="480"/>
      </w:pPr>
      <w:r>
        <w:t>（</w:t>
      </w:r>
      <w:r>
        <w:rPr>
          <w:rFonts w:cs="Times New Roman"/>
        </w:rPr>
        <w:t>1</w:t>
      </w:r>
      <w:r>
        <w:t>）事故防范措施对策</w:t>
      </w:r>
    </w:p>
    <w:p>
      <w:pPr>
        <w:ind w:firstLine="480"/>
      </w:pPr>
      <w:r>
        <w:t>重视管网及泵站的维护与管理，防止泥沙沉积堵塞而影响管道的过水能力。管道衔接处应防止泄漏，避免污染地下水和浸泡地基；淤塞应及时疏浚，保证管道通畅，以保证最大限度地收集生活污水和工业废水。</w:t>
      </w:r>
    </w:p>
    <w:p>
      <w:pPr>
        <w:ind w:firstLine="480"/>
      </w:pPr>
      <w:r>
        <w:t>对于各泵站应安排专人负责看管，加强对机械设备的日常维护，一旦发生事故 应及时抢修，避免因此而造成的污水溢流入附近水体。</w:t>
      </w:r>
    </w:p>
    <w:p>
      <w:pPr>
        <w:ind w:firstLine="480"/>
      </w:pPr>
      <w:r>
        <w:t>污水管网应制定严格的维修制度，园区各用户应严格执行国家、地方的有关排 放标准，特别需对所排放的工业废水加强水质管理，保证符合污水处理厂的接入标 准。</w:t>
      </w:r>
    </w:p>
    <w:p>
      <w:pPr>
        <w:ind w:firstLine="480"/>
      </w:pPr>
      <w:r>
        <w:t>（</w:t>
      </w:r>
      <w:r>
        <w:rPr>
          <w:rFonts w:cs="Times New Roman"/>
        </w:rPr>
        <w:t>2</w:t>
      </w:r>
      <w:r>
        <w:t>）污染事故的防治措施</w:t>
      </w:r>
    </w:p>
    <w:p>
      <w:pPr>
        <w:ind w:firstLine="480"/>
      </w:pPr>
      <w:r>
        <w:rPr>
          <w:rFonts w:hint="eastAsia" w:ascii="宋体" w:hAnsi="宋体"/>
        </w:rPr>
        <w:t>①</w:t>
      </w:r>
      <w:r>
        <w:t xml:space="preserve"> 停电事故 为防止污水处理厂断电，污水处理厂必须设计备用源。</w:t>
      </w:r>
    </w:p>
    <w:p>
      <w:pPr>
        <w:ind w:firstLine="480"/>
      </w:pPr>
      <w:r>
        <w:rPr>
          <w:rFonts w:hint="eastAsia" w:ascii="宋体" w:hAnsi="宋体"/>
        </w:rPr>
        <w:t>②</w:t>
      </w:r>
      <w:r>
        <w:rPr>
          <w:spacing w:val="7"/>
        </w:rPr>
        <w:t xml:space="preserve"> </w:t>
      </w:r>
      <w:r>
        <w:rPr>
          <w:spacing w:val="3"/>
        </w:rPr>
        <w:t>对于污水处理厂主要机电设备，在设计中均考虑了备用的设备。同时厂区</w:t>
      </w:r>
      <w:r>
        <w:t xml:space="preserve"> </w:t>
      </w:r>
      <w:r>
        <w:rPr>
          <w:rFonts w:cs="Times New Roman"/>
        </w:rPr>
        <w:t>24h</w:t>
      </w:r>
      <w:r>
        <w:t>有专人进行厂区巡检，在第一时间发现问题，并上报到厂区中央控制室，进行自动或手动切换。同时对故障设备进行检修，需要时及时联系设备厂家进行修理维 护。</w:t>
      </w:r>
    </w:p>
    <w:p>
      <w:pPr>
        <w:ind w:firstLine="480"/>
      </w:pPr>
      <w:r>
        <w:t>如果厂区电气设备出现故障，故障设备会首先启动报警系统，迅速将信号传递 到中央控制室，并自动的将相关的设备切换到手动操作，由厂区的工作人员完成。 而且所有厂区的设备都设置有手动操作按钮，自动阀门都加有手动阀门，以确保在 电气系统出现故障后污水处理厂能够继续运转。</w:t>
      </w:r>
    </w:p>
    <w:p>
      <w:pPr>
        <w:ind w:firstLine="480"/>
      </w:pPr>
      <w:r>
        <w:t>污水处理厂每天还安排专门的技术人员对厂区内的所有设备进行检查、维护和 保养，以保证厂区内所有的设备都处于正常工作状态。</w:t>
      </w:r>
    </w:p>
    <w:p>
      <w:pPr>
        <w:ind w:firstLine="480"/>
      </w:pPr>
      <w:r>
        <w:t>（</w:t>
      </w:r>
      <w:r>
        <w:rPr>
          <w:rFonts w:cs="Times New Roman"/>
        </w:rPr>
        <w:t>3</w:t>
      </w:r>
      <w:r>
        <w:t xml:space="preserve">）突发事故对策和应急方案 </w:t>
      </w:r>
    </w:p>
    <w:p>
      <w:pPr>
        <w:ind w:firstLine="480"/>
      </w:pPr>
      <w:r>
        <w:t>工程运行管理单位必须编制《</w:t>
      </w:r>
      <w:r>
        <w:rPr>
          <w:rFonts w:hint="eastAsia"/>
        </w:rPr>
        <w:t>合水县何家畔村</w:t>
      </w:r>
      <w:r>
        <w:t>污水处理厂突发性水污染事故排放应急预案》，并上报相关主管部门备案。在污水收集、输送和处理过程中，一旦出现突发性事故，必须按预先拟定的方案，进行紧急处理。</w:t>
      </w:r>
    </w:p>
    <w:p>
      <w:pPr>
        <w:ind w:firstLine="480"/>
      </w:pPr>
      <w:r>
        <w:t>（</w:t>
      </w:r>
      <w:r>
        <w:rPr>
          <w:rFonts w:cs="Times New Roman"/>
        </w:rPr>
        <w:t>4</w:t>
      </w:r>
      <w:r>
        <w:t>）应急监测 当发生突发性水污染事故或者污染防治设施运行不正常时，可能产生比正常生</w:t>
      </w:r>
      <w:r>
        <w:rPr>
          <w:spacing w:val="-4"/>
        </w:rPr>
        <w:t>产情况下更加严重的水环境污染，必须马上对事故状态可能造成的污染源及时分析、</w:t>
      </w:r>
      <w:r>
        <w:rPr>
          <w:spacing w:val="-92"/>
        </w:rPr>
        <w:t xml:space="preserve"> </w:t>
      </w:r>
      <w:r>
        <w:t>立即监测，可能产生的事故以及相应的监测情况见表</w:t>
      </w:r>
      <w:r>
        <w:rPr>
          <w:spacing w:val="-61"/>
        </w:rPr>
        <w:t xml:space="preserve"> </w:t>
      </w:r>
      <w:r>
        <w:rPr>
          <w:rFonts w:cs="Times New Roman"/>
        </w:rPr>
        <w:t>7.2-1</w:t>
      </w:r>
      <w:r>
        <w:t>。</w:t>
      </w:r>
    </w:p>
    <w:p>
      <w:pPr>
        <w:tabs>
          <w:tab w:val="left" w:pos="3765"/>
        </w:tabs>
        <w:ind w:left="220" w:right="47" w:firstLine="422"/>
        <w:jc w:val="center"/>
        <w:rPr>
          <w:b/>
          <w:bCs/>
          <w:sz w:val="21"/>
          <w:szCs w:val="21"/>
        </w:rPr>
      </w:pPr>
    </w:p>
    <w:p>
      <w:pPr>
        <w:tabs>
          <w:tab w:val="left" w:pos="3765"/>
        </w:tabs>
        <w:ind w:left="220" w:right="47" w:firstLine="422"/>
        <w:jc w:val="center"/>
        <w:rPr>
          <w:b/>
          <w:bCs/>
          <w:sz w:val="21"/>
          <w:szCs w:val="21"/>
        </w:rPr>
      </w:pPr>
    </w:p>
    <w:p>
      <w:pPr>
        <w:tabs>
          <w:tab w:val="left" w:pos="3765"/>
        </w:tabs>
        <w:ind w:left="220" w:right="47" w:firstLine="422"/>
        <w:jc w:val="center"/>
        <w:rPr>
          <w:b/>
          <w:bCs/>
          <w:sz w:val="21"/>
          <w:szCs w:val="21"/>
        </w:rPr>
      </w:pPr>
    </w:p>
    <w:p>
      <w:pPr>
        <w:tabs>
          <w:tab w:val="left" w:pos="3765"/>
        </w:tabs>
        <w:ind w:left="220" w:right="47" w:firstLine="422"/>
        <w:jc w:val="center"/>
        <w:rPr>
          <w:sz w:val="21"/>
          <w:szCs w:val="21"/>
        </w:rPr>
      </w:pPr>
      <w:r>
        <w:rPr>
          <w:b/>
          <w:bCs/>
          <w:sz w:val="21"/>
          <w:szCs w:val="21"/>
        </w:rPr>
        <w:t>表</w:t>
      </w:r>
      <w:r>
        <w:rPr>
          <w:b/>
          <w:bCs/>
          <w:spacing w:val="-54"/>
          <w:sz w:val="21"/>
          <w:szCs w:val="21"/>
        </w:rPr>
        <w:t xml:space="preserve"> </w:t>
      </w:r>
      <w:r>
        <w:rPr>
          <w:rFonts w:eastAsia="Times New Roman" w:cs="Times New Roman"/>
          <w:b/>
          <w:bCs/>
          <w:sz w:val="21"/>
          <w:szCs w:val="21"/>
        </w:rPr>
        <w:t>7.2-1</w:t>
      </w:r>
      <w:r>
        <w:rPr>
          <w:rFonts w:hint="eastAsia" w:cs="Times New Roman" w:eastAsiaTheme="minorEastAsia"/>
          <w:b/>
          <w:bCs/>
          <w:sz w:val="21"/>
          <w:szCs w:val="21"/>
        </w:rPr>
        <w:t xml:space="preserve">  </w:t>
      </w:r>
      <w:r>
        <w:rPr>
          <w:b/>
          <w:bCs/>
          <w:sz w:val="21"/>
          <w:szCs w:val="21"/>
        </w:rPr>
        <w:t>事故应急监测</w:t>
      </w:r>
    </w:p>
    <w:p>
      <w:pPr>
        <w:spacing w:before="8"/>
        <w:ind w:firstLine="161"/>
        <w:rPr>
          <w:b/>
          <w:bCs/>
          <w:sz w:val="8"/>
          <w:szCs w:val="8"/>
        </w:rPr>
      </w:pPr>
    </w:p>
    <w:tbl>
      <w:tblPr>
        <w:tblStyle w:val="31"/>
        <w:tblW w:w="0" w:type="auto"/>
        <w:tblInd w:w="107" w:type="dxa"/>
        <w:tblLayout w:type="fixed"/>
        <w:tblCellMar>
          <w:top w:w="0" w:type="dxa"/>
          <w:left w:w="0" w:type="dxa"/>
          <w:bottom w:w="0" w:type="dxa"/>
          <w:right w:w="0" w:type="dxa"/>
        </w:tblCellMar>
      </w:tblPr>
      <w:tblGrid>
        <w:gridCol w:w="3056"/>
        <w:gridCol w:w="2938"/>
        <w:gridCol w:w="3260"/>
      </w:tblGrid>
      <w:tr>
        <w:tblPrEx>
          <w:tblCellMar>
            <w:top w:w="0" w:type="dxa"/>
            <w:left w:w="0" w:type="dxa"/>
            <w:bottom w:w="0" w:type="dxa"/>
            <w:right w:w="0" w:type="dxa"/>
          </w:tblCellMar>
        </w:tblPrEx>
        <w:trPr>
          <w:trHeight w:val="482" w:hRule="exact"/>
        </w:trPr>
        <w:tc>
          <w:tcPr>
            <w:tcW w:w="3056" w:type="dxa"/>
            <w:tcBorders>
              <w:top w:val="single" w:color="000000" w:sz="4" w:space="0"/>
              <w:left w:val="single" w:color="000000" w:sz="4" w:space="0"/>
              <w:bottom w:val="single" w:color="000000" w:sz="4" w:space="0"/>
              <w:right w:val="single" w:color="000000" w:sz="4" w:space="0"/>
            </w:tcBorders>
            <w:vAlign w:val="center"/>
          </w:tcPr>
          <w:p>
            <w:pPr>
              <w:pStyle w:val="32"/>
              <w:spacing w:before="69"/>
              <w:ind w:firstLine="0" w:firstLineChars="0"/>
              <w:rPr>
                <w:rFonts w:asciiTheme="minorHAnsi" w:hAnsiTheme="minorHAnsi" w:eastAsiaTheme="minorEastAsia"/>
                <w:b/>
                <w:sz w:val="21"/>
                <w:szCs w:val="21"/>
              </w:rPr>
            </w:pPr>
            <w:r>
              <w:rPr>
                <w:rFonts w:asciiTheme="minorHAnsi" w:hAnsiTheme="minorHAnsi" w:eastAsiaTheme="minorEastAsia"/>
                <w:b/>
                <w:sz w:val="21"/>
                <w:szCs w:val="21"/>
              </w:rPr>
              <w:t>事故</w:t>
            </w:r>
          </w:p>
        </w:tc>
        <w:tc>
          <w:tcPr>
            <w:tcW w:w="2938" w:type="dxa"/>
            <w:tcBorders>
              <w:top w:val="single" w:color="000000" w:sz="4" w:space="0"/>
              <w:left w:val="single" w:color="000000" w:sz="4" w:space="0"/>
              <w:bottom w:val="single" w:color="000000" w:sz="4" w:space="0"/>
              <w:right w:val="single" w:color="000000" w:sz="4" w:space="0"/>
            </w:tcBorders>
            <w:vAlign w:val="center"/>
          </w:tcPr>
          <w:p>
            <w:pPr>
              <w:pStyle w:val="32"/>
              <w:spacing w:before="69"/>
              <w:ind w:firstLine="0" w:firstLineChars="0"/>
              <w:rPr>
                <w:rFonts w:asciiTheme="minorHAnsi" w:hAnsiTheme="minorHAnsi" w:eastAsiaTheme="minorEastAsia"/>
                <w:b/>
                <w:sz w:val="21"/>
                <w:szCs w:val="21"/>
              </w:rPr>
            </w:pPr>
            <w:r>
              <w:rPr>
                <w:rFonts w:asciiTheme="minorHAnsi" w:hAnsiTheme="minorHAnsi" w:eastAsiaTheme="minorEastAsia"/>
                <w:b/>
                <w:sz w:val="21"/>
                <w:szCs w:val="21"/>
              </w:rPr>
              <w:t>监测项目</w:t>
            </w:r>
          </w:p>
        </w:tc>
        <w:tc>
          <w:tcPr>
            <w:tcW w:w="3260" w:type="dxa"/>
            <w:tcBorders>
              <w:top w:val="single" w:color="000000" w:sz="4" w:space="0"/>
              <w:left w:val="single" w:color="000000" w:sz="4" w:space="0"/>
              <w:bottom w:val="single" w:color="000000" w:sz="4" w:space="0"/>
              <w:right w:val="single" w:color="000000" w:sz="4" w:space="0"/>
            </w:tcBorders>
            <w:vAlign w:val="center"/>
          </w:tcPr>
          <w:p>
            <w:pPr>
              <w:pStyle w:val="32"/>
              <w:spacing w:before="69"/>
              <w:ind w:firstLineChars="95"/>
              <w:rPr>
                <w:rFonts w:asciiTheme="minorHAnsi" w:hAnsiTheme="minorHAnsi" w:eastAsiaTheme="minorEastAsia"/>
                <w:b/>
                <w:sz w:val="21"/>
                <w:szCs w:val="21"/>
              </w:rPr>
            </w:pPr>
            <w:r>
              <w:rPr>
                <w:rFonts w:asciiTheme="minorHAnsi" w:hAnsiTheme="minorHAnsi" w:eastAsiaTheme="minorEastAsia"/>
                <w:b/>
                <w:sz w:val="21"/>
                <w:szCs w:val="21"/>
              </w:rPr>
              <w:t>监测污染物</w:t>
            </w:r>
          </w:p>
        </w:tc>
      </w:tr>
      <w:tr>
        <w:tblPrEx>
          <w:tblCellMar>
            <w:top w:w="0" w:type="dxa"/>
            <w:left w:w="0" w:type="dxa"/>
            <w:bottom w:w="0" w:type="dxa"/>
            <w:right w:w="0" w:type="dxa"/>
          </w:tblCellMar>
        </w:tblPrEx>
        <w:trPr>
          <w:trHeight w:val="955" w:hRule="exact"/>
        </w:trPr>
        <w:tc>
          <w:tcPr>
            <w:tcW w:w="3056" w:type="dxa"/>
            <w:tcBorders>
              <w:top w:val="single" w:color="000000" w:sz="4" w:space="0"/>
              <w:left w:val="single" w:color="000000" w:sz="4" w:space="0"/>
              <w:bottom w:val="single" w:color="000000" w:sz="4" w:space="0"/>
              <w:right w:val="single" w:color="000000" w:sz="4" w:space="0"/>
            </w:tcBorders>
            <w:vAlign w:val="center"/>
          </w:tcPr>
          <w:p>
            <w:pPr>
              <w:pStyle w:val="32"/>
              <w:spacing w:before="69"/>
              <w:ind w:left="2" w:firstLine="0" w:firstLineChars="0"/>
              <w:rPr>
                <w:rFonts w:asciiTheme="minorHAnsi" w:hAnsiTheme="minorHAnsi" w:eastAsiaTheme="minorEastAsia"/>
                <w:sz w:val="21"/>
                <w:szCs w:val="21"/>
                <w:lang w:eastAsia="zh-CN"/>
              </w:rPr>
            </w:pPr>
            <w:r>
              <w:rPr>
                <w:rFonts w:asciiTheme="minorHAnsi" w:hAnsiTheme="minorHAnsi" w:eastAsiaTheme="minorEastAsia"/>
                <w:sz w:val="21"/>
                <w:szCs w:val="21"/>
                <w:lang w:eastAsia="zh-CN"/>
              </w:rPr>
              <w:t>生产不正常，污水量和污染物浓度增加</w:t>
            </w:r>
          </w:p>
        </w:tc>
        <w:tc>
          <w:tcPr>
            <w:tcW w:w="2938" w:type="dxa"/>
            <w:tcBorders>
              <w:top w:val="single" w:color="000000" w:sz="4" w:space="0"/>
              <w:left w:val="single" w:color="000000" w:sz="4" w:space="0"/>
              <w:bottom w:val="single" w:color="000000" w:sz="4" w:space="0"/>
              <w:right w:val="single" w:color="000000" w:sz="4" w:space="0"/>
            </w:tcBorders>
            <w:vAlign w:val="center"/>
          </w:tcPr>
          <w:p>
            <w:pPr>
              <w:pStyle w:val="32"/>
              <w:ind w:firstLine="0" w:firstLineChars="0"/>
              <w:rPr>
                <w:rFonts w:asciiTheme="minorHAnsi" w:hAnsiTheme="minorHAnsi" w:eastAsiaTheme="minorEastAsia"/>
                <w:sz w:val="21"/>
                <w:szCs w:val="21"/>
                <w:lang w:eastAsia="zh-CN"/>
              </w:rPr>
            </w:pPr>
            <w:r>
              <w:rPr>
                <w:rFonts w:asciiTheme="minorHAnsi" w:hAnsiTheme="minorHAnsi" w:eastAsiaTheme="minorEastAsia"/>
                <w:sz w:val="21"/>
                <w:szCs w:val="21"/>
                <w:lang w:eastAsia="zh-CN"/>
              </w:rPr>
              <w:t>污水处理厂进水、出水</w:t>
            </w:r>
          </w:p>
        </w:tc>
        <w:tc>
          <w:tcPr>
            <w:tcW w:w="3260" w:type="dxa"/>
            <w:tcBorders>
              <w:top w:val="single" w:color="000000" w:sz="4" w:space="0"/>
              <w:left w:val="single" w:color="000000" w:sz="4" w:space="0"/>
              <w:bottom w:val="single" w:color="000000" w:sz="4" w:space="0"/>
              <w:right w:val="single" w:color="000000" w:sz="4" w:space="0"/>
            </w:tcBorders>
            <w:vAlign w:val="center"/>
          </w:tcPr>
          <w:p>
            <w:pPr>
              <w:pStyle w:val="32"/>
              <w:ind w:firstLine="0" w:firstLineChars="0"/>
              <w:rPr>
                <w:rFonts w:eastAsia="Times New Roman" w:cs="Times New Roman" w:asciiTheme="minorHAnsi" w:hAnsiTheme="minorHAnsi"/>
                <w:sz w:val="21"/>
                <w:szCs w:val="21"/>
              </w:rPr>
            </w:pPr>
            <w:r>
              <w:rPr>
                <w:rFonts w:eastAsia="Times New Roman" w:cs="Times New Roman" w:asciiTheme="minorHAnsi" w:hAnsiTheme="minorHAnsi"/>
                <w:sz w:val="21"/>
                <w:szCs w:val="21"/>
              </w:rPr>
              <w:t>pH</w:t>
            </w:r>
            <w:r>
              <w:rPr>
                <w:rFonts w:asciiTheme="minorHAnsi" w:hAnsiTheme="minorHAnsi" w:eastAsiaTheme="minorEastAsia"/>
                <w:sz w:val="21"/>
                <w:szCs w:val="21"/>
              </w:rPr>
              <w:t>、</w:t>
            </w:r>
            <w:r>
              <w:rPr>
                <w:rFonts w:eastAsia="Times New Roman" w:cs="Times New Roman" w:asciiTheme="minorHAnsi" w:hAnsiTheme="minorHAnsi"/>
                <w:sz w:val="21"/>
                <w:szCs w:val="21"/>
              </w:rPr>
              <w:t>COD</w:t>
            </w:r>
            <w:r>
              <w:rPr>
                <w:rFonts w:asciiTheme="minorHAnsi" w:hAnsiTheme="minorHAnsi" w:eastAsiaTheme="minorEastAsia"/>
                <w:sz w:val="21"/>
                <w:szCs w:val="21"/>
              </w:rPr>
              <w:t>、</w:t>
            </w:r>
            <w:r>
              <w:rPr>
                <w:rFonts w:eastAsia="Times New Roman" w:cs="Times New Roman" w:asciiTheme="minorHAnsi" w:hAnsiTheme="minorHAnsi"/>
                <w:sz w:val="21"/>
                <w:szCs w:val="21"/>
              </w:rPr>
              <w:t>NH</w:t>
            </w:r>
            <w:r>
              <w:rPr>
                <w:rFonts w:eastAsia="Times New Roman" w:cs="Times New Roman" w:asciiTheme="minorHAnsi" w:hAnsiTheme="minorHAnsi"/>
                <w:position w:val="-2"/>
                <w:sz w:val="14"/>
                <w:szCs w:val="14"/>
              </w:rPr>
              <w:t>3</w:t>
            </w:r>
            <w:r>
              <w:rPr>
                <w:rFonts w:eastAsia="Times New Roman" w:cs="Times New Roman" w:asciiTheme="minorHAnsi" w:hAnsiTheme="minorHAnsi"/>
                <w:sz w:val="21"/>
                <w:szCs w:val="21"/>
              </w:rPr>
              <w:t>-N</w:t>
            </w:r>
            <w:r>
              <w:rPr>
                <w:rFonts w:asciiTheme="minorHAnsi" w:hAnsiTheme="minorHAnsi" w:eastAsiaTheme="minorEastAsia"/>
                <w:sz w:val="21"/>
                <w:szCs w:val="21"/>
              </w:rPr>
              <w:t>、</w:t>
            </w:r>
            <w:r>
              <w:rPr>
                <w:rFonts w:eastAsia="Times New Roman" w:cs="Times New Roman" w:asciiTheme="minorHAnsi" w:hAnsiTheme="minorHAnsi"/>
                <w:sz w:val="21"/>
                <w:szCs w:val="21"/>
              </w:rPr>
              <w:t>TP</w:t>
            </w:r>
          </w:p>
        </w:tc>
      </w:tr>
      <w:tr>
        <w:tblPrEx>
          <w:tblCellMar>
            <w:top w:w="0" w:type="dxa"/>
            <w:left w:w="0" w:type="dxa"/>
            <w:bottom w:w="0" w:type="dxa"/>
            <w:right w:w="0" w:type="dxa"/>
          </w:tblCellMar>
        </w:tblPrEx>
        <w:trPr>
          <w:trHeight w:val="1003" w:hRule="exact"/>
        </w:trPr>
        <w:tc>
          <w:tcPr>
            <w:tcW w:w="3056" w:type="dxa"/>
            <w:tcBorders>
              <w:top w:val="single" w:color="000000" w:sz="4" w:space="0"/>
              <w:left w:val="single" w:color="000000" w:sz="4" w:space="0"/>
              <w:bottom w:val="single" w:color="000000" w:sz="4" w:space="0"/>
              <w:right w:val="single" w:color="000000" w:sz="4" w:space="0"/>
            </w:tcBorders>
            <w:vAlign w:val="center"/>
          </w:tcPr>
          <w:p>
            <w:pPr>
              <w:pStyle w:val="32"/>
              <w:ind w:firstLine="0" w:firstLineChars="0"/>
              <w:rPr>
                <w:rFonts w:asciiTheme="minorHAnsi" w:hAnsiTheme="minorHAnsi" w:eastAsiaTheme="minorEastAsia"/>
                <w:sz w:val="21"/>
                <w:szCs w:val="21"/>
                <w:lang w:eastAsia="zh-CN"/>
              </w:rPr>
            </w:pPr>
            <w:r>
              <w:rPr>
                <w:rFonts w:asciiTheme="minorHAnsi" w:hAnsiTheme="minorHAnsi" w:eastAsiaTheme="minorEastAsia"/>
                <w:sz w:val="21"/>
                <w:szCs w:val="21"/>
                <w:lang w:eastAsia="zh-CN"/>
              </w:rPr>
              <w:t>污水处理厂运行不正常</w:t>
            </w:r>
          </w:p>
        </w:tc>
        <w:tc>
          <w:tcPr>
            <w:tcW w:w="2938" w:type="dxa"/>
            <w:tcBorders>
              <w:top w:val="single" w:color="000000" w:sz="4" w:space="0"/>
              <w:left w:val="single" w:color="000000" w:sz="4" w:space="0"/>
              <w:bottom w:val="single" w:color="000000" w:sz="4" w:space="0"/>
              <w:right w:val="single" w:color="000000" w:sz="4" w:space="0"/>
            </w:tcBorders>
            <w:vAlign w:val="center"/>
          </w:tcPr>
          <w:p>
            <w:pPr>
              <w:pStyle w:val="32"/>
              <w:spacing w:before="69"/>
              <w:ind w:firstLine="0" w:firstLineChars="0"/>
              <w:rPr>
                <w:rFonts w:asciiTheme="minorHAnsi" w:hAnsiTheme="minorHAnsi" w:eastAsiaTheme="minorEastAsia"/>
                <w:sz w:val="21"/>
                <w:szCs w:val="21"/>
                <w:lang w:eastAsia="zh-CN"/>
              </w:rPr>
            </w:pPr>
            <w:r>
              <w:rPr>
                <w:rFonts w:asciiTheme="minorHAnsi" w:hAnsiTheme="minorHAnsi" w:eastAsiaTheme="minorEastAsia"/>
                <w:sz w:val="21"/>
                <w:szCs w:val="21"/>
                <w:lang w:eastAsia="zh-CN"/>
              </w:rPr>
              <w:t>污水处理厂进水、出水</w:t>
            </w:r>
          </w:p>
          <w:p>
            <w:pPr>
              <w:pStyle w:val="32"/>
              <w:ind w:firstLine="0" w:firstLineChars="0"/>
              <w:rPr>
                <w:rFonts w:asciiTheme="minorHAnsi" w:hAnsiTheme="minorHAnsi" w:eastAsiaTheme="minorEastAsia"/>
                <w:sz w:val="21"/>
                <w:szCs w:val="21"/>
                <w:lang w:eastAsia="zh-CN"/>
              </w:rPr>
            </w:pPr>
            <w:r>
              <w:rPr>
                <w:rFonts w:asciiTheme="minorHAnsi" w:hAnsiTheme="minorHAnsi" w:eastAsiaTheme="minorEastAsia"/>
                <w:sz w:val="21"/>
                <w:szCs w:val="21"/>
                <w:lang w:eastAsia="zh-CN"/>
              </w:rPr>
              <w:t>污水处理厂各环节进水</w:t>
            </w:r>
          </w:p>
        </w:tc>
        <w:tc>
          <w:tcPr>
            <w:tcW w:w="3260" w:type="dxa"/>
            <w:tcBorders>
              <w:top w:val="single" w:color="000000" w:sz="4" w:space="0"/>
              <w:left w:val="single" w:color="000000" w:sz="4" w:space="0"/>
              <w:bottom w:val="single" w:color="000000" w:sz="4" w:space="0"/>
              <w:right w:val="single" w:color="000000" w:sz="4" w:space="0"/>
            </w:tcBorders>
            <w:vAlign w:val="center"/>
          </w:tcPr>
          <w:p>
            <w:pPr>
              <w:pStyle w:val="32"/>
              <w:ind w:firstLine="0" w:firstLineChars="0"/>
              <w:rPr>
                <w:rFonts w:eastAsia="Times New Roman" w:cs="Times New Roman" w:asciiTheme="minorHAnsi" w:hAnsiTheme="minorHAnsi"/>
                <w:sz w:val="21"/>
                <w:szCs w:val="21"/>
              </w:rPr>
            </w:pPr>
            <w:r>
              <w:rPr>
                <w:rFonts w:eastAsia="Times New Roman" w:cs="Times New Roman" w:asciiTheme="minorHAnsi" w:hAnsiTheme="minorHAnsi"/>
                <w:sz w:val="21"/>
                <w:szCs w:val="21"/>
              </w:rPr>
              <w:t>pH</w:t>
            </w:r>
            <w:r>
              <w:rPr>
                <w:rFonts w:asciiTheme="minorHAnsi" w:hAnsiTheme="minorHAnsi" w:eastAsiaTheme="minorEastAsia"/>
                <w:sz w:val="21"/>
                <w:szCs w:val="21"/>
              </w:rPr>
              <w:t>、</w:t>
            </w:r>
            <w:r>
              <w:rPr>
                <w:rFonts w:eastAsia="Times New Roman" w:cs="Times New Roman" w:asciiTheme="minorHAnsi" w:hAnsiTheme="minorHAnsi"/>
                <w:sz w:val="21"/>
                <w:szCs w:val="21"/>
              </w:rPr>
              <w:t>COD</w:t>
            </w:r>
            <w:r>
              <w:rPr>
                <w:rFonts w:asciiTheme="minorHAnsi" w:hAnsiTheme="minorHAnsi" w:eastAsiaTheme="minorEastAsia"/>
                <w:sz w:val="21"/>
                <w:szCs w:val="21"/>
              </w:rPr>
              <w:t>、</w:t>
            </w:r>
            <w:r>
              <w:rPr>
                <w:rFonts w:eastAsia="Times New Roman" w:cs="Times New Roman" w:asciiTheme="minorHAnsi" w:hAnsiTheme="minorHAnsi"/>
                <w:sz w:val="21"/>
                <w:szCs w:val="21"/>
              </w:rPr>
              <w:t>NH</w:t>
            </w:r>
            <w:r>
              <w:rPr>
                <w:rFonts w:eastAsia="Times New Roman" w:cs="Times New Roman" w:asciiTheme="minorHAnsi" w:hAnsiTheme="minorHAnsi"/>
                <w:position w:val="-2"/>
                <w:sz w:val="14"/>
                <w:szCs w:val="14"/>
              </w:rPr>
              <w:t>3</w:t>
            </w:r>
            <w:r>
              <w:rPr>
                <w:rFonts w:eastAsia="Times New Roman" w:cs="Times New Roman" w:asciiTheme="minorHAnsi" w:hAnsiTheme="minorHAnsi"/>
                <w:sz w:val="21"/>
                <w:szCs w:val="21"/>
              </w:rPr>
              <w:t>-N</w:t>
            </w:r>
            <w:r>
              <w:rPr>
                <w:rFonts w:asciiTheme="minorHAnsi" w:hAnsiTheme="minorHAnsi" w:eastAsiaTheme="minorEastAsia"/>
                <w:sz w:val="21"/>
                <w:szCs w:val="21"/>
              </w:rPr>
              <w:t>、</w:t>
            </w:r>
            <w:r>
              <w:rPr>
                <w:rFonts w:eastAsia="Times New Roman" w:cs="Times New Roman" w:asciiTheme="minorHAnsi" w:hAnsiTheme="minorHAnsi"/>
                <w:sz w:val="21"/>
                <w:szCs w:val="21"/>
              </w:rPr>
              <w:t>TP</w:t>
            </w:r>
          </w:p>
        </w:tc>
      </w:tr>
      <w:tr>
        <w:tblPrEx>
          <w:tblCellMar>
            <w:top w:w="0" w:type="dxa"/>
            <w:left w:w="0" w:type="dxa"/>
            <w:bottom w:w="0" w:type="dxa"/>
            <w:right w:w="0" w:type="dxa"/>
          </w:tblCellMar>
        </w:tblPrEx>
        <w:trPr>
          <w:trHeight w:val="989" w:hRule="exact"/>
        </w:trPr>
        <w:tc>
          <w:tcPr>
            <w:tcW w:w="3056" w:type="dxa"/>
            <w:tcBorders>
              <w:top w:val="single" w:color="000000" w:sz="4" w:space="0"/>
              <w:left w:val="single" w:color="000000" w:sz="4" w:space="0"/>
              <w:bottom w:val="single" w:color="000000" w:sz="4" w:space="0"/>
              <w:right w:val="single" w:color="000000" w:sz="4" w:space="0"/>
            </w:tcBorders>
            <w:vAlign w:val="center"/>
          </w:tcPr>
          <w:p>
            <w:pPr>
              <w:pStyle w:val="32"/>
              <w:ind w:firstLine="0" w:firstLineChars="0"/>
              <w:rPr>
                <w:rFonts w:asciiTheme="minorHAnsi" w:hAnsiTheme="minorHAnsi" w:eastAsiaTheme="minorEastAsia"/>
                <w:sz w:val="21"/>
                <w:szCs w:val="21"/>
              </w:rPr>
            </w:pPr>
            <w:r>
              <w:rPr>
                <w:rFonts w:asciiTheme="minorHAnsi" w:hAnsiTheme="minorHAnsi" w:eastAsiaTheme="minorEastAsia"/>
                <w:sz w:val="21"/>
                <w:szCs w:val="21"/>
              </w:rPr>
              <w:t>生产初期试运行</w:t>
            </w:r>
          </w:p>
        </w:tc>
        <w:tc>
          <w:tcPr>
            <w:tcW w:w="2938" w:type="dxa"/>
            <w:tcBorders>
              <w:top w:val="single" w:color="000000" w:sz="4" w:space="0"/>
              <w:left w:val="single" w:color="000000" w:sz="4" w:space="0"/>
              <w:bottom w:val="single" w:color="000000" w:sz="4" w:space="0"/>
              <w:right w:val="single" w:color="000000" w:sz="4" w:space="0"/>
            </w:tcBorders>
            <w:vAlign w:val="center"/>
          </w:tcPr>
          <w:p>
            <w:pPr>
              <w:pStyle w:val="32"/>
              <w:spacing w:before="69"/>
              <w:ind w:firstLine="0" w:firstLineChars="0"/>
              <w:rPr>
                <w:rFonts w:asciiTheme="minorHAnsi" w:hAnsiTheme="minorHAnsi" w:eastAsiaTheme="minorEastAsia"/>
                <w:sz w:val="21"/>
                <w:szCs w:val="21"/>
                <w:lang w:eastAsia="zh-CN"/>
              </w:rPr>
            </w:pPr>
            <w:r>
              <w:rPr>
                <w:rFonts w:asciiTheme="minorHAnsi" w:hAnsiTheme="minorHAnsi" w:eastAsiaTheme="minorEastAsia"/>
                <w:sz w:val="21"/>
                <w:szCs w:val="21"/>
                <w:lang w:eastAsia="zh-CN"/>
              </w:rPr>
              <w:t>污水处理厂进水、出水</w:t>
            </w:r>
          </w:p>
          <w:p>
            <w:pPr>
              <w:pStyle w:val="32"/>
              <w:ind w:firstLine="0" w:firstLineChars="0"/>
              <w:rPr>
                <w:rFonts w:asciiTheme="minorHAnsi" w:hAnsiTheme="minorHAnsi" w:eastAsiaTheme="minorEastAsia"/>
                <w:sz w:val="21"/>
                <w:szCs w:val="21"/>
                <w:lang w:eastAsia="zh-CN"/>
              </w:rPr>
            </w:pPr>
            <w:r>
              <w:rPr>
                <w:rFonts w:asciiTheme="minorHAnsi" w:hAnsiTheme="minorHAnsi" w:eastAsiaTheme="minorEastAsia"/>
                <w:sz w:val="21"/>
                <w:szCs w:val="21"/>
                <w:lang w:eastAsia="zh-CN"/>
              </w:rPr>
              <w:t>污水处理厂各环节进水</w:t>
            </w:r>
          </w:p>
        </w:tc>
        <w:tc>
          <w:tcPr>
            <w:tcW w:w="3260" w:type="dxa"/>
            <w:tcBorders>
              <w:top w:val="single" w:color="000000" w:sz="4" w:space="0"/>
              <w:left w:val="single" w:color="000000" w:sz="4" w:space="0"/>
              <w:bottom w:val="single" w:color="000000" w:sz="4" w:space="0"/>
              <w:right w:val="single" w:color="000000" w:sz="4" w:space="0"/>
            </w:tcBorders>
            <w:vAlign w:val="center"/>
          </w:tcPr>
          <w:p>
            <w:pPr>
              <w:pStyle w:val="32"/>
              <w:spacing w:before="69"/>
              <w:ind w:left="103" w:right="-3" w:firstLine="0" w:firstLineChars="0"/>
              <w:rPr>
                <w:rFonts w:asciiTheme="minorHAnsi" w:hAnsiTheme="minorHAnsi" w:eastAsiaTheme="minorEastAsia"/>
                <w:sz w:val="21"/>
                <w:szCs w:val="21"/>
              </w:rPr>
            </w:pPr>
            <w:r>
              <w:rPr>
                <w:rFonts w:eastAsia="Times New Roman" w:cs="Times New Roman" w:asciiTheme="minorHAnsi" w:hAnsiTheme="minorHAnsi"/>
                <w:spacing w:val="-19"/>
                <w:sz w:val="21"/>
                <w:szCs w:val="21"/>
              </w:rPr>
              <w:t>pH</w:t>
            </w:r>
            <w:r>
              <w:rPr>
                <w:rFonts w:asciiTheme="minorHAnsi" w:hAnsiTheme="minorHAnsi" w:eastAsiaTheme="minorEastAsia"/>
                <w:spacing w:val="-19"/>
                <w:sz w:val="21"/>
                <w:szCs w:val="21"/>
              </w:rPr>
              <w:t>、</w:t>
            </w:r>
            <w:r>
              <w:rPr>
                <w:rFonts w:eastAsia="Times New Roman" w:cs="Times New Roman" w:asciiTheme="minorHAnsi" w:hAnsiTheme="minorHAnsi"/>
                <w:spacing w:val="-19"/>
                <w:sz w:val="21"/>
                <w:szCs w:val="21"/>
              </w:rPr>
              <w:t>COD</w:t>
            </w:r>
            <w:r>
              <w:rPr>
                <w:rFonts w:asciiTheme="minorHAnsi" w:hAnsiTheme="minorHAnsi" w:eastAsiaTheme="minorEastAsia"/>
                <w:spacing w:val="-19"/>
                <w:sz w:val="21"/>
                <w:szCs w:val="21"/>
              </w:rPr>
              <w:t>、</w:t>
            </w:r>
            <w:r>
              <w:rPr>
                <w:rFonts w:eastAsia="Times New Roman" w:cs="Times New Roman" w:asciiTheme="minorHAnsi" w:hAnsiTheme="minorHAnsi"/>
                <w:spacing w:val="-19"/>
                <w:sz w:val="21"/>
                <w:szCs w:val="21"/>
              </w:rPr>
              <w:t>NH</w:t>
            </w:r>
            <w:r>
              <w:rPr>
                <w:rFonts w:eastAsia="Times New Roman" w:cs="Times New Roman" w:asciiTheme="minorHAnsi" w:hAnsiTheme="minorHAnsi"/>
                <w:spacing w:val="-19"/>
                <w:position w:val="-2"/>
                <w:sz w:val="14"/>
                <w:szCs w:val="14"/>
              </w:rPr>
              <w:t>3</w:t>
            </w:r>
            <w:r>
              <w:rPr>
                <w:rFonts w:eastAsia="Times New Roman" w:cs="Times New Roman" w:asciiTheme="minorHAnsi" w:hAnsiTheme="minorHAnsi"/>
                <w:spacing w:val="-19"/>
                <w:sz w:val="21"/>
                <w:szCs w:val="21"/>
              </w:rPr>
              <w:t>-N</w:t>
            </w:r>
            <w:r>
              <w:rPr>
                <w:rFonts w:asciiTheme="minorHAnsi" w:hAnsiTheme="minorHAnsi" w:eastAsiaTheme="minorEastAsia"/>
                <w:spacing w:val="-19"/>
                <w:sz w:val="21"/>
                <w:szCs w:val="21"/>
              </w:rPr>
              <w:t>、</w:t>
            </w:r>
            <w:r>
              <w:rPr>
                <w:rFonts w:eastAsia="Times New Roman" w:cs="Times New Roman" w:asciiTheme="minorHAnsi" w:hAnsiTheme="minorHAnsi"/>
                <w:spacing w:val="-19"/>
                <w:sz w:val="21"/>
                <w:szCs w:val="21"/>
              </w:rPr>
              <w:t>TP</w:t>
            </w:r>
            <w:r>
              <w:rPr>
                <w:rFonts w:asciiTheme="minorHAnsi" w:hAnsiTheme="minorHAnsi" w:eastAsiaTheme="minorEastAsia"/>
                <w:spacing w:val="-19"/>
                <w:sz w:val="21"/>
                <w:szCs w:val="21"/>
              </w:rPr>
              <w:t>、</w:t>
            </w:r>
            <w:r>
              <w:rPr>
                <w:rFonts w:eastAsia="Times New Roman" w:cs="Times New Roman" w:asciiTheme="minorHAnsi" w:hAnsiTheme="minorHAnsi"/>
                <w:spacing w:val="-19"/>
                <w:sz w:val="21"/>
                <w:szCs w:val="21"/>
              </w:rPr>
              <w:t>BOD</w:t>
            </w:r>
            <w:r>
              <w:rPr>
                <w:rFonts w:eastAsia="Times New Roman" w:cs="Times New Roman" w:asciiTheme="minorHAnsi" w:hAnsiTheme="minorHAnsi"/>
                <w:spacing w:val="-19"/>
                <w:position w:val="-2"/>
                <w:sz w:val="14"/>
                <w:szCs w:val="14"/>
              </w:rPr>
              <w:t>5</w:t>
            </w:r>
            <w:r>
              <w:rPr>
                <w:rFonts w:asciiTheme="minorHAnsi" w:hAnsiTheme="minorHAnsi" w:eastAsiaTheme="minorEastAsia"/>
                <w:spacing w:val="-19"/>
                <w:sz w:val="21"/>
                <w:szCs w:val="21"/>
              </w:rPr>
              <w:t>、</w:t>
            </w:r>
            <w:r>
              <w:rPr>
                <w:rFonts w:asciiTheme="minorHAnsi" w:hAnsiTheme="minorHAnsi" w:eastAsiaTheme="minorEastAsia"/>
                <w:sz w:val="21"/>
              </w:rPr>
              <w:t>SS</w:t>
            </w:r>
          </w:p>
        </w:tc>
      </w:tr>
    </w:tbl>
    <w:p>
      <w:pPr>
        <w:ind w:firstLine="480"/>
      </w:pPr>
      <w:r>
        <w:t>（</w:t>
      </w:r>
      <w:r>
        <w:rPr>
          <w:rFonts w:eastAsia="Times New Roman" w:cs="Times New Roman"/>
        </w:rPr>
        <w:t>5</w:t>
      </w:r>
      <w:r>
        <w:t>）建立事故性排放的报告制度。一旦事故性排放事件发生，应及时发现和处理，并迅速向当地政府及有关职能部门报告，配合当地政府对事故性排放进行处理，开展污染事故监测工作。做好排污河段水质的应急监测工作，增加监测频次和参数。</w:t>
      </w:r>
      <w:r>
        <w:rPr>
          <w:spacing w:val="-92"/>
        </w:rPr>
        <w:t xml:space="preserve"> </w:t>
      </w:r>
      <w:r>
        <w:t>及时将事故信息通知下游取水单位，并告知高浓度污染团到达取水口的大概时间，减少事故性排放的社会影响。</w:t>
      </w:r>
    </w:p>
    <w:p>
      <w:pPr>
        <w:ind w:firstLine="480"/>
      </w:pPr>
      <w:r>
        <w:t>（</w:t>
      </w:r>
      <w:r>
        <w:rPr>
          <w:rFonts w:eastAsia="Times New Roman" w:cs="Times New Roman"/>
        </w:rPr>
        <w:t>6</w:t>
      </w:r>
      <w:r>
        <w:t>）加强应对事故性排放处理设施设备及物质准备。当污水处理设施出现非正 常运行，废水排放超标时，应立即对发生事故的工艺构筑物停止进水，废水截流进入事故池，并安排专业技术人员对发生故障的废水处理设施进行故障排查与抢修</w:t>
      </w:r>
      <w:r>
        <w:rPr>
          <w:rFonts w:hint="eastAsia"/>
        </w:rPr>
        <w:t>。</w:t>
      </w:r>
      <w:r>
        <w:t>工程污水处理设施恢复正常后，将事故废水排入处理设施重新处理。</w:t>
      </w:r>
    </w:p>
    <w:p>
      <w:pPr>
        <w:ind w:firstLine="480"/>
        <w:rPr>
          <w:rFonts w:cs="Times New Roman" w:eastAsiaTheme="minorEastAsia"/>
        </w:rPr>
      </w:pPr>
      <w:r>
        <w:t>污水处理厂应设立事故池，事故池容积应包括可能流出厂界的全部流体体积之和，通常包括事故延续时间内消防用水量、事故装置可能溢流出液体、输送流体管道与设施残留液体、事故时雨水量，初步估算事故应急池应至少</w:t>
      </w:r>
      <w:r>
        <w:rPr>
          <w:rFonts w:hint="eastAsia" w:cs="Times New Roman" w:eastAsiaTheme="minorEastAsia"/>
        </w:rPr>
        <w:t>10</w:t>
      </w:r>
      <w:r>
        <w:rPr>
          <w:rFonts w:eastAsia="Times New Roman" w:cs="Times New Roman"/>
        </w:rPr>
        <w:t>0</w:t>
      </w:r>
      <w:r>
        <w:rPr>
          <w:rFonts w:hint="eastAsia" w:cs="Times New Roman" w:eastAsiaTheme="minorEastAsia"/>
        </w:rPr>
        <w:t>m³。</w:t>
      </w:r>
    </w:p>
    <w:p>
      <w:pPr>
        <w:ind w:firstLine="480"/>
        <w:rPr>
          <w:rFonts w:cs="Times New Roman" w:eastAsiaTheme="minorEastAsia"/>
        </w:rPr>
      </w:pPr>
      <w:r>
        <w:rPr>
          <w:rFonts w:cs="Times New Roman" w:eastAsiaTheme="minorEastAsia"/>
        </w:rPr>
        <w:br w:type="page"/>
      </w:r>
    </w:p>
    <w:p>
      <w:pPr>
        <w:pStyle w:val="2"/>
      </w:pPr>
      <w:bookmarkStart w:id="52" w:name="_Toc57964381"/>
      <w:r>
        <w:rPr>
          <w:rFonts w:hint="eastAsia"/>
        </w:rPr>
        <w:t xml:space="preserve">8 </w:t>
      </w:r>
      <w:r>
        <w:t>论证结论与建议</w:t>
      </w:r>
      <w:bookmarkEnd w:id="47"/>
      <w:bookmarkEnd w:id="48"/>
      <w:bookmarkEnd w:id="52"/>
    </w:p>
    <w:p>
      <w:pPr>
        <w:pStyle w:val="3"/>
      </w:pPr>
      <w:bookmarkStart w:id="53" w:name="_Toc45201438"/>
      <w:bookmarkStart w:id="54" w:name="_Toc57964382"/>
      <w:bookmarkStart w:id="55" w:name="_Toc45201379"/>
      <w:r>
        <w:rPr>
          <w:rFonts w:hint="eastAsia"/>
        </w:rPr>
        <w:t xml:space="preserve">8.1 </w:t>
      </w:r>
      <w:r>
        <w:t>论证结论</w:t>
      </w:r>
      <w:bookmarkEnd w:id="53"/>
      <w:bookmarkEnd w:id="54"/>
      <w:bookmarkEnd w:id="55"/>
    </w:p>
    <w:p>
      <w:pPr>
        <w:pStyle w:val="4"/>
      </w:pPr>
      <w:bookmarkStart w:id="56" w:name="_Toc45201380"/>
      <w:r>
        <w:rPr>
          <w:rFonts w:hint="eastAsia"/>
        </w:rPr>
        <w:t>8.1.1</w:t>
      </w:r>
      <w:r>
        <w:t>建设符合国家及地方相关产业政策，具有较好社会和环境效益</w:t>
      </w:r>
      <w:bookmarkEnd w:id="56"/>
    </w:p>
    <w:p>
      <w:pPr>
        <w:ind w:firstLine="480"/>
      </w:pPr>
      <w:r>
        <w:rPr>
          <w:rFonts w:hint="eastAsia"/>
        </w:rPr>
        <w:t>合水县何家畔村</w:t>
      </w:r>
      <w:r>
        <w:t>生活污水处置截污工程建设符合《“十三五”全国城镇污水处理及再生利用设施建设规划》、《庆阳市城市总体规划》、《庆阳市水污染防治工作方案（2015—2050 年）》、《庆阳市水资源综合规划》要求，对提高城市污水处理率、减少水污染物排放、提升城市环境卫生水平和人民群众生活质量、改善</w:t>
      </w:r>
      <w:r>
        <w:rPr>
          <w:rFonts w:hint="eastAsia"/>
        </w:rPr>
        <w:t>马莲河</w:t>
      </w:r>
      <w:r>
        <w:t>水环境、保护</w:t>
      </w:r>
      <w:r>
        <w:rPr>
          <w:rFonts w:hint="eastAsia"/>
        </w:rPr>
        <w:t>马莲河</w:t>
      </w:r>
      <w:r>
        <w:t>水资源具有积极作用。</w:t>
      </w:r>
    </w:p>
    <w:p>
      <w:pPr>
        <w:pStyle w:val="4"/>
      </w:pPr>
      <w:bookmarkStart w:id="57" w:name="_Toc45201381"/>
      <w:r>
        <w:rPr>
          <w:rFonts w:hint="eastAsia"/>
        </w:rPr>
        <w:t>8.1.2</w:t>
      </w:r>
      <w:r>
        <w:t>能够达到稳定达标排放，水污染减排效果明显</w:t>
      </w:r>
      <w:bookmarkEnd w:id="57"/>
    </w:p>
    <w:p>
      <w:pPr>
        <w:ind w:firstLine="480"/>
      </w:pPr>
      <w:r>
        <w:rPr>
          <w:rFonts w:hint="eastAsia"/>
        </w:rPr>
        <w:t>合水县何家畔镇何家畔村</w:t>
      </w:r>
      <w:r>
        <w:t>截污</w:t>
      </w:r>
      <w:r>
        <w:rPr>
          <w:rFonts w:hint="eastAsia"/>
        </w:rPr>
        <w:t>控源</w:t>
      </w:r>
      <w:r>
        <w:t>工程污水处理工艺采用</w:t>
      </w:r>
      <w:r>
        <w:rPr>
          <w:rFonts w:hint="eastAsia"/>
        </w:rPr>
        <w:t>多级生物</w:t>
      </w:r>
      <w:r>
        <w:t>接触</w:t>
      </w:r>
      <w:r>
        <w:rPr>
          <w:rFonts w:hint="eastAsia"/>
        </w:rPr>
        <w:t>氧化法</w:t>
      </w:r>
      <w:r>
        <w:t>。入河排污口排放尾水执行《城镇污水处理厂污染物排放标准》（GB18918-2002）一级A排放标准。</w:t>
      </w:r>
    </w:p>
    <w:p>
      <w:pPr>
        <w:ind w:firstLine="480"/>
      </w:pPr>
      <w:r>
        <w:t>按照</w:t>
      </w:r>
      <w:r>
        <w:rPr>
          <w:color w:val="000000" w:themeColor="text1"/>
        </w:rPr>
        <w:t>《初步设计》</w:t>
      </w:r>
      <w:r>
        <w:t>中相关设计规模及进出水条件测算，近期COD、BOD</w:t>
      </w:r>
      <w:r>
        <w:rPr>
          <w:vertAlign w:val="subscript"/>
        </w:rPr>
        <w:t>5</w:t>
      </w:r>
      <w:r>
        <w:t>，SS、氨氮、总磷每年减排量</w:t>
      </w:r>
      <w:r>
        <w:rPr>
          <w:color w:val="000000" w:themeColor="text1"/>
        </w:rPr>
        <w:t>为</w:t>
      </w:r>
      <w:r>
        <w:rPr>
          <w:rFonts w:hint="eastAsia"/>
          <w:color w:val="000000" w:themeColor="text1"/>
        </w:rPr>
        <w:t>32.85</w:t>
      </w:r>
      <w:r>
        <w:rPr>
          <w:color w:val="000000" w:themeColor="text1"/>
        </w:rPr>
        <w:t>t、</w:t>
      </w:r>
      <w:r>
        <w:rPr>
          <w:rFonts w:hint="eastAsia"/>
          <w:color w:val="000000" w:themeColor="text1"/>
        </w:rPr>
        <w:t>13.14</w:t>
      </w:r>
      <w:r>
        <w:rPr>
          <w:color w:val="000000" w:themeColor="text1"/>
        </w:rPr>
        <w:t>t、</w:t>
      </w:r>
      <w:r>
        <w:rPr>
          <w:rFonts w:hint="eastAsia"/>
          <w:color w:val="000000" w:themeColor="text1"/>
        </w:rPr>
        <w:t>13.87</w:t>
      </w:r>
      <w:r>
        <w:rPr>
          <w:color w:val="000000" w:themeColor="text1"/>
        </w:rPr>
        <w:t>t、</w:t>
      </w:r>
      <w:r>
        <w:rPr>
          <w:rFonts w:hint="eastAsia"/>
          <w:color w:val="000000" w:themeColor="text1"/>
        </w:rPr>
        <w:t>2.555</w:t>
      </w:r>
      <w:r>
        <w:rPr>
          <w:color w:val="000000" w:themeColor="text1"/>
        </w:rPr>
        <w:t>t、</w:t>
      </w:r>
      <w:r>
        <w:rPr>
          <w:rFonts w:hint="eastAsia"/>
          <w:color w:val="000000" w:themeColor="text1"/>
        </w:rPr>
        <w:t>0.2555</w:t>
      </w:r>
      <w:r>
        <w:rPr>
          <w:color w:val="000000" w:themeColor="text1"/>
        </w:rPr>
        <w:t>t，远期</w:t>
      </w:r>
      <w:r>
        <w:rPr>
          <w:rFonts w:hint="eastAsia"/>
          <w:color w:val="000000" w:themeColor="text1"/>
        </w:rPr>
        <w:t>COD、BOD5，SS、氨氮、总磷每年减排量为32.85t、13.14t、13.87t、2.555t、0.2555t</w:t>
      </w:r>
      <w:r>
        <w:rPr>
          <w:color w:val="000000" w:themeColor="text1"/>
        </w:rPr>
        <w:t>，</w:t>
      </w:r>
      <w:r>
        <w:t>减排效果明显。</w:t>
      </w:r>
    </w:p>
    <w:p>
      <w:pPr>
        <w:pStyle w:val="4"/>
      </w:pPr>
      <w:bookmarkStart w:id="58" w:name="_Toc45201382"/>
      <w:r>
        <w:rPr>
          <w:rFonts w:hint="eastAsia"/>
        </w:rPr>
        <w:t xml:space="preserve">8.1.3 </w:t>
      </w:r>
      <w:r>
        <w:t>设置入河排污口是必要的</w:t>
      </w:r>
      <w:bookmarkEnd w:id="58"/>
    </w:p>
    <w:p>
      <w:pPr>
        <w:ind w:firstLine="480"/>
      </w:pPr>
      <w:r>
        <w:rPr>
          <w:rFonts w:hint="eastAsia"/>
        </w:rPr>
        <w:t>合水县何家畔镇何家畔村</w:t>
      </w:r>
      <w:r>
        <w:t>截污</w:t>
      </w:r>
      <w:r>
        <w:rPr>
          <w:rFonts w:hint="eastAsia"/>
        </w:rPr>
        <w:t>控源</w:t>
      </w:r>
      <w:r>
        <w:t>工程入河排污口位于</w:t>
      </w:r>
      <w:r>
        <w:rPr>
          <w:rFonts w:hint="eastAsia"/>
        </w:rPr>
        <w:t>马莲河环县、庆城、合水、宁县工业、农业用水区，符合</w:t>
      </w:r>
      <w:r>
        <w:t>入河排污口管理、防洪要求。</w:t>
      </w:r>
    </w:p>
    <w:p>
      <w:pPr>
        <w:ind w:firstLine="480"/>
      </w:pPr>
      <w:r>
        <w:t>正常情况下，入河排污会对本级水功能区水质产生一定影响，对水生态、地下水造成一定影响，但影响在可控范围内。污水处理厂收集处理了</w:t>
      </w:r>
      <w:r>
        <w:rPr>
          <w:rFonts w:hint="eastAsia"/>
        </w:rPr>
        <w:t>何家畔村镇区</w:t>
      </w:r>
      <w:r>
        <w:t>生活</w:t>
      </w:r>
      <w:r>
        <w:rPr>
          <w:rFonts w:hint="eastAsia"/>
        </w:rPr>
        <w:t>污</w:t>
      </w:r>
      <w:r>
        <w:t>水，对于改善</w:t>
      </w:r>
      <w:r>
        <w:rPr>
          <w:rFonts w:hint="eastAsia"/>
        </w:rPr>
        <w:t>盖家川、马莲河</w:t>
      </w:r>
      <w:r>
        <w:t>水环境现状起到了关键性作用，在落实本论证提出的控制措施的前提下，其在</w:t>
      </w:r>
      <w:r>
        <w:rPr>
          <w:rFonts w:hint="eastAsia"/>
        </w:rPr>
        <w:t>盖家川</w:t>
      </w:r>
      <w:r>
        <w:t>设置入河排污口是合理的。</w:t>
      </w:r>
    </w:p>
    <w:p>
      <w:pPr>
        <w:pStyle w:val="4"/>
      </w:pPr>
      <w:bookmarkStart w:id="59" w:name="_Toc45201383"/>
      <w:r>
        <w:rPr>
          <w:rFonts w:hint="eastAsia"/>
        </w:rPr>
        <w:t>8.1.4</w:t>
      </w:r>
      <w:r>
        <w:t>入河排污口设置可有效改善水资源环境</w:t>
      </w:r>
      <w:bookmarkEnd w:id="59"/>
    </w:p>
    <w:p>
      <w:pPr>
        <w:ind w:firstLine="480"/>
        <w:rPr>
          <w:color w:val="000000" w:themeColor="text1"/>
        </w:rPr>
      </w:pPr>
      <w:r>
        <w:rPr>
          <w:rFonts w:hint="eastAsia"/>
          <w:color w:val="000000" w:themeColor="text1"/>
        </w:rPr>
        <w:t>合水县</w:t>
      </w:r>
      <w:r>
        <w:rPr>
          <w:color w:val="000000" w:themeColor="text1"/>
        </w:rPr>
        <w:t>存在着水资源短缺，资源性缺水矛盾突出问题，属缺水地区。</w:t>
      </w:r>
      <w:r>
        <w:rPr>
          <w:rFonts w:hint="eastAsia"/>
          <w:color w:val="000000" w:themeColor="text1"/>
        </w:rPr>
        <w:t>马莲河</w:t>
      </w:r>
      <w:r>
        <w:rPr>
          <w:color w:val="000000" w:themeColor="text1"/>
        </w:rPr>
        <w:t>作为</w:t>
      </w:r>
      <w:r>
        <w:rPr>
          <w:rFonts w:hint="eastAsia"/>
          <w:color w:val="000000" w:themeColor="text1"/>
        </w:rPr>
        <w:t>合水县的主要河流之一</w:t>
      </w:r>
      <w:r>
        <w:rPr>
          <w:color w:val="000000" w:themeColor="text1"/>
        </w:rPr>
        <w:t>，是</w:t>
      </w:r>
      <w:r>
        <w:rPr>
          <w:rFonts w:hint="eastAsia"/>
          <w:color w:val="000000" w:themeColor="text1"/>
        </w:rPr>
        <w:t>重要</w:t>
      </w:r>
      <w:r>
        <w:rPr>
          <w:color w:val="000000" w:themeColor="text1"/>
        </w:rPr>
        <w:t>的水资源。根据</w:t>
      </w:r>
      <w:r>
        <w:rPr>
          <w:rFonts w:hint="eastAsia"/>
        </w:rPr>
        <w:t>合水县何家畔镇何家畔村</w:t>
      </w:r>
      <w:r>
        <w:t>截污</w:t>
      </w:r>
      <w:r>
        <w:rPr>
          <w:rFonts w:hint="eastAsia"/>
        </w:rPr>
        <w:t>控源</w:t>
      </w:r>
      <w:r>
        <w:t>工程</w:t>
      </w:r>
      <w:r>
        <w:rPr>
          <w:color w:val="000000" w:themeColor="text1"/>
        </w:rPr>
        <w:t>入河排污口设置的</w:t>
      </w:r>
      <w:r>
        <w:rPr>
          <w:rFonts w:hint="eastAsia"/>
          <w:color w:val="000000" w:themeColor="text1"/>
        </w:rPr>
        <w:t>盖家川预测</w:t>
      </w:r>
      <w:r>
        <w:rPr>
          <w:color w:val="000000" w:themeColor="text1"/>
        </w:rPr>
        <w:t>水质结果，以及一维模型分析，在枯水低温季节（12 月至翌年 3 月），上游</w:t>
      </w:r>
      <w:r>
        <w:rPr>
          <w:rFonts w:hint="eastAsia"/>
          <w:color w:val="000000" w:themeColor="text1"/>
        </w:rPr>
        <w:t>Ⅲ</w:t>
      </w:r>
      <w:r>
        <w:rPr>
          <w:color w:val="000000" w:themeColor="text1"/>
        </w:rPr>
        <w:t>类限值来水条件下，</w:t>
      </w:r>
      <w:r>
        <w:rPr>
          <w:rFonts w:hint="eastAsia"/>
          <w:color w:val="000000" w:themeColor="text1"/>
        </w:rPr>
        <w:t>COD和总磷无超标，</w:t>
      </w:r>
      <w:r>
        <w:rPr>
          <w:color w:val="000000" w:themeColor="text1"/>
        </w:rPr>
        <w:t>考虑到</w:t>
      </w:r>
      <w:r>
        <w:rPr>
          <w:rFonts w:hint="eastAsia"/>
        </w:rPr>
        <w:t>合水县何家畔镇何家畔村</w:t>
      </w:r>
      <w:r>
        <w:t>截污</w:t>
      </w:r>
      <w:r>
        <w:rPr>
          <w:rFonts w:hint="eastAsia"/>
        </w:rPr>
        <w:t>控源</w:t>
      </w:r>
      <w:r>
        <w:t>工程</w:t>
      </w:r>
      <w:r>
        <w:rPr>
          <w:color w:val="000000" w:themeColor="text1"/>
        </w:rPr>
        <w:t>收集处理生活污水，能够降低污水对</w:t>
      </w:r>
      <w:r>
        <w:rPr>
          <w:rFonts w:hint="eastAsia"/>
          <w:color w:val="000000" w:themeColor="text1"/>
        </w:rPr>
        <w:t>盖家川、马莲河</w:t>
      </w:r>
      <w:r>
        <w:rPr>
          <w:color w:val="000000" w:themeColor="text1"/>
        </w:rPr>
        <w:t>的污染， 提高</w:t>
      </w:r>
      <w:r>
        <w:rPr>
          <w:rFonts w:hint="eastAsia"/>
          <w:color w:val="000000" w:themeColor="text1"/>
        </w:rPr>
        <w:t>马莲河的</w:t>
      </w:r>
      <w:r>
        <w:rPr>
          <w:color w:val="000000" w:themeColor="text1"/>
        </w:rPr>
        <w:t>自净能力，改善流域环境。总体而言，</w:t>
      </w:r>
      <w:r>
        <w:rPr>
          <w:rFonts w:hint="eastAsia"/>
        </w:rPr>
        <w:t>合水县何家畔镇何家畔村</w:t>
      </w:r>
      <w:r>
        <w:t>截污</w:t>
      </w:r>
      <w:r>
        <w:rPr>
          <w:rFonts w:hint="eastAsia"/>
        </w:rPr>
        <w:t>控源</w:t>
      </w:r>
      <w:r>
        <w:t>工程</w:t>
      </w:r>
      <w:r>
        <w:rPr>
          <w:color w:val="000000" w:themeColor="text1"/>
        </w:rPr>
        <w:t>入河排污口</w:t>
      </w:r>
      <w:r>
        <w:rPr>
          <w:rFonts w:hint="eastAsia"/>
          <w:color w:val="000000" w:themeColor="text1"/>
        </w:rPr>
        <w:t>最终流</w:t>
      </w:r>
      <w:r>
        <w:rPr>
          <w:color w:val="000000" w:themeColor="text1"/>
        </w:rPr>
        <w:t>向</w:t>
      </w:r>
      <w:r>
        <w:rPr>
          <w:rFonts w:hint="eastAsia"/>
          <w:color w:val="000000" w:themeColor="text1"/>
        </w:rPr>
        <w:t>马莲</w:t>
      </w:r>
      <w:r>
        <w:rPr>
          <w:color w:val="000000" w:themeColor="text1"/>
        </w:rPr>
        <w:t>河排污利大于弊。</w:t>
      </w:r>
    </w:p>
    <w:p>
      <w:pPr>
        <w:pStyle w:val="4"/>
      </w:pPr>
      <w:bookmarkStart w:id="60" w:name="_Toc45201384"/>
      <w:r>
        <w:rPr>
          <w:rFonts w:hint="eastAsia"/>
        </w:rPr>
        <w:t xml:space="preserve">8.1.5 </w:t>
      </w:r>
      <w:r>
        <w:t>为确保水功能区的纳污能力及限排总量符合要求，需对排污水量、污染物浓度及总量进行控制</w:t>
      </w:r>
      <w:bookmarkEnd w:id="60"/>
    </w:p>
    <w:p>
      <w:pPr>
        <w:ind w:firstLine="480"/>
      </w:pPr>
      <w:r>
        <w:rPr>
          <w:rFonts w:hint="eastAsia"/>
        </w:rPr>
        <w:t>合水县何家畔镇何家畔村</w:t>
      </w:r>
      <w:r>
        <w:t>截污</w:t>
      </w:r>
      <w:r>
        <w:rPr>
          <w:rFonts w:hint="eastAsia"/>
        </w:rPr>
        <w:t>控源</w:t>
      </w:r>
      <w:r>
        <w:t>工程入河排污口及支流污染物入河量</w:t>
      </w:r>
      <w:r>
        <w:rPr>
          <w:rFonts w:hint="eastAsia"/>
        </w:rPr>
        <w:t>小</w:t>
      </w:r>
      <w:r>
        <w:t>于其水域纳污能力和限排总量，考虑到项目属于减排项目，每年可减排 COD</w:t>
      </w:r>
      <w:r>
        <w:rPr>
          <w:rFonts w:hint="eastAsia"/>
        </w:rPr>
        <w:t>32.85</w:t>
      </w:r>
      <w:r>
        <w:t>t，氨氮</w:t>
      </w:r>
      <w:r>
        <w:rPr>
          <w:rFonts w:hint="eastAsia"/>
        </w:rPr>
        <w:t>2.555</w:t>
      </w:r>
      <w:r>
        <w:t>t。解决了</w:t>
      </w:r>
      <w:r>
        <w:rPr>
          <w:rFonts w:hint="eastAsia"/>
        </w:rPr>
        <w:t>合水县何家畔镇何家畔村</w:t>
      </w:r>
      <w:r>
        <w:t>截污</w:t>
      </w:r>
      <w:r>
        <w:rPr>
          <w:rFonts w:hint="eastAsia"/>
        </w:rPr>
        <w:t>控源</w:t>
      </w:r>
      <w:r>
        <w:t>工程污水处理厂运行的问题，确保</w:t>
      </w:r>
      <w:r>
        <w:rPr>
          <w:rFonts w:hint="eastAsia"/>
        </w:rPr>
        <w:t>何家畔村</w:t>
      </w:r>
      <w:r>
        <w:t>社会和环境的可持续发展。</w:t>
      </w:r>
      <w:r>
        <w:rPr>
          <w:rFonts w:hint="eastAsia"/>
        </w:rPr>
        <w:t>庆阳市</w:t>
      </w:r>
      <w:r>
        <w:t>正规划开展</w:t>
      </w:r>
      <w:r>
        <w:rPr>
          <w:rFonts w:hint="eastAsia"/>
        </w:rPr>
        <w:t>河流</w:t>
      </w:r>
      <w:r>
        <w:t>综合治理措施，采取“污水厂处理（达到一级A标准），保护和修复水生态，对于</w:t>
      </w:r>
      <w:r>
        <w:rPr>
          <w:rFonts w:hint="eastAsia"/>
        </w:rPr>
        <w:t>马莲河</w:t>
      </w:r>
      <w:r>
        <w:t>水质改善起到了重要作用。同时，本论证也提出相应的要求，到2030年，在</w:t>
      </w:r>
      <w:r>
        <w:rPr>
          <w:rFonts w:hint="eastAsia"/>
        </w:rPr>
        <w:t>马莲河</w:t>
      </w:r>
      <w:r>
        <w:t>附近污水直排口封堵并网收集处理，按照一级 A 排放标准，且中水回用率达到 55%。在按照或优于本论证提出的排污水量、污染物浓度及总量等控制指标排污的条件下，</w:t>
      </w:r>
      <w:r>
        <w:rPr>
          <w:rFonts w:hint="eastAsia"/>
        </w:rPr>
        <w:t>合水县何家畔镇何家畔村</w:t>
      </w:r>
      <w:r>
        <w:t>截污</w:t>
      </w:r>
      <w:r>
        <w:rPr>
          <w:rFonts w:hint="eastAsia"/>
        </w:rPr>
        <w:t>控源</w:t>
      </w:r>
      <w:r>
        <w:t>工程入河排污口设置满足其水域纳污能力要求。</w:t>
      </w:r>
    </w:p>
    <w:p>
      <w:pPr>
        <w:pStyle w:val="4"/>
      </w:pPr>
      <w:bookmarkStart w:id="61" w:name="_Toc45201385"/>
      <w:r>
        <w:rPr>
          <w:rFonts w:hint="eastAsia"/>
        </w:rPr>
        <w:t xml:space="preserve">8.1.6 </w:t>
      </w:r>
      <w:r>
        <w:t>入河排污口设置对论证河段水生态、地下水及第三方取用水不会造成明显影响</w:t>
      </w:r>
      <w:bookmarkEnd w:id="61"/>
    </w:p>
    <w:p>
      <w:pPr>
        <w:ind w:firstLine="480"/>
      </w:pPr>
      <w:r>
        <w:rPr>
          <w:rFonts w:hint="eastAsia"/>
        </w:rPr>
        <w:t>合水县何家畔镇何家畔村</w:t>
      </w:r>
      <w:r>
        <w:t>截污</w:t>
      </w:r>
      <w:r>
        <w:rPr>
          <w:rFonts w:hint="eastAsia"/>
        </w:rPr>
        <w:t>控源</w:t>
      </w:r>
      <w:r>
        <w:t>工程入河排污口所在河段不是主要产鱼区，因此，对水生生物群落、渔业资源和水生态环境影响不明显。</w:t>
      </w:r>
    </w:p>
    <w:p>
      <w:pPr>
        <w:ind w:firstLine="480"/>
      </w:pPr>
      <w:r>
        <w:t>根据现场调研，</w:t>
      </w:r>
      <w:r>
        <w:rPr>
          <w:rFonts w:hint="eastAsia"/>
        </w:rPr>
        <w:t>合水县何家畔镇何家畔村</w:t>
      </w:r>
      <w:r>
        <w:t>截污</w:t>
      </w:r>
      <w:r>
        <w:rPr>
          <w:rFonts w:hint="eastAsia"/>
        </w:rPr>
        <w:t>控源</w:t>
      </w:r>
      <w:r>
        <w:t>工程下游</w:t>
      </w:r>
      <w:r>
        <w:rPr>
          <w:rFonts w:hint="eastAsia"/>
        </w:rPr>
        <w:t>盖家川、马莲</w:t>
      </w:r>
      <w:r>
        <w:t>河无重要第三方取水口， 故不会对下游第三方产生影响。</w:t>
      </w:r>
    </w:p>
    <w:p>
      <w:pPr>
        <w:pStyle w:val="4"/>
      </w:pPr>
      <w:bookmarkStart w:id="62" w:name="_Toc45201386"/>
      <w:r>
        <w:rPr>
          <w:rFonts w:hint="eastAsia"/>
        </w:rPr>
        <w:t xml:space="preserve">8.1.7 </w:t>
      </w:r>
      <w:r>
        <w:t>为确保枯水期水质达标，需要对其污水排放量、污染物排放浓度及总量进一步严格控制</w:t>
      </w:r>
      <w:bookmarkEnd w:id="62"/>
    </w:p>
    <w:p>
      <w:pPr>
        <w:ind w:firstLine="480"/>
        <w:rPr>
          <w:color w:val="000000" w:themeColor="text1"/>
        </w:rPr>
      </w:pPr>
      <w:r>
        <w:t>为确保</w:t>
      </w:r>
      <w:r>
        <w:rPr>
          <w:rFonts w:hint="eastAsia"/>
        </w:rPr>
        <w:t>合水县何家畔镇何家畔村</w:t>
      </w:r>
      <w:r>
        <w:t>截污</w:t>
      </w:r>
      <w:r>
        <w:rPr>
          <w:rFonts w:hint="eastAsia"/>
        </w:rPr>
        <w:t>控源</w:t>
      </w:r>
      <w:r>
        <w:t>工程入河排污口的安全运行，在</w:t>
      </w:r>
      <w:r>
        <w:rPr>
          <w:rFonts w:hint="eastAsia"/>
        </w:rPr>
        <w:t>盖家</w:t>
      </w:r>
      <w:r>
        <w:t>上游</w:t>
      </w:r>
      <w:r>
        <w:rPr>
          <w:rFonts w:hint="eastAsia"/>
        </w:rPr>
        <w:t>Ⅲ</w:t>
      </w:r>
      <w:r>
        <w:t>类限值来水条件下，设计条件按照多年最枯月平均流量，近期，</w:t>
      </w:r>
      <w:r>
        <w:rPr>
          <w:rFonts w:hint="eastAsia"/>
        </w:rPr>
        <w:t>合水县何家畔镇何家畔村</w:t>
      </w:r>
      <w:r>
        <w:t>截污</w:t>
      </w:r>
      <w:r>
        <w:rPr>
          <w:rFonts w:hint="eastAsia"/>
        </w:rPr>
        <w:t>控源</w:t>
      </w:r>
      <w:r>
        <w:t>工程论证范围内主要污染物 COD、氨氮、BOD5、总磷的排放浓度应达到的控制标准分别为</w:t>
      </w:r>
      <w:r>
        <w:rPr>
          <w:rFonts w:hint="eastAsia"/>
        </w:rPr>
        <w:t>5</w:t>
      </w:r>
      <w:r>
        <w:t>0mg/L、</w:t>
      </w:r>
      <w:r>
        <w:rPr>
          <w:rFonts w:hint="eastAsia"/>
        </w:rPr>
        <w:t>5（8）</w:t>
      </w:r>
      <w:r>
        <w:t>mg/L、</w:t>
      </w:r>
      <w:r>
        <w:rPr>
          <w:rFonts w:hint="eastAsia"/>
        </w:rPr>
        <w:t>10</w:t>
      </w:r>
      <w:r>
        <w:t>mg/L、0.</w:t>
      </w:r>
      <w:r>
        <w:rPr>
          <w:rFonts w:hint="eastAsia"/>
        </w:rPr>
        <w:t>5</w:t>
      </w:r>
      <w:r>
        <w:t>mg/L。</w:t>
      </w:r>
      <w:r>
        <w:rPr>
          <w:color w:val="000000" w:themeColor="text1"/>
        </w:rPr>
        <w:t>远期论证范围内入河排污口设计规模中水回用率在不低于 55％要求下，同时各污水处理厂主要污染物 COD、氨氮、BOD5、总磷的排放浓度应达到的控制标准分别为 50mg/L、5mg/L、10mg/L、0.5mg/L，污水排放量控制在</w:t>
      </w:r>
      <w:r>
        <w:rPr>
          <w:rFonts w:hint="eastAsia"/>
          <w:color w:val="000000" w:themeColor="text1"/>
        </w:rPr>
        <w:t>200</w:t>
      </w:r>
      <w:r>
        <w:rPr>
          <w:color w:val="000000" w:themeColor="text1"/>
        </w:rPr>
        <w:t>m</w:t>
      </w:r>
      <w:r>
        <w:rPr>
          <w:color w:val="000000" w:themeColor="text1"/>
          <w:vertAlign w:val="superscript"/>
        </w:rPr>
        <w:t>3</w:t>
      </w:r>
      <w:r>
        <w:rPr>
          <w:color w:val="000000" w:themeColor="text1"/>
        </w:rPr>
        <w:t>/d 以内。</w:t>
      </w:r>
    </w:p>
    <w:p>
      <w:pPr>
        <w:pStyle w:val="4"/>
      </w:pPr>
      <w:bookmarkStart w:id="63" w:name="_Toc45201387"/>
      <w:r>
        <w:rPr>
          <w:rFonts w:hint="eastAsia"/>
        </w:rPr>
        <w:t>8</w:t>
      </w:r>
      <w:r>
        <w:t>.1.8入河排污口设置的关键在于突发水污染事故的防范</w:t>
      </w:r>
      <w:bookmarkEnd w:id="63"/>
    </w:p>
    <w:p>
      <w:pPr>
        <w:ind w:firstLine="480"/>
      </w:pPr>
      <w:r>
        <w:t>工程运行管理单位必须编制《</w:t>
      </w:r>
      <w:r>
        <w:rPr>
          <w:rFonts w:hint="eastAsia"/>
        </w:rPr>
        <w:t>合水县何家畔镇何家畔村</w:t>
      </w:r>
      <w:r>
        <w:t>截污</w:t>
      </w:r>
      <w:r>
        <w:rPr>
          <w:rFonts w:hint="eastAsia"/>
        </w:rPr>
        <w:t>控源</w:t>
      </w:r>
      <w:r>
        <w:t>工程突发性水污染事故排放应急预案》，并上报相关主管部门备案。在污水收集、输送和处理过程中，一旦出现突发性事故，必须按预先拟定的方案，进行紧急处理。</w:t>
      </w:r>
    </w:p>
    <w:p>
      <w:pPr>
        <w:pStyle w:val="3"/>
      </w:pPr>
      <w:bookmarkStart w:id="64" w:name="_Toc45201439"/>
      <w:bookmarkStart w:id="65" w:name="_Toc45201388"/>
      <w:bookmarkStart w:id="66" w:name="_Toc57964383"/>
      <w:r>
        <w:rPr>
          <w:rFonts w:hint="eastAsia"/>
        </w:rPr>
        <w:t xml:space="preserve">8.2 </w:t>
      </w:r>
      <w:r>
        <w:t>建议</w:t>
      </w:r>
      <w:bookmarkEnd w:id="64"/>
      <w:bookmarkEnd w:id="65"/>
      <w:bookmarkEnd w:id="66"/>
    </w:p>
    <w:p>
      <w:pPr>
        <w:ind w:firstLine="480"/>
      </w:pPr>
      <w:r>
        <w:rPr>
          <w:rFonts w:hint="eastAsia" w:asciiTheme="minorEastAsia" w:hAnsiTheme="minorEastAsia" w:eastAsiaTheme="minorEastAsia"/>
        </w:rPr>
        <w:t>(1)</w:t>
      </w:r>
      <w:r>
        <w:t>加强日常运行</w:t>
      </w:r>
      <w:r>
        <w:rPr>
          <w:rFonts w:hint="eastAsia"/>
        </w:rPr>
        <w:t>管理、监管</w:t>
      </w:r>
    </w:p>
    <w:p>
      <w:pPr>
        <w:ind w:firstLine="480"/>
      </w:pPr>
      <w:r>
        <w:rPr>
          <w:rFonts w:hint="eastAsia"/>
        </w:rPr>
        <w:t>保证污水处理工程正常运行，避免发生非正常排放情况，加强生产管理，防止跑、冒、滴、漏。确保污水处理系统正常运行。</w:t>
      </w:r>
      <w:r>
        <w:t>建议</w:t>
      </w:r>
      <w:r>
        <w:rPr>
          <w:rFonts w:hint="eastAsia"/>
        </w:rPr>
        <w:t>合水县</w:t>
      </w:r>
      <w:r>
        <w:t>环保局进一步加强对</w:t>
      </w:r>
      <w:r>
        <w:rPr>
          <w:rFonts w:hint="eastAsia"/>
        </w:rPr>
        <w:t>合水县何家畔镇何家畔村截污控源工程</w:t>
      </w:r>
      <w:r>
        <w:t>排污日常运行的监管。</w:t>
      </w:r>
    </w:p>
    <w:p>
      <w:pPr>
        <w:topLinePunct/>
        <w:ind w:firstLine="600" w:firstLineChars="250"/>
      </w:pPr>
      <w:r>
        <w:rPr>
          <w:rFonts w:hint="eastAsia"/>
        </w:rPr>
        <w:t>（2）加强水功能区监督管理</w:t>
      </w:r>
    </w:p>
    <w:p>
      <w:pPr>
        <w:ind w:firstLine="480"/>
      </w:pPr>
      <w:r>
        <w:rPr>
          <w:rFonts w:hint="eastAsia"/>
        </w:rPr>
        <w:t>加强水功能区水质监测工作，及时了解水功能区内的水环境状况，对于排放的污染物超出水域纳污能力的情况，依照相关法律由地方水行政主管部门或流域机构管理部门提出整改意见并监督执行，确保达到水功能区管理目标</w:t>
      </w:r>
    </w:p>
    <w:p>
      <w:pPr>
        <w:ind w:firstLine="480"/>
      </w:pPr>
      <w:r>
        <w:rPr>
          <w:rFonts w:hint="eastAsia" w:asciiTheme="minorEastAsia" w:hAnsiTheme="minorEastAsia" w:eastAsiaTheme="minorEastAsia"/>
        </w:rPr>
        <w:t>(3)</w:t>
      </w:r>
      <w:r>
        <w:t>加大事故应急处理能力</w:t>
      </w:r>
    </w:p>
    <w:p>
      <w:pPr>
        <w:ind w:firstLine="480"/>
      </w:pPr>
      <w:r>
        <w:t>建议在接到</w:t>
      </w:r>
      <w:r>
        <w:rPr>
          <w:rFonts w:hint="eastAsia"/>
        </w:rPr>
        <w:t>合水县何家畔镇何家畔村</w:t>
      </w:r>
      <w:r>
        <w:t>截污</w:t>
      </w:r>
      <w:r>
        <w:rPr>
          <w:rFonts w:hint="eastAsia"/>
        </w:rPr>
        <w:t>控源</w:t>
      </w:r>
      <w:r>
        <w:t>工程关于出现运行故障、进行工艺调整、发现进水异常、申请启用超越管等的报告后，建设局、环保局等当地政府有关部门进行会商，结合污水处理厂事故状况及当时</w:t>
      </w:r>
      <w:r>
        <w:rPr>
          <w:rFonts w:hint="eastAsia"/>
        </w:rPr>
        <w:t>盖家川</w:t>
      </w:r>
      <w:r>
        <w:t>水质、水量情况制订相应对策措施。事故状况下，为尽可能降低超标污水对</w:t>
      </w:r>
      <w:r>
        <w:rPr>
          <w:rFonts w:hint="eastAsia"/>
        </w:rPr>
        <w:t>盖家川</w:t>
      </w:r>
      <w:r>
        <w:t>的影响。污水处理厂应设立至少</w:t>
      </w:r>
      <w:r>
        <w:rPr>
          <w:rFonts w:hint="eastAsia" w:eastAsiaTheme="minorEastAsia"/>
          <w:color w:val="000000" w:themeColor="text1"/>
        </w:rPr>
        <w:t>100</w:t>
      </w:r>
      <w:r>
        <w:rPr>
          <w:rFonts w:eastAsia="Times New Roman"/>
          <w:color w:val="000000" w:themeColor="text1"/>
        </w:rPr>
        <w:t>m</w:t>
      </w:r>
      <w:r>
        <w:rPr>
          <w:rFonts w:eastAsia="Times New Roman"/>
          <w:color w:val="000000" w:themeColor="text1"/>
          <w:vertAlign w:val="superscript"/>
        </w:rPr>
        <w:t>3</w:t>
      </w:r>
      <w:r>
        <w:t>事故池。</w:t>
      </w:r>
    </w:p>
    <w:p>
      <w:pPr>
        <w:ind w:firstLine="480"/>
      </w:pPr>
      <w:r>
        <w:rPr>
          <w:rFonts w:hint="eastAsia" w:asciiTheme="minorEastAsia" w:hAnsiTheme="minorEastAsia" w:eastAsiaTheme="minorEastAsia"/>
        </w:rPr>
        <w:t>(3)</w:t>
      </w:r>
      <w:r>
        <w:t>开展</w:t>
      </w:r>
      <w:r>
        <w:rPr>
          <w:rFonts w:hint="eastAsia"/>
        </w:rPr>
        <w:t>配套</w:t>
      </w:r>
      <w:r>
        <w:t>改造</w:t>
      </w:r>
    </w:p>
    <w:p>
      <w:pPr>
        <w:ind w:firstLine="476"/>
      </w:pPr>
      <w:r>
        <w:rPr>
          <w:spacing w:val="-1"/>
        </w:rPr>
        <w:t>根据</w:t>
      </w:r>
      <w:r>
        <w:rPr>
          <w:rFonts w:hint="eastAsia"/>
          <w:spacing w:val="-1"/>
        </w:rPr>
        <w:t>合水县</w:t>
      </w:r>
      <w:r>
        <w:rPr>
          <w:spacing w:val="-1"/>
        </w:rPr>
        <w:t>发展需要，提前谋划，适时开展后续</w:t>
      </w:r>
      <w:r>
        <w:rPr>
          <w:rFonts w:hint="eastAsia"/>
          <w:spacing w:val="-1"/>
        </w:rPr>
        <w:t>配套</w:t>
      </w:r>
      <w:r>
        <w:rPr>
          <w:spacing w:val="-1"/>
        </w:rPr>
        <w:t>改造工程，提升</w:t>
      </w:r>
      <w:r>
        <w:rPr>
          <w:rFonts w:hint="eastAsia"/>
        </w:rPr>
        <w:t>合水县何家畔镇何家畔村</w:t>
      </w:r>
      <w:r>
        <w:t>截污</w:t>
      </w:r>
      <w:r>
        <w:rPr>
          <w:rFonts w:hint="eastAsia"/>
        </w:rPr>
        <w:t>控源</w:t>
      </w:r>
      <w:r>
        <w:t>工程</w:t>
      </w:r>
      <w:r>
        <w:rPr>
          <w:rFonts w:hint="eastAsia"/>
          <w:spacing w:val="-7"/>
        </w:rPr>
        <w:t>运行能力</w:t>
      </w:r>
      <w:r>
        <w:rPr>
          <w:spacing w:val="-8"/>
        </w:rPr>
        <w:t>。引进国内先进污水处理工艺，强化污水的深度处</w:t>
      </w:r>
      <w:r>
        <w:t>理，持续降低尾水排放浓度，保护</w:t>
      </w:r>
      <w:r>
        <w:rPr>
          <w:rFonts w:hint="eastAsia"/>
        </w:rPr>
        <w:t>盖家川</w:t>
      </w:r>
      <w:r>
        <w:t>水环境质量。</w:t>
      </w:r>
    </w:p>
    <w:p>
      <w:pPr>
        <w:ind w:firstLine="480"/>
      </w:pPr>
      <w:r>
        <w:rPr>
          <w:rFonts w:hint="eastAsia" w:ascii="宋体" w:hAnsi="宋体"/>
        </w:rPr>
        <w:t>(4)</w:t>
      </w:r>
      <w:r>
        <w:t>开展控源截污措施</w:t>
      </w:r>
    </w:p>
    <w:p>
      <w:pPr>
        <w:ind w:firstLine="480"/>
      </w:pPr>
      <w:r>
        <w:t>通过封堵并网、收集拉运、建设乡镇污水处理厂等措施进行对</w:t>
      </w:r>
      <w:r>
        <w:rPr>
          <w:rFonts w:hint="eastAsia"/>
        </w:rPr>
        <w:t>盖家川、马莲河</w:t>
      </w:r>
      <w:r>
        <w:t>整治，解决</w:t>
      </w:r>
      <w:r>
        <w:rPr>
          <w:rFonts w:hint="eastAsia"/>
        </w:rPr>
        <w:t>盖家川、马莲河</w:t>
      </w:r>
      <w:r>
        <w:t>周边村镇污水直排问题，同时加强对乡镇控源截污措施监管，落实并规范化建设收集池，及时处理或拉运污水，加大对已建乡镇污水处理厂的运行维护，杜绝污水溢流、漏排、超标排放。</w:t>
      </w:r>
    </w:p>
    <w:p>
      <w:pPr>
        <w:topLinePunct/>
        <w:ind w:firstLine="600" w:firstLineChars="250"/>
      </w:pPr>
      <w:r>
        <w:rPr>
          <w:rFonts w:hint="eastAsia" w:asciiTheme="minorEastAsia" w:hAnsiTheme="minorEastAsia" w:eastAsiaTheme="minorEastAsia"/>
        </w:rPr>
        <w:t>(5)</w:t>
      </w:r>
      <w:r>
        <w:rPr>
          <w:rFonts w:hint="eastAsia"/>
        </w:rPr>
        <w:t xml:space="preserve"> 建立信息报送制度</w:t>
      </w:r>
    </w:p>
    <w:p>
      <w:pPr>
        <w:topLinePunct/>
        <w:ind w:firstLine="600" w:firstLineChars="250"/>
      </w:pPr>
      <w:r>
        <w:rPr>
          <w:rFonts w:hint="eastAsia"/>
        </w:rPr>
        <w:t>工程管理单位必须按季、按年度向行政主管部门报送排污口统计表，必须按规定项目如实填报报表，不得弄虚作假。行政主管部门每年按照规定的审批权限，对排污口组织年审。一旦发生废污水事故性非正常排放，工程单位应及时报告当地政府、环保、水利及相关部门。</w:t>
      </w:r>
    </w:p>
    <w:p>
      <w:pPr>
        <w:topLinePunct/>
        <w:ind w:firstLine="600" w:firstLineChars="250"/>
      </w:pPr>
      <w:r>
        <w:rPr>
          <w:rFonts w:hint="eastAsia"/>
        </w:rPr>
        <w:t>（6）落实入河排污口设置验收管理，进行排污口设置验收</w:t>
      </w:r>
    </w:p>
    <w:p>
      <w:pPr>
        <w:topLinePunct/>
        <w:ind w:firstLine="480"/>
      </w:pPr>
      <w:r>
        <w:rPr>
          <w:rFonts w:hint="eastAsia"/>
        </w:rPr>
        <w:t>本项目入河排污口在建设项目环境保护设施竣工验收合格后，设置单位应向水利厅提请对该入河排污口设置进行验收，通过验收方可使用。</w:t>
      </w:r>
    </w:p>
    <w:p>
      <w:pPr>
        <w:ind w:firstLine="476"/>
        <w:rPr>
          <w:spacing w:val="-1"/>
        </w:rPr>
      </w:pPr>
      <w:r>
        <w:rPr>
          <w:spacing w:val="-1"/>
        </w:rPr>
        <w:t>论证综合认为:考虑</w:t>
      </w:r>
      <w:r>
        <w:rPr>
          <w:rFonts w:hint="eastAsia"/>
          <w:spacing w:val="-1"/>
        </w:rPr>
        <w:t>当地</w:t>
      </w:r>
      <w:r>
        <w:rPr>
          <w:spacing w:val="-1"/>
        </w:rPr>
        <w:t>经济社会发展需要及客观实际情况，在</w:t>
      </w:r>
      <w:r>
        <w:rPr>
          <w:rFonts w:hint="eastAsia"/>
          <w:spacing w:val="-1"/>
        </w:rPr>
        <w:t>合水县何家畔镇何家畔村截污控源工程</w:t>
      </w:r>
      <w:r>
        <w:rPr>
          <w:spacing w:val="-1"/>
        </w:rPr>
        <w:t>按照或优于本论证提出的排污水量、污染物浓度及总量等控制指标排污的条件下，在落实本论证提出的相关要求和水质达标控制方案、确保水污染应急防范措施到位的前提下，其在</w:t>
      </w:r>
      <w:r>
        <w:rPr>
          <w:rFonts w:hint="eastAsia"/>
          <w:spacing w:val="-1"/>
        </w:rPr>
        <w:t>盖家川</w:t>
      </w:r>
      <w:r>
        <w:rPr>
          <w:spacing w:val="-1"/>
        </w:rPr>
        <w:t>上设置入河排污口可行。</w:t>
      </w:r>
    </w:p>
    <w:p>
      <w:pPr>
        <w:pStyle w:val="3"/>
      </w:pPr>
      <w:bookmarkStart w:id="67" w:name="_bookmark44"/>
      <w:bookmarkEnd w:id="67"/>
      <w:bookmarkStart w:id="68" w:name="_Toc45201440"/>
      <w:bookmarkStart w:id="69" w:name="_Toc45201389"/>
      <w:bookmarkStart w:id="70" w:name="_Toc57964384"/>
      <w:r>
        <w:rPr>
          <w:rFonts w:hint="eastAsia"/>
        </w:rPr>
        <w:t xml:space="preserve">8.3 </w:t>
      </w:r>
      <w:r>
        <w:t>要求</w:t>
      </w:r>
      <w:bookmarkEnd w:id="68"/>
      <w:bookmarkEnd w:id="69"/>
      <w:bookmarkEnd w:id="70"/>
    </w:p>
    <w:p>
      <w:pPr>
        <w:ind w:firstLine="480"/>
      </w:pPr>
      <w:r>
        <w:rPr>
          <w:rFonts w:hint="eastAsia"/>
        </w:rPr>
        <w:t>（1）合水县何家畔镇何家畔村截污控源工程</w:t>
      </w:r>
      <w:r>
        <w:t>应进一步加强水质监测与运行管理，特别是在低温枯水季节，上游来水水质不达标的情况下，依据本论证提出的污水排放量和排放浓度，通过加强中水回用，限制污水外排浓度，确保水功能区水质达标。</w:t>
      </w:r>
    </w:p>
    <w:p>
      <w:pPr>
        <w:ind w:firstLine="480"/>
      </w:pPr>
      <w:r>
        <w:rPr>
          <w:rFonts w:hint="eastAsia"/>
        </w:rPr>
        <w:t>（2）合水县何家畔镇何家畔村截污控源工程</w:t>
      </w:r>
      <w:r>
        <w:t>外排污水应通过单独敷设的管道将尾水排放至</w:t>
      </w:r>
      <w:r>
        <w:rPr>
          <w:rFonts w:hint="eastAsia"/>
        </w:rPr>
        <w:t>盖家川</w:t>
      </w:r>
      <w:r>
        <w:t>，最终汇入</w:t>
      </w:r>
      <w:r>
        <w:rPr>
          <w:rFonts w:hint="eastAsia"/>
        </w:rPr>
        <w:t>马莲</w:t>
      </w:r>
      <w:r>
        <w:t>河，设置符合防洪要求。</w:t>
      </w:r>
    </w:p>
    <w:p>
      <w:pPr>
        <w:ind w:firstLine="480"/>
      </w:pPr>
      <w:r>
        <w:rPr>
          <w:rFonts w:hint="eastAsia"/>
        </w:rPr>
        <w:t>（3）</w:t>
      </w:r>
      <w:r>
        <w:t>开展入河排污口规范化建设，其设置应符合《入河排污口管理技术导则》（SL 532-2011）有关要求。建立排污资料档案，接受相关部门的监督检查。按时报送入河排污口有关资料和报表。</w:t>
      </w:r>
    </w:p>
    <w:p>
      <w:pPr>
        <w:ind w:firstLine="480"/>
      </w:pPr>
      <w:r>
        <w:rPr>
          <w:rFonts w:hint="eastAsia"/>
        </w:rPr>
        <w:t>（4）</w:t>
      </w:r>
      <w:r>
        <w:t>在</w:t>
      </w:r>
      <w:r>
        <w:rPr>
          <w:rFonts w:hint="eastAsia"/>
        </w:rPr>
        <w:t>盖家川</w:t>
      </w:r>
      <w:r>
        <w:t>发生严重旱情或者水质严重恶化等紧急情况时，</w:t>
      </w:r>
      <w:r>
        <w:rPr>
          <w:rFonts w:hint="eastAsia"/>
        </w:rPr>
        <w:t>合水县何家畔镇何家畔村截污控源工程</w:t>
      </w:r>
      <w:r>
        <w:t>应按照流域水资源保护部门要求的内容、时间和方式提供资料。排污量应严格执行地方主管部门的控制方案。</w:t>
      </w:r>
    </w:p>
    <w:p>
      <w:pPr>
        <w:widowControl/>
        <w:autoSpaceDE/>
        <w:autoSpaceDN/>
        <w:ind w:firstLine="480"/>
        <w:rPr>
          <w:szCs w:val="24"/>
        </w:rPr>
      </w:pPr>
      <w:r>
        <w:br w:type="page"/>
      </w:r>
    </w:p>
    <w:p>
      <w:pPr>
        <w:pStyle w:val="2"/>
      </w:pPr>
      <w:bookmarkStart w:id="71" w:name="_Toc45201441"/>
      <w:bookmarkStart w:id="72" w:name="_Toc45201390"/>
      <w:bookmarkStart w:id="73" w:name="_Toc57964385"/>
      <w:r>
        <w:rPr>
          <w:rFonts w:hint="eastAsia"/>
        </w:rPr>
        <w:t xml:space="preserve">9 </w:t>
      </w:r>
      <w:r>
        <w:t>附图与附件</w:t>
      </w:r>
      <w:bookmarkEnd w:id="71"/>
      <w:bookmarkEnd w:id="72"/>
      <w:bookmarkEnd w:id="73"/>
    </w:p>
    <w:p>
      <w:pPr>
        <w:widowControl/>
        <w:autoSpaceDE/>
        <w:autoSpaceDN/>
        <w:ind w:firstLine="0" w:firstLineChars="0"/>
      </w:pPr>
      <w:r>
        <w:rPr>
          <w:rFonts w:hint="eastAsia"/>
        </w:rPr>
        <w:t>附图：</w:t>
      </w:r>
    </w:p>
    <w:p>
      <w:pPr>
        <w:widowControl/>
        <w:autoSpaceDE/>
        <w:autoSpaceDN/>
        <w:ind w:firstLine="480"/>
        <w:rPr>
          <w:rFonts w:hint="eastAsia"/>
          <w:lang w:val="en-US"/>
        </w:rPr>
      </w:pPr>
      <w:r>
        <w:rPr>
          <w:rFonts w:hint="eastAsia"/>
        </w:rPr>
        <w:t>附图1：</w:t>
      </w:r>
      <w:r>
        <w:rPr>
          <w:rFonts w:hint="eastAsia"/>
          <w:lang w:val="en-US"/>
        </w:rPr>
        <w:t>区域水系图</w:t>
      </w:r>
    </w:p>
    <w:p>
      <w:pPr>
        <w:widowControl/>
        <w:autoSpaceDE/>
        <w:autoSpaceDN/>
        <w:ind w:firstLine="480"/>
        <w:rPr>
          <w:rFonts w:hint="eastAsia"/>
        </w:rPr>
      </w:pPr>
      <w:r>
        <w:rPr>
          <w:rFonts w:hint="eastAsia"/>
        </w:rPr>
        <w:t>附图2：</w:t>
      </w:r>
      <w:r>
        <w:rPr>
          <w:rFonts w:hint="eastAsia"/>
          <w:lang w:val="en-US"/>
        </w:rPr>
        <w:t>建设项目位置图</w:t>
      </w:r>
    </w:p>
    <w:p>
      <w:pPr>
        <w:widowControl/>
        <w:autoSpaceDE/>
        <w:autoSpaceDN/>
        <w:ind w:firstLine="480"/>
      </w:pPr>
      <w:r>
        <w:rPr>
          <w:rFonts w:hint="eastAsia"/>
        </w:rPr>
        <w:t>附图3：甘肃省黄河流域一级水功能区划图</w:t>
      </w:r>
    </w:p>
    <w:p>
      <w:pPr>
        <w:widowControl/>
        <w:autoSpaceDE/>
        <w:autoSpaceDN/>
        <w:ind w:firstLine="480"/>
      </w:pPr>
      <w:r>
        <w:rPr>
          <w:rFonts w:hint="eastAsia"/>
        </w:rPr>
        <w:t>附图4：甘肃省黄河流域二级水功能区划图</w:t>
      </w:r>
    </w:p>
    <w:p>
      <w:pPr>
        <w:widowControl/>
        <w:autoSpaceDE/>
        <w:autoSpaceDN/>
        <w:ind w:firstLine="480"/>
        <w:rPr>
          <w:lang w:val="en-US"/>
        </w:rPr>
      </w:pPr>
      <w:r>
        <w:rPr>
          <w:rFonts w:hint="eastAsia"/>
        </w:rPr>
        <w:t>附图5：</w:t>
      </w:r>
      <w:r>
        <w:rPr>
          <w:rFonts w:hint="eastAsia"/>
          <w:lang w:val="en-US"/>
        </w:rPr>
        <w:t>水平衡图</w:t>
      </w:r>
    </w:p>
    <w:p>
      <w:pPr>
        <w:widowControl/>
        <w:autoSpaceDE/>
        <w:autoSpaceDN/>
        <w:ind w:firstLine="480"/>
        <w:rPr>
          <w:lang w:val="en-US"/>
        </w:rPr>
      </w:pPr>
      <w:r>
        <w:rPr>
          <w:rFonts w:hint="eastAsia"/>
        </w:rPr>
        <w:t>附图6：</w:t>
      </w:r>
      <w:r>
        <w:rPr>
          <w:rFonts w:hint="eastAsia"/>
          <w:lang w:val="en-US"/>
        </w:rPr>
        <w:t>论证分析范围图</w:t>
      </w:r>
    </w:p>
    <w:p>
      <w:pPr>
        <w:widowControl/>
        <w:autoSpaceDE/>
        <w:autoSpaceDN/>
        <w:ind w:firstLine="480"/>
        <w:rPr>
          <w:lang w:val="en-US"/>
        </w:rPr>
      </w:pPr>
      <w:r>
        <w:rPr>
          <w:rFonts w:hint="eastAsia"/>
        </w:rPr>
        <w:t>附图7：</w:t>
      </w:r>
      <w:r>
        <w:rPr>
          <w:rFonts w:hint="eastAsia"/>
          <w:lang w:val="en-US"/>
        </w:rPr>
        <w:t>排污影响范围图</w:t>
      </w:r>
    </w:p>
    <w:p>
      <w:pPr>
        <w:ind w:firstLine="0" w:firstLineChars="0"/>
        <w:rPr>
          <w:rFonts w:asciiTheme="minorEastAsia" w:hAnsiTheme="minorEastAsia" w:eastAsiaTheme="minorEastAsia"/>
        </w:rPr>
      </w:pPr>
      <w:r>
        <w:rPr>
          <w:rFonts w:hint="eastAsia" w:asciiTheme="minorEastAsia" w:hAnsiTheme="minorEastAsia" w:eastAsiaTheme="minorEastAsia"/>
        </w:rPr>
        <w:t>附件：</w:t>
      </w:r>
    </w:p>
    <w:p>
      <w:pPr>
        <w:ind w:firstLine="480"/>
        <w:rPr>
          <w:rFonts w:hint="eastAsia" w:asciiTheme="minorEastAsia" w:hAnsiTheme="minorEastAsia" w:eastAsiaTheme="minorEastAsia"/>
          <w:lang w:val="en-US"/>
        </w:rPr>
      </w:pPr>
      <w:r>
        <w:rPr>
          <w:rFonts w:hint="eastAsia" w:asciiTheme="minorEastAsia" w:hAnsiTheme="minorEastAsia" w:eastAsiaTheme="minorEastAsia"/>
        </w:rPr>
        <w:t>附件1：</w:t>
      </w:r>
      <w:r>
        <w:rPr>
          <w:rFonts w:hint="eastAsia" w:asciiTheme="minorEastAsia" w:hAnsiTheme="minorEastAsia" w:eastAsiaTheme="minorEastAsia"/>
          <w:lang w:val="en-US"/>
        </w:rPr>
        <w:t>入河排污口设置论证委托书</w:t>
      </w:r>
    </w:p>
    <w:p>
      <w:pPr>
        <w:ind w:firstLine="480"/>
        <w:rPr>
          <w:rFonts w:hint="eastAsia" w:asciiTheme="minorEastAsia" w:hAnsiTheme="minorEastAsia" w:eastAsiaTheme="minorEastAsia"/>
        </w:rPr>
      </w:pPr>
      <w:r>
        <w:rPr>
          <w:rFonts w:hint="eastAsia"/>
        </w:rPr>
        <w:t>附件2：</w:t>
      </w:r>
      <w:r>
        <w:rPr>
          <w:rFonts w:hint="eastAsia"/>
          <w:lang w:val="en-US"/>
        </w:rPr>
        <w:t>论证单位营业执照</w:t>
      </w:r>
    </w:p>
    <w:p>
      <w:pPr>
        <w:ind w:firstLine="480"/>
        <w:rPr>
          <w:rFonts w:asciiTheme="minorEastAsia" w:hAnsiTheme="minorEastAsia" w:eastAsiaTheme="minorEastAsia"/>
        </w:rPr>
      </w:pPr>
      <w:r>
        <w:rPr>
          <w:rFonts w:hint="eastAsia" w:asciiTheme="minorEastAsia" w:hAnsiTheme="minorEastAsia" w:eastAsiaTheme="minorEastAsia"/>
        </w:rPr>
        <w:t>附件3：</w:t>
      </w:r>
      <w:r>
        <w:rPr>
          <w:rFonts w:hint="eastAsia"/>
          <w:szCs w:val="24"/>
        </w:rPr>
        <w:t>《</w:t>
      </w:r>
      <w:r>
        <w:rPr>
          <w:szCs w:val="24"/>
        </w:rPr>
        <w:t>关于</w:t>
      </w:r>
      <w:r>
        <w:rPr>
          <w:rFonts w:hint="eastAsia"/>
          <w:szCs w:val="24"/>
        </w:rPr>
        <w:t>合水县六乡镇截污控源工程</w:t>
      </w:r>
      <w:r>
        <w:rPr>
          <w:szCs w:val="24"/>
        </w:rPr>
        <w:t>可行性研究报告的批复</w:t>
      </w:r>
      <w:r>
        <w:rPr>
          <w:rFonts w:hint="eastAsia"/>
          <w:szCs w:val="24"/>
        </w:rPr>
        <w:t>》</w:t>
      </w:r>
    </w:p>
    <w:p>
      <w:pPr>
        <w:ind w:firstLine="480"/>
      </w:pPr>
      <w:r>
        <w:rPr>
          <w:rFonts w:hint="eastAsia"/>
        </w:rPr>
        <w:t>附件4：</w:t>
      </w:r>
      <w:r>
        <w:rPr>
          <w:rFonts w:hint="eastAsia"/>
          <w:szCs w:val="24"/>
        </w:rPr>
        <w:t>《建设项目选址意见书》</w:t>
      </w:r>
    </w:p>
    <w:p>
      <w:pPr>
        <w:ind w:firstLine="480"/>
        <w:rPr>
          <w:szCs w:val="24"/>
        </w:rPr>
      </w:pPr>
      <w:r>
        <w:rPr>
          <w:rFonts w:hint="eastAsia"/>
        </w:rPr>
        <w:t>附件5：</w:t>
      </w:r>
      <w:r>
        <w:rPr>
          <w:rFonts w:hint="eastAsia"/>
          <w:szCs w:val="24"/>
        </w:rPr>
        <w:t>《项目建设用地预审意见书》</w:t>
      </w:r>
    </w:p>
    <w:p>
      <w:pPr>
        <w:widowControl/>
        <w:autoSpaceDE/>
        <w:autoSpaceDN/>
        <w:ind w:firstLine="480"/>
      </w:pPr>
      <w:r>
        <w:rPr>
          <w:rFonts w:hint="eastAsia"/>
        </w:rPr>
        <w:t>附件6：</w:t>
      </w:r>
      <w:r>
        <w:rPr>
          <w:rFonts w:hint="eastAsia"/>
          <w:szCs w:val="24"/>
        </w:rPr>
        <w:t>《关于合水县何家畔镇何家畔村截污控源工程环境影响报告表的批复》</w:t>
      </w:r>
    </w:p>
    <w:p>
      <w:pPr>
        <w:widowControl/>
        <w:autoSpaceDE/>
        <w:autoSpaceDN/>
        <w:ind w:firstLine="480"/>
      </w:pPr>
      <w:r>
        <w:rPr>
          <w:rFonts w:hint="eastAsia"/>
        </w:rPr>
        <w:t>附件7：补充监测水质检测报告</w:t>
      </w:r>
    </w:p>
    <w:p>
      <w:pPr>
        <w:widowControl/>
        <w:autoSpaceDE/>
        <w:autoSpaceDN/>
        <w:spacing w:line="240" w:lineRule="auto"/>
        <w:ind w:firstLine="0" w:firstLineChars="0"/>
      </w:pPr>
      <w:r>
        <w:br w:type="page"/>
      </w:r>
    </w:p>
    <w:p>
      <w:pPr>
        <w:widowControl/>
        <w:autoSpaceDE/>
        <w:autoSpaceDN/>
        <w:ind w:firstLine="0" w:firstLineChars="0"/>
        <w:rPr>
          <w:rFonts w:hint="eastAsia"/>
        </w:rPr>
      </w:pPr>
      <w:r>
        <w:rPr>
          <w:rFonts w:hint="eastAsia"/>
        </w:rPr>
        <w:t>附图1：</w:t>
      </w:r>
      <w:r>
        <w:rPr>
          <w:rFonts w:hint="eastAsia"/>
          <w:lang w:val="en-US"/>
        </w:rPr>
        <w:t>区域水系图</w:t>
      </w:r>
    </w:p>
    <w:p>
      <w:pPr>
        <w:widowControl/>
        <w:autoSpaceDE/>
        <w:autoSpaceDN/>
        <w:ind w:firstLine="0" w:firstLineChars="0"/>
        <w:rPr>
          <w:rFonts w:hint="eastAsia"/>
        </w:rPr>
      </w:pPr>
      <w:r>
        <w:drawing>
          <wp:inline distT="0" distB="0" distL="0" distR="0">
            <wp:extent cx="5927725" cy="7760335"/>
            <wp:effectExtent l="0" t="0" r="0" b="0"/>
            <wp:docPr id="3" name="图片 3" descr="C:\Users\ADMINI~1\AppData\Local\Temp\ksohtml229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2292\wps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927854" cy="7760100"/>
                    </a:xfrm>
                    <a:prstGeom prst="rect">
                      <a:avLst/>
                    </a:prstGeom>
                    <a:noFill/>
                    <a:ln>
                      <a:noFill/>
                    </a:ln>
                  </pic:spPr>
                </pic:pic>
              </a:graphicData>
            </a:graphic>
          </wp:inline>
        </w:drawing>
      </w:r>
    </w:p>
    <w:p>
      <w:pPr>
        <w:widowControl/>
        <w:autoSpaceDE/>
        <w:autoSpaceDN/>
        <w:ind w:firstLine="0" w:firstLineChars="0"/>
        <w:rPr>
          <w:rFonts w:hint="eastAsia"/>
        </w:rPr>
      </w:pPr>
    </w:p>
    <w:p>
      <w:pPr>
        <w:widowControl/>
        <w:autoSpaceDE/>
        <w:autoSpaceDN/>
        <w:ind w:firstLine="0" w:firstLineChars="0"/>
        <w:sectPr>
          <w:footerReference r:id="rId19" w:type="default"/>
          <w:pgSz w:w="11910" w:h="16840"/>
          <w:pgMar w:top="1661" w:right="1321" w:bottom="1361" w:left="1338" w:header="851" w:footer="992" w:gutter="0"/>
          <w:cols w:space="425" w:num="1"/>
          <w:docGrid w:linePitch="312" w:charSpace="0"/>
        </w:sectPr>
      </w:pPr>
    </w:p>
    <w:p>
      <w:pPr>
        <w:widowControl/>
        <w:autoSpaceDE/>
        <w:autoSpaceDN/>
        <w:ind w:firstLine="0" w:firstLineChars="0"/>
        <w:rPr>
          <w:rFonts w:hint="eastAsia"/>
        </w:rPr>
      </w:pPr>
      <w:r>
        <w:rPr>
          <w:rFonts w:hint="eastAsia"/>
        </w:rPr>
        <w:t>附图2：</w:t>
      </w:r>
      <w:r>
        <w:rPr>
          <w:rFonts w:hint="eastAsia"/>
          <w:lang w:val="en-US"/>
        </w:rPr>
        <w:t>建设项目位置图</w:t>
      </w:r>
    </w:p>
    <w:p>
      <w:pPr>
        <w:widowControl/>
        <w:autoSpaceDE/>
        <w:autoSpaceDN/>
        <w:ind w:firstLine="0" w:firstLineChars="0"/>
        <w:jc w:val="center"/>
        <w:rPr>
          <w:rFonts w:hint="eastAsia"/>
        </w:rPr>
      </w:pPr>
      <w:r>
        <w:rPr>
          <w:sz w:val="28"/>
          <w:szCs w:val="28"/>
        </w:rPr>
        <w:drawing>
          <wp:anchor distT="0" distB="0" distL="114300" distR="114300" simplePos="0" relativeHeight="251682816" behindDoc="0" locked="0" layoutInCell="1" allowOverlap="1">
            <wp:simplePos x="0" y="0"/>
            <wp:positionH relativeFrom="column">
              <wp:posOffset>7927975</wp:posOffset>
            </wp:positionH>
            <wp:positionV relativeFrom="paragraph">
              <wp:posOffset>24130</wp:posOffset>
            </wp:positionV>
            <wp:extent cx="254000" cy="342900"/>
            <wp:effectExtent l="0" t="0" r="0" b="0"/>
            <wp:wrapNone/>
            <wp:docPr id="15" name="图片 15" descr="C:\Users\ADMINI~1\AppData\Local\Temp\16069601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1606960149(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54000" cy="342900"/>
                    </a:xfrm>
                    <a:prstGeom prst="rect">
                      <a:avLst/>
                    </a:prstGeom>
                    <a:noFill/>
                    <a:ln>
                      <a:noFill/>
                    </a:ln>
                  </pic:spPr>
                </pic:pic>
              </a:graphicData>
            </a:graphic>
          </wp:anchor>
        </w:drawing>
      </w:r>
      <w:r>
        <w:rPr>
          <w:lang w:val="en-US" w:bidi="ar-SA"/>
        </w:rPr>
        <w:drawing>
          <wp:inline distT="0" distB="0" distL="0" distR="0">
            <wp:extent cx="7600950" cy="5387340"/>
            <wp:effectExtent l="19050" t="1905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7602526" cy="5388643"/>
                    </a:xfrm>
                    <a:prstGeom prst="rect">
                      <a:avLst/>
                    </a:prstGeom>
                    <a:ln w="15875">
                      <a:solidFill>
                        <a:schemeClr val="tx1"/>
                      </a:solidFill>
                    </a:ln>
                  </pic:spPr>
                </pic:pic>
              </a:graphicData>
            </a:graphic>
          </wp:inline>
        </w:drawing>
      </w:r>
    </w:p>
    <w:p>
      <w:pPr>
        <w:widowControl/>
        <w:autoSpaceDE/>
        <w:autoSpaceDN/>
        <w:ind w:firstLine="0" w:firstLineChars="0"/>
        <w:sectPr>
          <w:pgSz w:w="16840" w:h="11910" w:orient="landscape"/>
          <w:pgMar w:top="1338" w:right="1661" w:bottom="1321" w:left="1361" w:header="851" w:footer="992" w:gutter="0"/>
          <w:cols w:space="425" w:num="1"/>
          <w:docGrid w:linePitch="326" w:charSpace="0"/>
        </w:sectPr>
      </w:pPr>
    </w:p>
    <w:p>
      <w:pPr>
        <w:widowControl/>
        <w:autoSpaceDE/>
        <w:autoSpaceDN/>
        <w:ind w:firstLine="0" w:firstLineChars="0"/>
      </w:pPr>
      <w:r>
        <w:rPr>
          <w:rFonts w:hint="eastAsia"/>
        </w:rPr>
        <w:t>附图3：甘肃省黄河流域一级水功能区划图</w:t>
      </w:r>
    </w:p>
    <w:p>
      <w:pPr>
        <w:widowControl/>
        <w:autoSpaceDE/>
        <w:autoSpaceDN/>
        <w:ind w:firstLine="0" w:firstLineChars="0"/>
        <w:jc w:val="both"/>
      </w:pPr>
    </w:p>
    <w:p>
      <w:pPr>
        <w:ind w:firstLine="0" w:firstLineChars="0"/>
        <w:rPr>
          <w:rFonts w:asciiTheme="minorEastAsia" w:hAnsiTheme="minorEastAsia" w:eastAsiaTheme="minorEastAsia"/>
        </w:rPr>
      </w:pPr>
    </w:p>
    <w:p>
      <w:pPr>
        <w:widowControl/>
        <w:autoSpaceDE/>
        <w:autoSpaceDN/>
        <w:spacing w:line="240" w:lineRule="auto"/>
        <w:ind w:firstLine="0" w:firstLineChars="0"/>
        <w:rPr>
          <w:rFonts w:asciiTheme="minorEastAsia" w:hAnsiTheme="minorEastAsia" w:eastAsiaTheme="minorEastAsia"/>
        </w:rPr>
      </w:pPr>
      <w:r>
        <w:rPr>
          <w:lang w:val="en-US" w:bidi="ar-SA"/>
        </w:rPr>
        <w:drawing>
          <wp:anchor distT="0" distB="0" distL="114300" distR="114300" simplePos="0" relativeHeight="251667456" behindDoc="0" locked="0" layoutInCell="1" allowOverlap="1">
            <wp:simplePos x="0" y="0"/>
            <wp:positionH relativeFrom="column">
              <wp:posOffset>-1040765</wp:posOffset>
            </wp:positionH>
            <wp:positionV relativeFrom="paragraph">
              <wp:posOffset>972185</wp:posOffset>
            </wp:positionV>
            <wp:extent cx="8121015" cy="5257165"/>
            <wp:effectExtent l="0" t="1428750" r="0" b="141033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rot="16200000">
                      <a:off x="0" y="0"/>
                      <a:ext cx="8121022" cy="5257352"/>
                    </a:xfrm>
                    <a:prstGeom prst="rect">
                      <a:avLst/>
                    </a:prstGeom>
                  </pic:spPr>
                </pic:pic>
              </a:graphicData>
            </a:graphic>
          </wp:anchor>
        </w:drawing>
      </w:r>
      <w:r>
        <w:rPr>
          <w:rFonts w:asciiTheme="minorEastAsia" w:hAnsiTheme="minorEastAsia" w:eastAsiaTheme="minorEastAsia"/>
        </w:rPr>
        <w:br w:type="page"/>
      </w:r>
    </w:p>
    <w:p>
      <w:pPr>
        <w:ind w:firstLine="0" w:firstLineChars="0"/>
        <w:rPr>
          <w:rFonts w:asciiTheme="minorEastAsia" w:hAnsiTheme="minorEastAsia" w:eastAsiaTheme="minorEastAsia"/>
        </w:rPr>
      </w:pPr>
      <w:r>
        <w:rPr>
          <w:rFonts w:hint="eastAsia" w:asciiTheme="minorEastAsia" w:hAnsiTheme="minorEastAsia" w:eastAsiaTheme="minorEastAsia"/>
        </w:rPr>
        <w:t>附图4：甘肃省黄河流域二级水功能区划图</w:t>
      </w:r>
    </w:p>
    <w:p>
      <w:pPr>
        <w:widowControl/>
        <w:autoSpaceDE/>
        <w:autoSpaceDN/>
        <w:spacing w:line="240" w:lineRule="auto"/>
        <w:ind w:firstLine="0" w:firstLineChars="0"/>
        <w:rPr>
          <w:rFonts w:hint="eastAsia"/>
        </w:rPr>
      </w:pPr>
      <w:r>
        <w:rPr>
          <w:lang w:val="en-US" w:bidi="ar-SA"/>
        </w:rPr>
        <w:drawing>
          <wp:anchor distT="0" distB="0" distL="114300" distR="114300" simplePos="0" relativeHeight="251668480" behindDoc="0" locked="0" layoutInCell="1" allowOverlap="1">
            <wp:simplePos x="0" y="0"/>
            <wp:positionH relativeFrom="column">
              <wp:posOffset>-796290</wp:posOffset>
            </wp:positionH>
            <wp:positionV relativeFrom="paragraph">
              <wp:posOffset>1403985</wp:posOffset>
            </wp:positionV>
            <wp:extent cx="7825105" cy="5464810"/>
            <wp:effectExtent l="0" t="1181100" r="0" b="11645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rot="16200000">
                      <a:off x="0" y="0"/>
                      <a:ext cx="7825116" cy="5464903"/>
                    </a:xfrm>
                    <a:prstGeom prst="rect">
                      <a:avLst/>
                    </a:prstGeom>
                  </pic:spPr>
                </pic:pic>
              </a:graphicData>
            </a:graphic>
          </wp:anchor>
        </w:drawing>
      </w: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rFonts w:hint="eastAsia"/>
        </w:rPr>
      </w:pPr>
    </w:p>
    <w:p>
      <w:pPr>
        <w:widowControl/>
        <w:autoSpaceDE/>
        <w:autoSpaceDN/>
        <w:spacing w:line="240" w:lineRule="auto"/>
        <w:ind w:firstLine="0" w:firstLineChars="0"/>
        <w:rPr>
          <w:lang w:val="en-US"/>
        </w:rPr>
      </w:pPr>
      <w:r>
        <w:rPr>
          <w:rFonts w:hint="eastAsia"/>
        </w:rPr>
        <w:t>附图5：</w:t>
      </w:r>
      <w:r>
        <w:rPr>
          <w:rFonts w:hint="eastAsia"/>
          <w:lang w:val="en-US"/>
        </w:rPr>
        <w:t>水平衡图</w:t>
      </w:r>
    </w:p>
    <w:p>
      <w:pPr>
        <w:ind w:firstLine="480"/>
        <w:rPr>
          <w:rFonts w:hint="eastAsia"/>
          <w:sz w:val="28"/>
          <w:szCs w:val="28"/>
        </w:rPr>
      </w:pPr>
      <w:r>
        <w:rPr>
          <w:lang w:val="en-US" w:bidi="ar-SA"/>
        </w:rPr>
        <w:pict>
          <v:shape id="_x0000_s1234" o:spid="_x0000_s1234" o:spt="202" type="#_x0000_t202" style="position:absolute;left:0pt;margin-left:294.15pt;margin-top:63.35pt;height:17.5pt;width:32.1pt;z-index:251681792;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2E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khBYLnS9R6otXoY&#10;cVhJEFptP2LUwXiX2H3YEsswEi8UtGeeTSZhH6IymV7moNhzS3VuIYoCVIk9RoO48nGHInHmGtq4&#10;5pHgh0yOOcPYRt6PKxb24lyPXg8/guUP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Co4rYQ5AgAAUAQAAA4AAAAAAAAAAAAA&#10;AAAALgIAAGRycy9lMm9Eb2MueG1sUEsBAi0AFAAGAAgAAAAhAP0vMtbbAAAABQEAAA8AAAAAAAAA&#10;AAAAAAAAkwQAAGRycy9kb3ducmV2LnhtbFBLBQYAAAAABAAEAPMAAACbBQAAAAA=&#10;">
            <v:path/>
            <v:fill focussize="0,0"/>
            <v:stroke on="f" joinstyle="miter"/>
            <v:imagedata o:title=""/>
            <o:lock v:ext="edit"/>
            <v:textbox inset="0mm,0mm,0mm,0mm">
              <w:txbxContent>
                <w:p>
                  <w:pPr>
                    <w:ind w:firstLine="0" w:firstLineChars="0"/>
                    <w:jc w:val="center"/>
                  </w:pPr>
                  <w:r>
                    <w:rPr>
                      <w:rFonts w:hint="eastAsia"/>
                    </w:rPr>
                    <w:t>0.456</w:t>
                  </w:r>
                </w:p>
              </w:txbxContent>
            </v:textbox>
          </v:shape>
        </w:pict>
      </w:r>
      <w:r>
        <w:rPr>
          <w:lang w:val="en-US" w:bidi="ar-SA"/>
        </w:rPr>
        <w:pict>
          <v:shape id="_x0000_s1233" o:spid="_x0000_s1233" o:spt="202" type="#_x0000_t202" style="position:absolute;left:0pt;margin-left:41.85pt;margin-top:106.55pt;height:17.5pt;width:32.1pt;z-index:251680768;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2E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khBYLnS9R6otXoY&#10;cVhJEFptP2LUwXiX2H3YEsswEi8UtGeeTSZhH6IymV7moNhzS3VuIYoCVIk9RoO48nGHInHmGtq4&#10;5pHgh0yOOcPYRt6PKxb24lyPXg8/guUP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Co4rYQ5AgAAUAQAAA4AAAAAAAAAAAAA&#10;AAAALgIAAGRycy9lMm9Eb2MueG1sUEsBAi0AFAAGAAgAAAAhAP0vMtbbAAAABQEAAA8AAAAAAAAA&#10;AAAAAAAAkwQAAGRycy9kb3ducmV2LnhtbFBLBQYAAAAABAAEAPMAAACbBQAAAAA=&#10;">
            <v:path/>
            <v:fill focussize="0,0"/>
            <v:stroke on="f" joinstyle="miter"/>
            <v:imagedata o:title=""/>
            <o:lock v:ext="edit"/>
            <v:textbox inset="0mm,0mm,0mm,0mm">
              <w:txbxContent>
                <w:p>
                  <w:pPr>
                    <w:ind w:firstLine="0" w:firstLineChars="0"/>
                    <w:jc w:val="center"/>
                  </w:pPr>
                  <w:r>
                    <w:rPr>
                      <w:rFonts w:hint="eastAsia"/>
                    </w:rPr>
                    <w:t>0.532</w:t>
                  </w:r>
                </w:p>
              </w:txbxContent>
            </v:textbox>
          </v:shape>
        </w:pict>
      </w:r>
      <w:r>
        <w:rPr>
          <w:lang w:val="en-US" w:bidi="ar-SA"/>
        </w:rPr>
        <w:pict>
          <v:shape id="_x0000_s1232" o:spid="_x0000_s1232" o:spt="202" type="#_x0000_t202" style="position:absolute;left:0pt;margin-left:220.9pt;margin-top:79.55pt;height:17.5pt;width:32.1pt;z-index:251679744;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2E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khBYLnS9R6otXoY&#10;cVhJEFptP2LUwXiX2H3YEsswEi8UtGeeTSZhH6IymV7moNhzS3VuIYoCVIk9RoO48nGHInHmGtq4&#10;5pHgh0yOOcPYRt6PKxb24lyPXg8/guUP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Co4rYQ5AgAAUAQAAA4AAAAAAAAAAAAA&#10;AAAALgIAAGRycy9lMm9Eb2MueG1sUEsBAi0AFAAGAAgAAAAhAP0vMtbbAAAABQEAAA8AAAAAAAAA&#10;AAAAAAAAkwQAAGRycy9kb3ducmV2LnhtbFBLBQYAAAAABAAEAPMAAACbBQAAAAA=&#10;">
            <v:path/>
            <v:fill focussize="0,0"/>
            <v:stroke on="f" joinstyle="miter"/>
            <v:imagedata o:title=""/>
            <o:lock v:ext="edit"/>
            <v:textbox inset="0mm,0mm,0mm,0mm">
              <w:txbxContent>
                <w:p>
                  <w:pPr>
                    <w:ind w:firstLine="0" w:firstLineChars="0"/>
                    <w:jc w:val="center"/>
                  </w:pPr>
                  <w:r>
                    <w:rPr>
                      <w:rFonts w:hint="eastAsia"/>
                    </w:rPr>
                    <w:t>0.04</w:t>
                  </w:r>
                </w:p>
              </w:txbxContent>
            </v:textbox>
          </v:shape>
        </w:pict>
      </w:r>
      <w:r>
        <w:rPr>
          <w:lang w:val="en-US" w:bidi="ar-SA"/>
        </w:rPr>
        <w:pict>
          <v:shape id="_x0000_s1231" o:spid="_x0000_s1231" o:spt="202" type="#_x0000_t202" style="position:absolute;left:0pt;margin-left:243.45pt;margin-top:106.55pt;height:17.5pt;width:32.1pt;z-index:251678720;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2E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khBYLnS9R6otXoY&#10;cVhJEFptP2LUwXiX2H3YEsswEi8UtGeeTSZhH6IymV7moNhzS3VuIYoCVIk9RoO48nGHInHmGtq4&#10;5pHgh0yOOcPYRt6PKxb24lyPXg8/guUP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Co4rYQ5AgAAUAQAAA4AAAAAAAAAAAAA&#10;AAAALgIAAGRycy9lMm9Eb2MueG1sUEsBAi0AFAAGAAgAAAAhAP0vMtbbAAAABQEAAA8AAAAAAAAA&#10;AAAAAAAAkwQAAGRycy9kb3ducmV2LnhtbFBLBQYAAAAABAAEAPMAAACbBQAAAAA=&#10;">
            <v:path/>
            <v:fill focussize="0,0"/>
            <v:stroke on="f" joinstyle="miter"/>
            <v:imagedata o:title=""/>
            <o:lock v:ext="edit"/>
            <v:textbox inset="0mm,0mm,0mm,0mm">
              <w:txbxContent>
                <w:p>
                  <w:pPr>
                    <w:ind w:firstLine="0" w:firstLineChars="0"/>
                    <w:jc w:val="center"/>
                  </w:pPr>
                  <w:r>
                    <w:rPr>
                      <w:rFonts w:hint="eastAsia"/>
                    </w:rPr>
                    <w:t>0.36</w:t>
                  </w:r>
                </w:p>
              </w:txbxContent>
            </v:textbox>
          </v:shape>
        </w:pict>
      </w:r>
      <w:r>
        <w:pict>
          <v:shape id="文本框 2" o:spid="_x0000_s1230" o:spt="202" type="#_x0000_t202" style="position:absolute;left:0pt;margin-left:101.35pt;margin-top:108.4pt;height:17.5pt;width:32.1pt;z-index:251677696;mso-width-relative:margin;mso-height-relative:margin;"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Co4rYQ5AgAAUAQAAA4AAAAAAAAAAAAA&#10;AAAALgIAAGRycy9lMm9Eb2MueG1sUEsBAi0AFAAGAAgAAAAhAP0vMtbbAAAABQEAAA8AAAAAAAAA&#10;AAAAAAAAkwQAAGRycy9kb3ducmV2LnhtbFBLBQYAAAAABAAEAPMAAACbBQAAAAA=&#10;">
            <v:path/>
            <v:fill focussize="0,0"/>
            <v:stroke on="f" joinstyle="miter"/>
            <v:imagedata o:title=""/>
            <o:lock v:ext="edit"/>
            <v:textbox inset="0mm,0mm,0mm,0mm">
              <w:txbxContent>
                <w:p>
                  <w:pPr>
                    <w:ind w:firstLine="0" w:firstLineChars="0"/>
                    <w:jc w:val="center"/>
                  </w:pPr>
                  <w:r>
                    <w:rPr>
                      <w:rFonts w:hint="eastAsia"/>
                    </w:rPr>
                    <w:t>0.4</w:t>
                  </w:r>
                </w:p>
              </w:txbxContent>
            </v:textbox>
          </v:shape>
        </w:pict>
      </w:r>
      <w:r>
        <w:drawing>
          <wp:inline distT="0" distB="0" distL="0" distR="0">
            <wp:extent cx="5874385" cy="30587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3"/>
                    <a:stretch>
                      <a:fillRect/>
                    </a:stretch>
                  </pic:blipFill>
                  <pic:spPr>
                    <a:xfrm>
                      <a:off x="0" y="0"/>
                      <a:ext cx="5874385" cy="3059100"/>
                    </a:xfrm>
                    <a:prstGeom prst="rect">
                      <a:avLst/>
                    </a:prstGeom>
                  </pic:spPr>
                </pic:pic>
              </a:graphicData>
            </a:graphic>
          </wp:inline>
        </w:drawing>
      </w: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ind w:firstLine="560"/>
        <w:rPr>
          <w:rFonts w:hint="eastAsia"/>
          <w:sz w:val="28"/>
          <w:szCs w:val="28"/>
        </w:rPr>
      </w:pPr>
    </w:p>
    <w:p>
      <w:pPr>
        <w:widowControl/>
        <w:autoSpaceDE/>
        <w:autoSpaceDN/>
        <w:ind w:firstLine="560"/>
        <w:rPr>
          <w:rFonts w:hint="eastAsia"/>
          <w:sz w:val="28"/>
          <w:szCs w:val="28"/>
        </w:rPr>
      </w:pPr>
    </w:p>
    <w:p>
      <w:pPr>
        <w:widowControl/>
        <w:autoSpaceDE/>
        <w:autoSpaceDN/>
        <w:ind w:firstLine="480"/>
        <w:sectPr>
          <w:pgSz w:w="11910" w:h="16840"/>
          <w:pgMar w:top="1661" w:right="1321" w:bottom="1361" w:left="1338" w:header="851" w:footer="992" w:gutter="0"/>
          <w:cols w:space="425" w:num="1"/>
          <w:docGrid w:linePitch="312" w:charSpace="0"/>
        </w:sectPr>
      </w:pPr>
    </w:p>
    <w:p>
      <w:pPr>
        <w:widowControl/>
        <w:autoSpaceDE/>
        <w:autoSpaceDN/>
        <w:ind w:firstLine="0" w:firstLineChars="0"/>
        <w:rPr>
          <w:lang w:val="en-US"/>
        </w:rPr>
      </w:pPr>
      <w:r>
        <w:rPr>
          <w:rFonts w:hint="eastAsia"/>
        </w:rPr>
        <w:t>附图6：</w:t>
      </w:r>
      <w:r>
        <w:rPr>
          <w:rFonts w:hint="eastAsia"/>
          <w:lang w:val="en-US"/>
        </w:rPr>
        <w:t>论证分析范围图</w:t>
      </w:r>
    </w:p>
    <w:p>
      <w:pPr>
        <w:widowControl/>
        <w:autoSpaceDE/>
        <w:autoSpaceDN/>
        <w:ind w:firstLine="480"/>
        <w:rPr>
          <w:rFonts w:hint="eastAsia"/>
          <w:lang w:val="en-US"/>
        </w:rPr>
      </w:pPr>
      <w:r>
        <w:pict>
          <v:group id="_x0000_s1278" o:spid="_x0000_s1278" o:spt="203" style="height:399.95pt;width:658.8pt;" coordsize="13176,7999">
            <o:lock v:ext="edit"/>
            <v:shape id="_x0000_s1279" o:spid="_x0000_s1279" o:spt="75" type="#_x0000_t75" style="position:absolute;left:0;top:0;height:7999;width:13176;" filled="f" o:preferrelative="t" stroked="f" coordsize="21600,21600">
              <v:path/>
              <v:fill on="f" focussize="0,0"/>
              <v:stroke on="f" weight="1.25pt" joinstyle="miter"/>
              <v:imagedata r:id="rId33" o:title=""/>
              <o:lock v:ext="edit" aspectratio="t"/>
            </v:shape>
            <v:group id="_x0000_s1280" o:spid="_x0000_s1280" o:spt="203" style="position:absolute;left:6611;top:2508;height:1097;width:1205;" coordorigin="6611,2508" coordsize="1205,1097">
              <o:lock v:ext="edit"/>
              <v:shape id="_x0000_s1281" o:spid="_x0000_s1281" style="position:absolute;left:6611;top:2508;height:1097;width:1205;" stroked="f" coordorigin="6611,2508" coordsize="1205,1097" path="m7113,3178l6812,3178,6667,3605,7113,3178xe">
                <v:path arrowok="t"/>
                <v:fill focussize="0,0"/>
                <v:stroke on="f" weight="1.25pt"/>
                <v:imagedata o:title=""/>
                <o:lock v:ext="edit"/>
              </v:shape>
              <v:shape id="_x0000_s1282" o:spid="_x0000_s1282" style="position:absolute;left:6611;top:2508;height:1097;width:1205;" stroked="f" coordorigin="6611,2508" coordsize="1205,1097" path="m7816,2508l6611,2508,6611,3178,7816,3178,7816,2508xe">
                <v:path arrowok="t"/>
                <v:fill focussize="0,0"/>
                <v:stroke on="f" weight="1.25pt"/>
                <v:imagedata o:title=""/>
                <o:lock v:ext="edit"/>
              </v:shape>
            </v:group>
            <v:group id="_x0000_s1283" o:spid="_x0000_s1283" o:spt="203" style="position:absolute;left:6611;top:2508;height:1097;width:1205;" coordorigin="6611,2508" coordsize="1205,1097">
              <o:lock v:ext="edit"/>
              <v:shape id="_x0000_s1284" o:spid="_x0000_s1284" style="position:absolute;left:6611;top:2508;height:1097;width:1205;" filled="f" coordorigin="6611,2508" coordsize="1205,1097" path="m6611,2508l6611,2899,6611,3066,6611,3178,6812,3178,6667,3605,7113,3178,7816,3178,7816,3066,7816,2899,7816,2508,7113,2508,6812,2508,6611,2508xe">
                <v:path arrowok="t"/>
                <v:fill on="f" focussize="0,0"/>
                <v:stroke weight="1.25pt"/>
                <v:imagedata o:title=""/>
                <o:lock v:ext="edit"/>
              </v:shape>
            </v:group>
            <v:group id="_x0000_s1285" o:spid="_x0000_s1285" o:spt="203" style="position:absolute;left:5461;top:2089;height:1281;width:1033;" coordorigin="5461,2089" coordsize="1033,1281">
              <o:lock v:ext="edit"/>
              <v:shape id="_x0000_s1286" o:spid="_x0000_s1286" style="position:absolute;left:5461;top:2089;height:1281;width:1033;" stroked="f" coordorigin="5461,2089" coordsize="1033,1281" path="m5908,2759l5657,2759,5461,3370,5908,2759xe">
                <v:path arrowok="t"/>
                <v:fill focussize="0,0"/>
                <v:stroke on="f" weight="1.25pt"/>
                <v:imagedata o:title=""/>
                <o:lock v:ext="edit"/>
              </v:shape>
              <v:shape id="_x0000_s1287" o:spid="_x0000_s1287" style="position:absolute;left:5461;top:2089;height:1281;width:1033;" stroked="f" coordorigin="5461,2089" coordsize="1033,1281" path="m6494,2089l5490,2089,5490,2759,6494,2759,6494,2089xe">
                <v:path arrowok="t"/>
                <v:fill focussize="0,0"/>
                <v:stroke on="f" weight="1.25pt"/>
                <v:imagedata o:title=""/>
                <o:lock v:ext="edit"/>
              </v:shape>
            </v:group>
            <v:group id="_x0000_s1288" o:spid="_x0000_s1288" o:spt="203" style="position:absolute;left:5461;top:2089;height:1281;width:1033;" coordorigin="5461,2089" coordsize="1033,1281">
              <o:lock v:ext="edit"/>
              <v:shape id="_x0000_s1289" o:spid="_x0000_s1289" style="position:absolute;left:5461;top:2089;height:1281;width:1033;" filled="f" coordorigin="5461,2089" coordsize="1033,1281" path="m5490,2089l5490,2480,5490,2647,5490,2759,5657,2759,5461,3370,5908,2759,6494,2759,6494,2647,6494,2480,6494,2089,5908,2089,5657,2089,5490,2089xe">
                <v:path arrowok="t"/>
                <v:fill on="f" focussize="0,0"/>
                <v:stroke weight="1.25pt"/>
                <v:imagedata o:title=""/>
                <o:lock v:ext="edit"/>
              </v:shape>
            </v:group>
            <v:group id="_x0000_s1290" o:spid="_x0000_s1290" o:spt="203" style="position:absolute;left:6822;top:4350;height:670;width:1718;" coordorigin="6822,4350" coordsize="1718,670">
              <o:lock v:ext="edit"/>
              <v:shape id="_x0000_s1291" o:spid="_x0000_s1291" style="position:absolute;left:6822;top:4350;height:670;width:1718;" stroked="f" coordorigin="6822,4350" coordsize="1718,670" path="m8540,4350l7335,4350,7335,4462,6822,4560,7335,4629,7335,5020,8540,5020,8540,4350xe">
                <v:path arrowok="t"/>
                <v:fill focussize="0,0"/>
                <v:stroke on="f" weight="1.25pt"/>
                <v:imagedata o:title=""/>
                <o:lock v:ext="edit"/>
              </v:shape>
            </v:group>
            <v:group id="_x0000_s1292" o:spid="_x0000_s1292" o:spt="203" style="position:absolute;left:6822;top:4350;height:670;width:1718;" coordorigin="6822,4350" coordsize="1718,670">
              <o:lock v:ext="edit"/>
              <v:shape id="_x0000_s1293" o:spid="_x0000_s1293" style="position:absolute;left:6822;top:4350;height:670;width:1718;" filled="f" coordorigin="6822,4350" coordsize="1718,670" path="m7335,4350l7335,4462,6822,4560,7335,4629,7335,5020,7536,5020,7837,5020,8540,5020,8540,4629,8540,4462,8540,4350,7837,4350,7536,4350,7335,4350xe">
                <v:path arrowok="t"/>
                <v:fill on="f" focussize="0,0"/>
                <v:stroke weight="1.25pt"/>
                <v:imagedata o:title=""/>
                <o:lock v:ext="edit"/>
              </v:shape>
            </v:group>
            <v:group id="_x0000_s1294" o:spid="_x0000_s1294" o:spt="203" style="position:absolute;left:4065;top:4936;height:670;width:2087;" coordorigin="4065,4936" coordsize="2087,670">
              <o:lock v:ext="edit"/>
              <v:shape id="_x0000_s1295" o:spid="_x0000_s1295" style="position:absolute;left:4065;top:4936;height:670;width:2087;" stroked="f" coordorigin="4065,4936" coordsize="2087,670" path="m5191,4936l4065,4936,4065,5606,5191,5606,5191,5494,6003,5327,5191,5327,5191,4936xe">
                <v:path arrowok="t"/>
                <v:fill focussize="0,0"/>
                <v:stroke on="f" weight="1.25pt"/>
                <v:imagedata o:title=""/>
                <o:lock v:ext="edit"/>
              </v:shape>
              <v:shape id="_x0000_s1296" o:spid="_x0000_s1296" style="position:absolute;left:4065;top:4936;height:670;width:2087;" stroked="f" coordorigin="4065,4936" coordsize="2087,670" path="m6152,5296l5191,5327,6003,5327,6152,5296xe">
                <v:path arrowok="t"/>
                <v:fill focussize="0,0"/>
                <v:stroke on="f" weight="1.25pt"/>
                <v:imagedata o:title=""/>
                <o:lock v:ext="edit"/>
              </v:shape>
            </v:group>
            <v:group id="_x0000_s1297" o:spid="_x0000_s1297" o:spt="203" style="position:absolute;left:4065;top:4936;height:670;width:2087;" coordorigin="4065,4936" coordsize="2087,670">
              <o:lock v:ext="edit"/>
              <v:shape id="_x0000_s1298" o:spid="_x0000_s1298" style="position:absolute;left:4065;top:4936;height:670;width:2087;" filled="f" coordorigin="4065,4936" coordsize="2087,670" path="m4065,4936l4065,5327,4065,5494,4065,5606,4722,5606,5003,5606,5191,5606,5191,5494,6152,5296,5191,5327,5191,4936,5003,4936,4722,4936,4065,4936xe">
                <v:path arrowok="t"/>
                <v:fill on="f" focussize="0,0"/>
                <v:stroke weight="1.25pt"/>
                <v:imagedata o:title=""/>
                <o:lock v:ext="edit"/>
              </v:shape>
            </v:group>
            <v:group id="_x0000_s1299" o:spid="_x0000_s1299" o:spt="203" style="position:absolute;left:5191;top:5916;height:1096;width:1129;" coordorigin="5191,5916" coordsize="1129,1096">
              <o:lock v:ext="edit"/>
              <v:shape id="_x0000_s1300" o:spid="_x0000_s1300" style="position:absolute;left:5191;top:5916;height:1096;width:1129;" stroked="f" coordorigin="5191,5916" coordsize="1129,1096" path="m6275,6342l5191,6342,5191,7012,6275,7012,6275,6342xe">
                <v:path arrowok="t"/>
                <v:fill focussize="0,0"/>
                <v:stroke on="f" weight="1.25pt"/>
                <v:imagedata o:title=""/>
                <o:lock v:ext="edit"/>
              </v:shape>
              <v:shape id="_x0000_s1301" o:spid="_x0000_s1301" style="position:absolute;left:5191;top:5916;height:1096;width:1129;" stroked="f" coordorigin="5191,5916" coordsize="1129,1096" path="m6320,5916l5823,6342,6094,6342,6320,5916xe">
                <v:path arrowok="t"/>
                <v:fill focussize="0,0"/>
                <v:stroke on="f" weight="1.25pt"/>
                <v:imagedata o:title=""/>
                <o:lock v:ext="edit"/>
              </v:shape>
            </v:group>
            <v:group id="_x0000_s1302" o:spid="_x0000_s1302" o:spt="203" style="position:absolute;left:5191;top:5916;height:1096;width:1129;" coordorigin="5191,5916" coordsize="1129,1096">
              <o:lock v:ext="edit"/>
              <v:shape id="_x0000_s1303" o:spid="_x0000_s1303" style="position:absolute;left:5191;top:5916;height:1096;width:1129;" filled="f" coordorigin="5191,5916" coordsize="1129,1096" path="m5191,6342l5191,6454,5191,6621,5191,7012,5823,7012,6094,7012,6275,7012,6275,6621,6275,6454,6275,6342,6094,6342,6320,5916,5823,6342,5191,6342xe">
                <v:path arrowok="t"/>
                <v:fill on="f" focussize="0,0"/>
                <v:stroke weight="1.25pt"/>
                <v:imagedata o:title=""/>
                <o:lock v:ext="edit"/>
              </v:shape>
            </v:group>
            <v:group id="_x0000_s1304" o:spid="_x0000_s1304" o:spt="203" style="position:absolute;left:7591;top:5221;height:670;width:1950;" coordorigin="7591,5221" coordsize="1950,670">
              <o:lock v:ext="edit"/>
              <v:shape id="_x0000_s1305" o:spid="_x0000_s1305" style="position:absolute;left:7591;top:5221;height:670;width:1950;" stroked="f" coordorigin="7591,5221" coordsize="1950,670" path="m9541,5779l8540,5779,8540,5891,9541,5891,9541,5779xe">
                <v:path arrowok="t"/>
                <v:fill focussize="0,0"/>
                <v:stroke on="f" weight="1.25pt"/>
                <v:imagedata o:title=""/>
                <o:lock v:ext="edit"/>
              </v:shape>
              <v:shape id="_x0000_s1306" o:spid="_x0000_s1306" style="position:absolute;left:7591;top:5221;height:670;width:1950;" stroked="f" coordorigin="7591,5221" coordsize="1950,670" path="m9541,5221l8540,5221,8540,5612,7591,5799,8540,5779,9541,5779,9541,5221xe">
                <v:path arrowok="t"/>
                <v:fill focussize="0,0"/>
                <v:stroke on="f" weight="1.25pt"/>
                <v:imagedata o:title=""/>
                <o:lock v:ext="edit"/>
              </v:shape>
            </v:group>
            <v:group id="_x0000_s1307" o:spid="_x0000_s1307" o:spt="203" style="position:absolute;left:7591;top:5221;height:670;width:1950;" coordorigin="7591,5221" coordsize="1950,670">
              <o:lock v:ext="edit"/>
              <v:shape id="_x0000_s1308" o:spid="_x0000_s1308" style="position:absolute;left:7591;top:5221;height:670;width:1950;" filled="f" coordorigin="7591,5221" coordsize="1950,670" path="m8540,5221l8540,5612,7591,5799,8540,5779,8540,5891,8707,5891,8957,5891,9541,5891,9541,5779,9541,5612,9541,5221,8957,5221,8707,5221,8540,5221xe">
                <v:path arrowok="t"/>
                <v:fill on="f" focussize="0,0"/>
                <v:stroke weight="1.25pt"/>
                <v:imagedata o:title=""/>
                <o:lock v:ext="edit"/>
              </v:shape>
            </v:group>
            <v:group id="_x0000_s1309" o:spid="_x0000_s1309" o:spt="203" style="position:absolute;left:6855;top:6175;height:670;width:1899;" coordorigin="6855,6175" coordsize="1899,670">
              <o:lock v:ext="edit"/>
              <v:shape id="_x0000_s1310" o:spid="_x0000_s1310" style="position:absolute;left:6855;top:6175;height:670;width:1899;" stroked="f" coordorigin="6855,6175" coordsize="1899,670" path="m6855,6254l7636,6454,7636,6845,8754,6845,8754,6287,7636,6287,6855,6254xe">
                <v:path arrowok="t"/>
                <v:fill focussize="0,0"/>
                <v:stroke on="f" weight="1.25pt"/>
                <v:imagedata o:title=""/>
                <o:lock v:ext="edit"/>
              </v:shape>
              <v:shape id="_x0000_s1311" o:spid="_x0000_s1311" style="position:absolute;left:6855;top:6175;height:670;width:1899;" stroked="f" coordorigin="6855,6175" coordsize="1899,670" path="m8754,6175l7636,6175,7636,6287,8754,6287,8754,6175xe">
                <v:path arrowok="t"/>
                <v:fill focussize="0,0"/>
                <v:stroke on="f" weight="1.25pt"/>
                <v:imagedata o:title=""/>
                <o:lock v:ext="edit"/>
              </v:shape>
            </v:group>
            <v:group id="_x0000_s1312" o:spid="_x0000_s1312" o:spt="203" style="position:absolute;left:6855;top:6175;height:670;width:1899;" coordorigin="6855,6175" coordsize="1899,670">
              <o:lock v:ext="edit"/>
              <v:shape id="_x0000_s1313" o:spid="_x0000_s1313" style="position:absolute;left:6855;top:6175;height:670;width:1899;" filled="f" coordorigin="6855,6175" coordsize="1899,670" path="m7636,6175l7636,6287,6855,6254,7636,6454,7636,6845,7822,6845,8102,6845,8754,6845,8754,6454,8754,6287,8754,6175,8102,6175,7822,6175,7636,6175xe">
                <v:path arrowok="t"/>
                <v:fill on="f" focussize="0,0"/>
                <v:stroke weight="1.25pt"/>
                <v:imagedata o:title=""/>
                <o:lock v:ext="edit"/>
              </v:shape>
              <v:shape id="_x0000_s1314" o:spid="_x0000_s1314" o:spt="202" type="#_x0000_t202" style="position:absolute;left:5643;top:2339;height:212;width:634;" filled="f" stroked="f" coordsize="21600,21600">
                <v:path/>
                <v:fill on="f" focussize="0,0"/>
                <v:stroke on="f" weight="1.25pt"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z w:val="21"/>
                          <w:szCs w:val="21"/>
                        </w:rPr>
                        <w:t>陈仓沟</w:t>
                      </w:r>
                    </w:p>
                  </w:txbxContent>
                </v:textbox>
              </v:shape>
              <v:shape id="_x0000_s1315" o:spid="_x0000_s1315" o:spt="202" type="#_x0000_t202" style="position:absolute;left:6764;top:2757;height:212;width:843;" filled="f" stroked="f" coordsize="21600,21600">
                <v:path/>
                <v:fill on="f" focussize="0,0"/>
                <v:stroke on="f" weight="1.25pt"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z w:val="21"/>
                          <w:szCs w:val="21"/>
                        </w:rPr>
                        <w:t>盖家</w:t>
                      </w:r>
                      <w:r>
                        <w:rPr>
                          <w:rFonts w:ascii="宋体" w:hAnsi="宋体"/>
                          <w:spacing w:val="-3"/>
                          <w:sz w:val="21"/>
                          <w:szCs w:val="21"/>
                        </w:rPr>
                        <w:t>川</w:t>
                      </w:r>
                      <w:r>
                        <w:rPr>
                          <w:rFonts w:ascii="宋体" w:hAnsi="宋体"/>
                          <w:sz w:val="21"/>
                          <w:szCs w:val="21"/>
                        </w:rPr>
                        <w:t>河</w:t>
                      </w:r>
                    </w:p>
                  </w:txbxContent>
                </v:textbox>
              </v:shape>
              <v:shape id="_x0000_s1316" o:spid="_x0000_s1316" o:spt="202" type="#_x0000_t202" style="position:absolute;left:7489;top:4601;height:212;width:905;" filled="f" stroked="f" coordsize="21600,21600">
                <v:path/>
                <v:fill on="f" focussize="0,0"/>
                <v:stroke on="f" weight="1.25pt"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pacing w:val="19"/>
                          <w:sz w:val="21"/>
                          <w:szCs w:val="21"/>
                        </w:rPr>
                        <w:t>砚瓦</w:t>
                      </w:r>
                      <w:r>
                        <w:rPr>
                          <w:rFonts w:ascii="宋体" w:hAnsi="宋体"/>
                          <w:spacing w:val="21"/>
                          <w:sz w:val="21"/>
                          <w:szCs w:val="21"/>
                        </w:rPr>
                        <w:t>川</w:t>
                      </w:r>
                      <w:r>
                        <w:rPr>
                          <w:rFonts w:ascii="宋体" w:hAnsi="宋体"/>
                          <w:sz w:val="21"/>
                          <w:szCs w:val="21"/>
                        </w:rPr>
                        <w:t>沟</w:t>
                      </w:r>
                    </w:p>
                  </w:txbxContent>
                </v:textbox>
              </v:shape>
              <v:shape id="_x0000_s1317" o:spid="_x0000_s1317" o:spt="202" type="#_x0000_t202" style="position:absolute;left:4218;top:5186;height:212;width:634;" filled="f" stroked="f" coordsize="21600,21600">
                <v:path/>
                <v:fill on="f" focussize="0,0"/>
                <v:stroke on="f" weight="1.25pt"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z w:val="21"/>
                          <w:szCs w:val="21"/>
                        </w:rPr>
                        <w:t>烂泥沟</w:t>
                      </w:r>
                    </w:p>
                  </w:txbxContent>
                </v:textbox>
              </v:shape>
              <v:shape id="_x0000_s1318" o:spid="_x0000_s1318" o:spt="202" type="#_x0000_t202" style="position:absolute;left:8694;top:5472;height:212;width:634;" filled="f" stroked="f" coordsize="21600,21600">
                <v:path/>
                <v:fill on="f" focussize="0,0"/>
                <v:stroke on="f" weight="1.25pt"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z w:val="21"/>
                          <w:szCs w:val="21"/>
                        </w:rPr>
                        <w:t>古宜沟</w:t>
                      </w:r>
                    </w:p>
                  </w:txbxContent>
                </v:textbox>
              </v:shape>
              <v:shape id="_x0000_s1319" o:spid="_x0000_s1319" o:spt="202" type="#_x0000_t202" style="position:absolute;left:5343;top:6593;height:212;width:634;" filled="f" stroked="f" coordsize="21600,21600">
                <v:path/>
                <v:fill on="f" focussize="0,0"/>
                <v:stroke on="f" weight="1.25pt"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z w:val="21"/>
                          <w:szCs w:val="21"/>
                        </w:rPr>
                        <w:t>老虎沟</w:t>
                      </w:r>
                    </w:p>
                  </w:txbxContent>
                </v:textbox>
              </v:shape>
              <v:shape id="_x0000_s1320" o:spid="_x0000_s1320" o:spt="202" type="#_x0000_t202" style="position:absolute;left:7789;top:6425;height:212;width:634;" filled="f" stroked="f" coordsize="21600,21600">
                <v:path/>
                <v:fill on="f" focussize="0,0"/>
                <v:stroke on="f" weight="1.25pt" joinstyle="miter"/>
                <v:imagedata o:title=""/>
                <o:lock v:ext="edit"/>
                <v:textbox inset="0mm,0mm,0mm,0mm">
                  <w:txbxContent>
                    <w:p>
                      <w:pPr>
                        <w:spacing w:line="211" w:lineRule="exact"/>
                        <w:ind w:firstLine="0" w:firstLineChars="0"/>
                        <w:rPr>
                          <w:rFonts w:ascii="宋体" w:hAnsi="宋体"/>
                          <w:sz w:val="21"/>
                          <w:szCs w:val="21"/>
                        </w:rPr>
                      </w:pPr>
                      <w:r>
                        <w:rPr>
                          <w:rFonts w:ascii="宋体" w:hAnsi="宋体"/>
                          <w:sz w:val="21"/>
                          <w:szCs w:val="21"/>
                        </w:rPr>
                        <w:t>马莲河</w:t>
                      </w:r>
                    </w:p>
                  </w:txbxContent>
                </v:textbox>
              </v:shape>
            </v:group>
            <w10:wrap type="none"/>
            <w10:anchorlock/>
          </v:group>
        </w:pict>
      </w:r>
    </w:p>
    <w:p>
      <w:pPr>
        <w:widowControl/>
        <w:autoSpaceDE/>
        <w:autoSpaceDN/>
        <w:ind w:firstLine="480"/>
        <w:rPr>
          <w:rFonts w:hint="eastAsia"/>
          <w:lang w:val="en-US"/>
        </w:rPr>
      </w:pPr>
    </w:p>
    <w:p>
      <w:pPr>
        <w:ind w:firstLine="0" w:firstLineChars="0"/>
        <w:rPr>
          <w:sz w:val="28"/>
          <w:szCs w:val="28"/>
        </w:rPr>
        <w:sectPr>
          <w:pgSz w:w="16840" w:h="11910" w:orient="landscape"/>
          <w:pgMar w:top="1338" w:right="1661" w:bottom="1321" w:left="1361" w:header="851" w:footer="992" w:gutter="0"/>
          <w:cols w:space="425" w:num="1"/>
          <w:docGrid w:linePitch="326" w:charSpace="0"/>
        </w:sectPr>
      </w:pPr>
    </w:p>
    <w:p>
      <w:pPr>
        <w:ind w:firstLine="0" w:firstLineChars="0"/>
        <w:rPr>
          <w:sz w:val="28"/>
          <w:szCs w:val="28"/>
        </w:rPr>
      </w:pPr>
      <w:r>
        <w:rPr>
          <w:rFonts w:hint="eastAsia"/>
          <w:sz w:val="28"/>
          <w:szCs w:val="28"/>
        </w:rPr>
        <w:t>附件1：入河排污口设置论证委托书</w:t>
      </w:r>
    </w:p>
    <w:p>
      <w:pPr>
        <w:ind w:firstLine="560"/>
        <w:rPr>
          <w:sz w:val="28"/>
          <w:szCs w:val="28"/>
        </w:rPr>
      </w:pPr>
    </w:p>
    <w:p>
      <w:pPr>
        <w:ind w:firstLine="1044"/>
        <w:jc w:val="center"/>
        <w:rPr>
          <w:rFonts w:hint="eastAsia" w:ascii="宋体" w:hAnsi="宋体"/>
          <w:b/>
          <w:bCs/>
          <w:sz w:val="52"/>
        </w:rPr>
      </w:pPr>
    </w:p>
    <w:p>
      <w:pPr>
        <w:ind w:firstLine="1044"/>
        <w:jc w:val="center"/>
        <w:rPr>
          <w:rFonts w:ascii="宋体" w:hAnsi="宋体"/>
          <w:b/>
          <w:bCs/>
          <w:sz w:val="44"/>
        </w:rPr>
      </w:pPr>
      <w:r>
        <w:rPr>
          <w:rFonts w:hint="eastAsia" w:ascii="宋体" w:hAnsi="宋体"/>
          <w:b/>
          <w:bCs/>
          <w:sz w:val="52"/>
        </w:rPr>
        <w:t>委托书</w:t>
      </w:r>
    </w:p>
    <w:p>
      <w:pPr>
        <w:ind w:firstLine="723"/>
        <w:jc w:val="center"/>
        <w:rPr>
          <w:rFonts w:ascii="宋体" w:hAnsi="宋体"/>
          <w:b/>
          <w:bCs/>
          <w:sz w:val="36"/>
        </w:rPr>
      </w:pPr>
    </w:p>
    <w:p>
      <w:pPr>
        <w:ind w:firstLine="723"/>
        <w:rPr>
          <w:rFonts w:ascii="宋体" w:hAnsi="宋体"/>
          <w:b/>
          <w:bCs/>
          <w:sz w:val="36"/>
        </w:rPr>
      </w:pPr>
    </w:p>
    <w:p>
      <w:pPr>
        <w:pStyle w:val="2"/>
        <w:widowControl/>
        <w:rPr>
          <w:b w:val="0"/>
          <w:kern w:val="2"/>
          <w:sz w:val="28"/>
          <w:szCs w:val="22"/>
        </w:rPr>
      </w:pPr>
      <w:r>
        <w:rPr>
          <w:b w:val="0"/>
          <w:kern w:val="2"/>
          <w:sz w:val="28"/>
          <w:szCs w:val="22"/>
        </w:rPr>
        <w:t>陕西优和安环工程咨询有限公司:</w:t>
      </w:r>
    </w:p>
    <w:p>
      <w:pPr>
        <w:widowControl/>
        <w:ind w:firstLine="560"/>
        <w:rPr>
          <w:rFonts w:ascii="宋体" w:hAnsi="宋体"/>
          <w:sz w:val="28"/>
        </w:rPr>
      </w:pPr>
      <w:r>
        <w:rPr>
          <w:rFonts w:hint="eastAsia" w:ascii="宋体" w:hAnsi="宋体"/>
          <w:sz w:val="28"/>
        </w:rPr>
        <w:t xml:space="preserve">    我单位在</w:t>
      </w:r>
      <w:r>
        <w:rPr>
          <w:rFonts w:hint="eastAsia" w:ascii="宋体" w:hAnsi="宋体"/>
          <w:bCs/>
          <w:sz w:val="28"/>
        </w:rPr>
        <w:t>合水县板桥镇板桥村截污控源工程</w:t>
      </w:r>
      <w:r>
        <w:rPr>
          <w:rFonts w:hint="eastAsia" w:ascii="宋体" w:hAnsi="宋体"/>
          <w:sz w:val="28"/>
        </w:rPr>
        <w:t>需做入河排污口设置论证， 根据《中华人民共和国水污染防治法》、《入河排污口监督管理办法》以及《入河排污口管理技术导则》的相关规定，现委托贵公司对</w:t>
      </w:r>
      <w:r>
        <w:rPr>
          <w:rFonts w:hint="eastAsia" w:ascii="宋体" w:hAnsi="宋体"/>
          <w:bCs/>
          <w:sz w:val="28"/>
        </w:rPr>
        <w:t>合水县板桥镇板桥村截污控源工程</w:t>
      </w:r>
      <w:r>
        <w:rPr>
          <w:rFonts w:hint="eastAsia" w:ascii="宋体" w:hAnsi="宋体"/>
          <w:sz w:val="28"/>
          <w:szCs w:val="28"/>
        </w:rPr>
        <w:t>入河排污口设置进行</w:t>
      </w:r>
      <w:r>
        <w:rPr>
          <w:rFonts w:hint="eastAsia" w:ascii="宋体" w:hAnsi="宋体"/>
          <w:sz w:val="28"/>
        </w:rPr>
        <w:t>论证工作，编制完成《</w:t>
      </w:r>
      <w:r>
        <w:rPr>
          <w:rFonts w:hint="eastAsia" w:ascii="宋体" w:hAnsi="宋体"/>
          <w:bCs/>
          <w:sz w:val="28"/>
        </w:rPr>
        <w:t>合水县板桥镇板桥村截污控源工程</w:t>
      </w:r>
      <w:r>
        <w:rPr>
          <w:rFonts w:hint="eastAsia" w:ascii="宋体" w:hAnsi="宋体"/>
          <w:sz w:val="28"/>
        </w:rPr>
        <w:t>入河排污口设置论证报告》。</w:t>
      </w:r>
    </w:p>
    <w:p>
      <w:pPr>
        <w:ind w:firstLine="560"/>
        <w:rPr>
          <w:rFonts w:ascii="宋体" w:hAnsi="宋体"/>
          <w:sz w:val="28"/>
        </w:rPr>
      </w:pPr>
    </w:p>
    <w:p>
      <w:pPr>
        <w:ind w:firstLine="560"/>
        <w:rPr>
          <w:rFonts w:ascii="宋体" w:hAnsi="宋体"/>
          <w:sz w:val="28"/>
        </w:rPr>
      </w:pPr>
    </w:p>
    <w:p>
      <w:pPr>
        <w:ind w:firstLine="560"/>
        <w:rPr>
          <w:rFonts w:ascii="宋体" w:hAnsi="宋体"/>
          <w:sz w:val="28"/>
        </w:rPr>
      </w:pPr>
      <w:r>
        <w:rPr>
          <w:rFonts w:hint="eastAsia" w:ascii="宋体" w:hAnsi="宋体"/>
          <w:sz w:val="28"/>
        </w:rPr>
        <w:t>特此委托</w:t>
      </w:r>
    </w:p>
    <w:p>
      <w:pPr>
        <w:ind w:firstLine="560"/>
        <w:rPr>
          <w:rFonts w:ascii="宋体" w:hAnsi="宋体"/>
          <w:sz w:val="28"/>
        </w:rPr>
      </w:pPr>
    </w:p>
    <w:p>
      <w:pPr>
        <w:ind w:firstLine="560"/>
        <w:rPr>
          <w:rFonts w:ascii="宋体" w:hAnsi="宋体"/>
          <w:sz w:val="28"/>
        </w:rPr>
      </w:pPr>
      <w:r>
        <w:rPr>
          <w:rFonts w:hint="eastAsia" w:ascii="宋体" w:hAnsi="宋体"/>
          <w:sz w:val="28"/>
        </w:rPr>
        <w:t xml:space="preserve"> </w:t>
      </w:r>
    </w:p>
    <w:p>
      <w:pPr>
        <w:ind w:firstLine="560"/>
        <w:rPr>
          <w:rFonts w:ascii="宋体" w:hAnsi="宋体"/>
          <w:sz w:val="28"/>
        </w:rPr>
      </w:pPr>
    </w:p>
    <w:p>
      <w:pPr>
        <w:widowControl/>
        <w:ind w:firstLine="560"/>
        <w:jc w:val="right"/>
        <w:rPr>
          <w:rFonts w:ascii="宋体" w:hAnsi="宋体"/>
          <w:sz w:val="28"/>
          <w:szCs w:val="28"/>
          <w:u w:val="single"/>
        </w:rPr>
      </w:pPr>
      <w:r>
        <w:rPr>
          <w:rFonts w:hint="eastAsia" w:ascii="宋体" w:hAnsi="宋体"/>
          <w:sz w:val="28"/>
          <w:szCs w:val="28"/>
        </w:rPr>
        <w:t>委托单位：庆阳市生态环境局合水分局</w:t>
      </w:r>
    </w:p>
    <w:p>
      <w:pPr>
        <w:ind w:firstLine="560"/>
        <w:rPr>
          <w:rFonts w:ascii="宋体" w:hAnsi="宋体"/>
          <w:sz w:val="28"/>
          <w:szCs w:val="28"/>
        </w:rPr>
      </w:pPr>
      <w:r>
        <w:rPr>
          <w:rFonts w:hint="eastAsia" w:ascii="宋体" w:hAnsi="宋体"/>
          <w:sz w:val="28"/>
          <w:szCs w:val="28"/>
        </w:rPr>
        <w:t xml:space="preserve">                                         2020年</w:t>
      </w:r>
      <w:r>
        <w:rPr>
          <w:rFonts w:hint="eastAsia" w:ascii="宋体" w:hAnsi="宋体"/>
          <w:sz w:val="28"/>
          <w:szCs w:val="28"/>
          <w:lang w:val="en-US"/>
        </w:rPr>
        <w:t>9</w:t>
      </w:r>
      <w:r>
        <w:rPr>
          <w:rFonts w:hint="eastAsia" w:ascii="宋体" w:hAnsi="宋体"/>
          <w:sz w:val="28"/>
          <w:szCs w:val="28"/>
        </w:rPr>
        <w:t>月</w:t>
      </w:r>
      <w:r>
        <w:rPr>
          <w:rFonts w:hint="eastAsia" w:ascii="宋体" w:hAnsi="宋体"/>
          <w:sz w:val="28"/>
          <w:szCs w:val="28"/>
          <w:lang w:val="en-US"/>
        </w:rPr>
        <w:t>4</w:t>
      </w:r>
      <w:r>
        <w:rPr>
          <w:rFonts w:hint="eastAsia" w:ascii="宋体" w:hAnsi="宋体"/>
          <w:sz w:val="28"/>
          <w:szCs w:val="28"/>
        </w:rPr>
        <w:t xml:space="preserve">日  </w:t>
      </w:r>
    </w:p>
    <w:p>
      <w:pPr>
        <w:ind w:firstLine="0" w:firstLineChars="0"/>
        <w:rPr>
          <w:rFonts w:hint="eastAsia" w:asciiTheme="minorEastAsia" w:hAnsiTheme="minorEastAsia" w:eastAsiaTheme="minorEastAsia"/>
        </w:rPr>
      </w:pPr>
    </w:p>
    <w:p>
      <w:pPr>
        <w:ind w:firstLine="0" w:firstLineChars="0"/>
        <w:rPr>
          <w:rFonts w:hint="eastAsia" w:asciiTheme="minorEastAsia" w:hAnsiTheme="minorEastAsia" w:eastAsiaTheme="minorEastAsia"/>
        </w:rPr>
      </w:pPr>
    </w:p>
    <w:p>
      <w:pPr>
        <w:ind w:firstLine="0" w:firstLineChars="0"/>
      </w:pPr>
      <w:r>
        <w:rPr>
          <w:rFonts w:hint="eastAsia" w:asciiTheme="minorEastAsia" w:hAnsiTheme="minorEastAsia" w:eastAsiaTheme="minorEastAsia"/>
        </w:rPr>
        <w:t>附件3：</w:t>
      </w:r>
      <w:r>
        <w:rPr>
          <w:rFonts w:hint="eastAsia"/>
          <w:szCs w:val="24"/>
        </w:rPr>
        <w:t>《</w:t>
      </w:r>
      <w:r>
        <w:rPr>
          <w:szCs w:val="24"/>
        </w:rPr>
        <w:t>关于</w:t>
      </w:r>
      <w:r>
        <w:rPr>
          <w:rFonts w:hint="eastAsia"/>
          <w:szCs w:val="24"/>
        </w:rPr>
        <w:t>合水县六乡镇截污控源工程</w:t>
      </w:r>
      <w:r>
        <w:rPr>
          <w:szCs w:val="24"/>
        </w:rPr>
        <w:t>可行性研究报告的批复</w:t>
      </w:r>
      <w:r>
        <w:rPr>
          <w:rFonts w:hint="eastAsia"/>
          <w:szCs w:val="24"/>
        </w:rPr>
        <w:t>》</w:t>
      </w:r>
    </w:p>
    <w:p>
      <w:pPr>
        <w:widowControl/>
        <w:autoSpaceDE/>
        <w:autoSpaceDN/>
        <w:ind w:firstLine="0" w:firstLineChars="0"/>
        <w:jc w:val="center"/>
      </w:pPr>
      <w:r>
        <w:rPr>
          <w:sz w:val="28"/>
          <w:szCs w:val="28"/>
          <w:lang w:val="en-US" w:bidi="ar-SA"/>
        </w:rPr>
        <w:drawing>
          <wp:inline distT="0" distB="0" distL="0" distR="0">
            <wp:extent cx="5763895" cy="7927340"/>
            <wp:effectExtent l="0" t="0" r="0" b="0"/>
            <wp:docPr id="24" name="图片 7"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001.jpg"/>
                    <pic:cNvPicPr>
                      <a:picLocks noChangeAspect="1"/>
                    </pic:cNvPicPr>
                  </pic:nvPicPr>
                  <pic:blipFill>
                    <a:blip r:embed="rId54" cstate="print"/>
                    <a:stretch>
                      <a:fillRect/>
                    </a:stretch>
                  </pic:blipFill>
                  <pic:spPr>
                    <a:xfrm>
                      <a:off x="0" y="0"/>
                      <a:ext cx="5765885" cy="7929654"/>
                    </a:xfrm>
                    <a:prstGeom prst="rect">
                      <a:avLst/>
                    </a:prstGeom>
                  </pic:spPr>
                </pic:pic>
              </a:graphicData>
            </a:graphic>
          </wp:inline>
        </w:drawing>
      </w:r>
    </w:p>
    <w:p>
      <w:pPr>
        <w:widowControl/>
        <w:autoSpaceDE/>
        <w:autoSpaceDN/>
        <w:ind w:firstLine="0" w:firstLineChars="0"/>
        <w:jc w:val="center"/>
      </w:pPr>
    </w:p>
    <w:p>
      <w:pPr>
        <w:widowControl/>
        <w:autoSpaceDE/>
        <w:autoSpaceDN/>
        <w:ind w:firstLine="0" w:firstLineChars="0"/>
        <w:jc w:val="center"/>
      </w:pPr>
      <w:r>
        <w:rPr>
          <w:sz w:val="28"/>
          <w:szCs w:val="28"/>
          <w:lang w:val="en-US" w:bidi="ar-SA"/>
        </w:rPr>
        <w:drawing>
          <wp:inline distT="0" distB="0" distL="0" distR="0">
            <wp:extent cx="5838825" cy="8030210"/>
            <wp:effectExtent l="0" t="0" r="0" b="0"/>
            <wp:docPr id="40" name="图片 8"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002.jpg"/>
                    <pic:cNvPicPr>
                      <a:picLocks noChangeAspect="1"/>
                    </pic:cNvPicPr>
                  </pic:nvPicPr>
                  <pic:blipFill>
                    <a:blip r:embed="rId55" cstate="print"/>
                    <a:stretch>
                      <a:fillRect/>
                    </a:stretch>
                  </pic:blipFill>
                  <pic:spPr>
                    <a:xfrm>
                      <a:off x="0" y="0"/>
                      <a:ext cx="5841932" cy="8034239"/>
                    </a:xfrm>
                    <a:prstGeom prst="rect">
                      <a:avLst/>
                    </a:prstGeom>
                  </pic:spPr>
                </pic:pic>
              </a:graphicData>
            </a:graphic>
          </wp:inline>
        </w:drawing>
      </w:r>
    </w:p>
    <w:p>
      <w:pPr>
        <w:widowControl/>
        <w:autoSpaceDE/>
        <w:autoSpaceDN/>
        <w:ind w:firstLine="0" w:firstLineChars="0"/>
        <w:jc w:val="center"/>
      </w:pPr>
      <w:r>
        <w:rPr>
          <w:sz w:val="28"/>
          <w:szCs w:val="28"/>
          <w:lang w:val="en-US" w:bidi="ar-SA"/>
        </w:rPr>
        <w:drawing>
          <wp:inline distT="0" distB="0" distL="0" distR="0">
            <wp:extent cx="5752465" cy="7911465"/>
            <wp:effectExtent l="0" t="0" r="0" b="0"/>
            <wp:docPr id="10" name="图片 9"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003.jpg"/>
                    <pic:cNvPicPr>
                      <a:picLocks noChangeAspect="1"/>
                    </pic:cNvPicPr>
                  </pic:nvPicPr>
                  <pic:blipFill>
                    <a:blip r:embed="rId56" cstate="print"/>
                    <a:stretch>
                      <a:fillRect/>
                    </a:stretch>
                  </pic:blipFill>
                  <pic:spPr>
                    <a:xfrm>
                      <a:off x="0" y="0"/>
                      <a:ext cx="5754319" cy="7913746"/>
                    </a:xfrm>
                    <a:prstGeom prst="rect">
                      <a:avLst/>
                    </a:prstGeom>
                  </pic:spPr>
                </pic:pic>
              </a:graphicData>
            </a:graphic>
          </wp:inline>
        </w:drawing>
      </w:r>
    </w:p>
    <w:p>
      <w:pPr>
        <w:widowControl/>
        <w:autoSpaceDE/>
        <w:autoSpaceDN/>
        <w:ind w:firstLine="0" w:firstLineChars="0"/>
        <w:jc w:val="center"/>
      </w:pPr>
      <w:r>
        <w:rPr>
          <w:sz w:val="28"/>
          <w:szCs w:val="28"/>
          <w:lang w:val="en-US" w:bidi="ar-SA"/>
        </w:rPr>
        <w:drawing>
          <wp:inline distT="0" distB="0" distL="0" distR="0">
            <wp:extent cx="5723255" cy="7871460"/>
            <wp:effectExtent l="0" t="0" r="0" b="0"/>
            <wp:docPr id="11" name="图片 10"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004.jpg"/>
                    <pic:cNvPicPr>
                      <a:picLocks noChangeAspect="1"/>
                    </pic:cNvPicPr>
                  </pic:nvPicPr>
                  <pic:blipFill>
                    <a:blip r:embed="rId57" cstate="print"/>
                    <a:stretch>
                      <a:fillRect/>
                    </a:stretch>
                  </pic:blipFill>
                  <pic:spPr>
                    <a:xfrm>
                      <a:off x="0" y="0"/>
                      <a:ext cx="5725402" cy="7873979"/>
                    </a:xfrm>
                    <a:prstGeom prst="rect">
                      <a:avLst/>
                    </a:prstGeom>
                  </pic:spPr>
                </pic:pic>
              </a:graphicData>
            </a:graphic>
          </wp:inline>
        </w:drawing>
      </w:r>
    </w:p>
    <w:p>
      <w:pPr>
        <w:widowControl/>
        <w:autoSpaceDE/>
        <w:autoSpaceDN/>
        <w:ind w:firstLine="0" w:firstLineChars="0"/>
        <w:jc w:val="center"/>
      </w:pPr>
      <w:r>
        <w:rPr>
          <w:sz w:val="28"/>
          <w:szCs w:val="28"/>
          <w:lang w:val="en-US" w:bidi="ar-SA"/>
        </w:rPr>
        <w:drawing>
          <wp:inline distT="0" distB="0" distL="0" distR="0">
            <wp:extent cx="5735320" cy="7887335"/>
            <wp:effectExtent l="0" t="0" r="0" b="0"/>
            <wp:docPr id="45" name="图片 11" desc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005.jpg"/>
                    <pic:cNvPicPr>
                      <a:picLocks noChangeAspect="1"/>
                    </pic:cNvPicPr>
                  </pic:nvPicPr>
                  <pic:blipFill>
                    <a:blip r:embed="rId58" cstate="print"/>
                    <a:stretch>
                      <a:fillRect/>
                    </a:stretch>
                  </pic:blipFill>
                  <pic:spPr>
                    <a:xfrm>
                      <a:off x="0" y="0"/>
                      <a:ext cx="5736969" cy="7889886"/>
                    </a:xfrm>
                    <a:prstGeom prst="rect">
                      <a:avLst/>
                    </a:prstGeom>
                  </pic:spPr>
                </pic:pic>
              </a:graphicData>
            </a:graphic>
          </wp:inline>
        </w:drawing>
      </w:r>
    </w:p>
    <w:p>
      <w:pPr>
        <w:widowControl/>
        <w:autoSpaceDE/>
        <w:autoSpaceDN/>
        <w:ind w:firstLine="0" w:firstLineChars="0"/>
        <w:jc w:val="center"/>
      </w:pPr>
      <w:r>
        <w:rPr>
          <w:sz w:val="28"/>
          <w:szCs w:val="28"/>
          <w:lang w:val="en-US" w:bidi="ar-SA"/>
        </w:rPr>
        <w:drawing>
          <wp:inline distT="0" distB="0" distL="0" distR="0">
            <wp:extent cx="5741035" cy="7895590"/>
            <wp:effectExtent l="0" t="0" r="0" b="0"/>
            <wp:docPr id="50" name="图片 12"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descr="006.jpg"/>
                    <pic:cNvPicPr>
                      <a:picLocks noChangeAspect="1"/>
                    </pic:cNvPicPr>
                  </pic:nvPicPr>
                  <pic:blipFill>
                    <a:blip r:embed="rId59" cstate="print"/>
                    <a:stretch>
                      <a:fillRect/>
                    </a:stretch>
                  </pic:blipFill>
                  <pic:spPr>
                    <a:xfrm>
                      <a:off x="0" y="0"/>
                      <a:ext cx="5742752" cy="7897840"/>
                    </a:xfrm>
                    <a:prstGeom prst="rect">
                      <a:avLst/>
                    </a:prstGeom>
                  </pic:spPr>
                </pic:pic>
              </a:graphicData>
            </a:graphic>
          </wp:inline>
        </w:drawing>
      </w:r>
    </w:p>
    <w:p>
      <w:pPr>
        <w:widowControl/>
        <w:autoSpaceDE/>
        <w:autoSpaceDN/>
        <w:ind w:firstLine="0" w:firstLineChars="0"/>
        <w:jc w:val="center"/>
      </w:pPr>
    </w:p>
    <w:p>
      <w:pPr>
        <w:widowControl/>
        <w:autoSpaceDE/>
        <w:autoSpaceDN/>
        <w:ind w:firstLine="0" w:firstLineChars="0"/>
      </w:pPr>
    </w:p>
    <w:p>
      <w:pPr>
        <w:widowControl/>
        <w:autoSpaceDE/>
        <w:autoSpaceDN/>
        <w:ind w:firstLine="0" w:firstLineChars="0"/>
        <w:rPr>
          <w:rFonts w:hint="eastAsia"/>
        </w:rPr>
      </w:pPr>
    </w:p>
    <w:p>
      <w:pPr>
        <w:widowControl/>
        <w:autoSpaceDE/>
        <w:autoSpaceDN/>
        <w:ind w:firstLine="0" w:firstLineChars="0"/>
        <w:rPr>
          <w:lang w:val="en-US" w:bidi="ar-SA"/>
        </w:rPr>
      </w:pPr>
      <w:r>
        <w:rPr>
          <w:rFonts w:hint="eastAsia"/>
        </w:rPr>
        <w:t>附件4：</w:t>
      </w:r>
      <w:r>
        <w:rPr>
          <w:rFonts w:hint="eastAsia" w:asciiTheme="minorEastAsia" w:hAnsiTheme="minorEastAsia" w:eastAsiaTheme="minorEastAsia"/>
        </w:rPr>
        <w:t>《建设项目选址意见书》</w:t>
      </w:r>
    </w:p>
    <w:p>
      <w:pPr>
        <w:widowControl/>
        <w:autoSpaceDE/>
        <w:autoSpaceDN/>
        <w:ind w:firstLine="0" w:firstLineChars="0"/>
        <w:jc w:val="center"/>
        <w:rPr>
          <w:rFonts w:asciiTheme="minorEastAsia" w:hAnsiTheme="minorEastAsia" w:eastAsiaTheme="minorEastAsia"/>
        </w:rPr>
      </w:pPr>
      <w:r>
        <w:rPr>
          <w:rFonts w:asciiTheme="minorEastAsia" w:hAnsiTheme="minorEastAsia" w:eastAsiaTheme="minorEastAsia"/>
          <w:lang w:val="en-US" w:bidi="ar-SA"/>
        </w:rPr>
        <w:drawing>
          <wp:inline distT="0" distB="0" distL="0" distR="0">
            <wp:extent cx="5367655" cy="772033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367970" cy="7720326"/>
                    </a:xfrm>
                    <a:prstGeom prst="rect">
                      <a:avLst/>
                    </a:prstGeom>
                    <a:noFill/>
                  </pic:spPr>
                </pic:pic>
              </a:graphicData>
            </a:graphic>
          </wp:inline>
        </w:drawing>
      </w:r>
    </w:p>
    <w:p>
      <w:pPr>
        <w:widowControl/>
        <w:autoSpaceDE/>
        <w:autoSpaceDN/>
        <w:ind w:firstLine="0" w:firstLineChars="0"/>
        <w:jc w:val="center"/>
      </w:pPr>
      <w:r>
        <w:rPr>
          <w:rFonts w:hint="eastAsia"/>
          <w:sz w:val="28"/>
          <w:szCs w:val="28"/>
          <w:lang w:val="en-US" w:bidi="ar-SA"/>
        </w:rPr>
        <w:drawing>
          <wp:inline distT="0" distB="0" distL="0" distR="0">
            <wp:extent cx="5697855" cy="8157845"/>
            <wp:effectExtent l="0" t="0" r="0" b="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rot="10800000">
                      <a:off x="0" y="0"/>
                      <a:ext cx="5733696" cy="8208771"/>
                    </a:xfrm>
                    <a:prstGeom prst="rect">
                      <a:avLst/>
                    </a:prstGeom>
                  </pic:spPr>
                </pic:pic>
              </a:graphicData>
            </a:graphic>
          </wp:inline>
        </w:drawing>
      </w:r>
    </w:p>
    <w:p>
      <w:pPr>
        <w:widowControl/>
        <w:autoSpaceDE/>
        <w:autoSpaceDN/>
        <w:ind w:firstLine="0" w:firstLineChars="0"/>
      </w:pPr>
    </w:p>
    <w:p>
      <w:pPr>
        <w:widowControl/>
        <w:autoSpaceDE/>
        <w:autoSpaceDN/>
        <w:ind w:firstLine="0" w:firstLineChars="0"/>
      </w:pPr>
    </w:p>
    <w:p>
      <w:pPr>
        <w:widowControl/>
        <w:autoSpaceDE/>
        <w:autoSpaceDN/>
        <w:ind w:firstLine="0" w:firstLineChars="0"/>
      </w:pPr>
      <w:r>
        <w:rPr>
          <w:rFonts w:hint="eastAsia"/>
        </w:rPr>
        <w:t>附件5：</w:t>
      </w:r>
      <w:r>
        <w:rPr>
          <w:rFonts w:hint="eastAsia"/>
          <w:szCs w:val="24"/>
        </w:rPr>
        <w:t>《项目建设用地预审意见书》</w:t>
      </w:r>
    </w:p>
    <w:p>
      <w:pPr>
        <w:widowControl/>
        <w:autoSpaceDE/>
        <w:autoSpaceDN/>
        <w:ind w:firstLine="0" w:firstLineChars="0"/>
        <w:jc w:val="center"/>
      </w:pPr>
      <w:r>
        <w:rPr>
          <w:rFonts w:hint="eastAsia"/>
          <w:sz w:val="28"/>
          <w:szCs w:val="28"/>
          <w:lang w:val="en-US" w:bidi="ar-SA"/>
        </w:rPr>
        <w:drawing>
          <wp:anchor distT="0" distB="0" distL="114300" distR="114300" simplePos="0" relativeHeight="251676672" behindDoc="0" locked="0" layoutInCell="1" allowOverlap="1">
            <wp:simplePos x="0" y="0"/>
            <wp:positionH relativeFrom="column">
              <wp:posOffset>278765</wp:posOffset>
            </wp:positionH>
            <wp:positionV relativeFrom="paragraph">
              <wp:posOffset>248920</wp:posOffset>
            </wp:positionV>
            <wp:extent cx="5670550" cy="6807200"/>
            <wp:effectExtent l="19050" t="0" r="6230" b="0"/>
            <wp:wrapNone/>
            <wp:docPr id="53" name="图片 53" descr="C:\Users\Administrator\AppData\Roaming\Tencent\Users\927667154\QQ\WinTemp\RichOle\UDP]$C[D3`2LD9HLK35LY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Roaming\Tencent\Users\927667154\QQ\WinTemp\RichOle\UDP]$C[D3`2LD9HLK35LYRG.png"/>
                    <pic:cNvPicPr>
                      <a:picLocks noChangeAspect="1" noChangeArrowheads="1"/>
                    </pic:cNvPicPr>
                  </pic:nvPicPr>
                  <pic:blipFill>
                    <a:blip r:embed="rId62" cstate="print"/>
                    <a:srcRect/>
                    <a:stretch>
                      <a:fillRect/>
                    </a:stretch>
                  </pic:blipFill>
                  <pic:spPr>
                    <a:xfrm rot="10800000">
                      <a:off x="0" y="0"/>
                      <a:ext cx="5670670" cy="6807200"/>
                    </a:xfrm>
                    <a:prstGeom prst="rect">
                      <a:avLst/>
                    </a:prstGeom>
                    <a:noFill/>
                    <a:ln w="9525">
                      <a:noFill/>
                      <a:miter lim="800000"/>
                      <a:headEnd/>
                      <a:tailEnd/>
                    </a:ln>
                  </pic:spPr>
                </pic:pic>
              </a:graphicData>
            </a:graphic>
          </wp:anchor>
        </w:drawing>
      </w:r>
    </w:p>
    <w:p>
      <w:pPr>
        <w:widowControl/>
        <w:autoSpaceDE/>
        <w:autoSpaceDN/>
        <w:ind w:firstLine="0" w:firstLineChars="0"/>
        <w:jc w:val="center"/>
      </w:pPr>
    </w:p>
    <w:p>
      <w:pPr>
        <w:widowControl/>
        <w:autoSpaceDE/>
        <w:autoSpaceDN/>
        <w:ind w:firstLine="0" w:firstLineChars="0"/>
        <w:jc w:val="center"/>
      </w:pPr>
    </w:p>
    <w:p>
      <w:pPr>
        <w:widowControl/>
        <w:autoSpaceDE/>
        <w:autoSpaceDN/>
        <w:ind w:firstLine="0" w:firstLineChars="0"/>
        <w:jc w:val="center"/>
      </w:pPr>
    </w:p>
    <w:p>
      <w:pPr>
        <w:widowControl/>
        <w:autoSpaceDE/>
        <w:autoSpaceDN/>
        <w:ind w:firstLine="0" w:firstLineChars="0"/>
        <w:jc w:val="center"/>
      </w:pPr>
    </w:p>
    <w:p>
      <w:pPr>
        <w:widowControl/>
        <w:autoSpaceDE/>
        <w:autoSpaceDN/>
        <w:ind w:firstLine="0" w:firstLineChars="0"/>
        <w:jc w:val="center"/>
      </w:pPr>
    </w:p>
    <w:p>
      <w:pPr>
        <w:widowControl/>
        <w:autoSpaceDE/>
        <w:autoSpaceDN/>
        <w:ind w:firstLine="0" w:firstLineChars="0"/>
        <w:jc w:val="center"/>
      </w:pPr>
    </w:p>
    <w:p>
      <w:pPr>
        <w:widowControl/>
        <w:autoSpaceDE/>
        <w:autoSpaceDN/>
        <w:ind w:firstLine="0" w:firstLineChars="0"/>
        <w:jc w:val="center"/>
      </w:pPr>
    </w:p>
    <w:p>
      <w:pPr>
        <w:widowControl/>
        <w:autoSpaceDE/>
        <w:autoSpaceDN/>
        <w:ind w:firstLine="0" w:firstLineChars="0"/>
        <w:jc w:val="center"/>
      </w:pPr>
    </w:p>
    <w:p>
      <w:pPr>
        <w:widowControl/>
        <w:autoSpaceDE/>
        <w:autoSpaceDN/>
        <w:spacing w:line="240" w:lineRule="auto"/>
        <w:ind w:firstLine="0" w:firstLineChars="0"/>
      </w:pPr>
      <w:r>
        <w:br w:type="page"/>
      </w:r>
    </w:p>
    <w:p>
      <w:pPr>
        <w:widowControl/>
        <w:autoSpaceDE/>
        <w:autoSpaceDN/>
        <w:ind w:firstLine="0" w:firstLineChars="0"/>
      </w:pPr>
      <w:r>
        <w:rPr>
          <w:rFonts w:hint="eastAsia"/>
        </w:rPr>
        <w:t>附件6：</w:t>
      </w:r>
      <w:r>
        <w:rPr>
          <w:rFonts w:hint="eastAsia"/>
          <w:szCs w:val="24"/>
        </w:rPr>
        <w:t>《关于合水县何家畔镇何家畔村截污控源工程环境影响报告表的批复》</w:t>
      </w:r>
    </w:p>
    <w:p>
      <w:pPr>
        <w:widowControl/>
        <w:autoSpaceDE/>
        <w:autoSpaceDN/>
        <w:ind w:firstLine="0" w:firstLineChars="0"/>
        <w:jc w:val="center"/>
      </w:pPr>
      <w:r>
        <w:rPr>
          <w:lang w:val="en-US" w:bidi="ar-SA"/>
        </w:rPr>
        <w:drawing>
          <wp:inline distT="0" distB="0" distL="0" distR="0">
            <wp:extent cx="5760085" cy="811784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3"/>
                    <a:stretch>
                      <a:fillRect/>
                    </a:stretch>
                  </pic:blipFill>
                  <pic:spPr>
                    <a:xfrm>
                      <a:off x="0" y="0"/>
                      <a:ext cx="5763028" cy="8121735"/>
                    </a:xfrm>
                    <a:prstGeom prst="rect">
                      <a:avLst/>
                    </a:prstGeom>
                  </pic:spPr>
                </pic:pic>
              </a:graphicData>
            </a:graphic>
          </wp:inline>
        </w:drawing>
      </w:r>
    </w:p>
    <w:p>
      <w:pPr>
        <w:widowControl/>
        <w:autoSpaceDE/>
        <w:autoSpaceDN/>
        <w:ind w:firstLine="0" w:firstLineChars="0"/>
      </w:pPr>
    </w:p>
    <w:p>
      <w:pPr>
        <w:widowControl/>
        <w:autoSpaceDE/>
        <w:autoSpaceDN/>
        <w:ind w:firstLine="0" w:firstLineChars="0"/>
        <w:jc w:val="center"/>
      </w:pPr>
      <w:r>
        <w:rPr>
          <w:lang w:val="en-US" w:bidi="ar-SA"/>
        </w:rPr>
        <w:drawing>
          <wp:inline distT="0" distB="0" distL="0" distR="0">
            <wp:extent cx="5847080" cy="82454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4"/>
                    <a:stretch>
                      <a:fillRect/>
                    </a:stretch>
                  </pic:blipFill>
                  <pic:spPr>
                    <a:xfrm>
                      <a:off x="0" y="0"/>
                      <a:ext cx="5846827" cy="8244891"/>
                    </a:xfrm>
                    <a:prstGeom prst="rect">
                      <a:avLst/>
                    </a:prstGeom>
                  </pic:spPr>
                </pic:pic>
              </a:graphicData>
            </a:graphic>
          </wp:inline>
        </w:drawing>
      </w:r>
    </w:p>
    <w:p>
      <w:pPr>
        <w:widowControl/>
        <w:autoSpaceDE/>
        <w:autoSpaceDN/>
        <w:ind w:firstLine="0" w:firstLineChars="0"/>
        <w:jc w:val="center"/>
      </w:pPr>
    </w:p>
    <w:p>
      <w:pPr>
        <w:widowControl/>
        <w:autoSpaceDE/>
        <w:autoSpaceDN/>
        <w:ind w:firstLine="0" w:firstLineChars="0"/>
        <w:jc w:val="center"/>
      </w:pPr>
      <w:r>
        <w:rPr>
          <w:lang w:val="en-US" w:bidi="ar-SA"/>
        </w:rPr>
        <w:drawing>
          <wp:inline distT="0" distB="0" distL="0" distR="0">
            <wp:extent cx="5920740" cy="815784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5"/>
                    <a:stretch>
                      <a:fillRect/>
                    </a:stretch>
                  </pic:blipFill>
                  <pic:spPr>
                    <a:xfrm>
                      <a:off x="0" y="0"/>
                      <a:ext cx="5921723" cy="8159368"/>
                    </a:xfrm>
                    <a:prstGeom prst="rect">
                      <a:avLst/>
                    </a:prstGeom>
                  </pic:spPr>
                </pic:pic>
              </a:graphicData>
            </a:graphic>
          </wp:inline>
        </w:drawing>
      </w:r>
    </w:p>
    <w:p>
      <w:pPr>
        <w:widowControl/>
        <w:autoSpaceDE/>
        <w:autoSpaceDN/>
        <w:ind w:firstLine="0" w:firstLineChars="0"/>
      </w:pPr>
    </w:p>
    <w:p>
      <w:pPr>
        <w:widowControl/>
        <w:autoSpaceDE/>
        <w:autoSpaceDN/>
        <w:ind w:firstLine="0" w:firstLineChars="0"/>
      </w:pPr>
    </w:p>
    <w:p>
      <w:pPr>
        <w:widowControl/>
        <w:autoSpaceDE/>
        <w:autoSpaceDN/>
        <w:ind w:firstLine="0" w:firstLineChars="0"/>
      </w:pPr>
      <w:r>
        <w:rPr>
          <w:rFonts w:hint="eastAsia"/>
        </w:rPr>
        <w:t>附件5：补充监测水质检测报告</w:t>
      </w:r>
    </w:p>
    <w:p>
      <w:pPr>
        <w:widowControl/>
        <w:autoSpaceDE/>
        <w:autoSpaceDN/>
        <w:ind w:firstLine="0" w:firstLineChars="0"/>
        <w:jc w:val="center"/>
      </w:pPr>
      <w:r>
        <w:rPr>
          <w:lang w:val="en-US" w:bidi="ar-SA"/>
        </w:rPr>
        <w:drawing>
          <wp:inline distT="0" distB="0" distL="0" distR="0">
            <wp:extent cx="5645150" cy="782383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6"/>
                    <a:stretch>
                      <a:fillRect/>
                    </a:stretch>
                  </pic:blipFill>
                  <pic:spPr>
                    <a:xfrm>
                      <a:off x="0" y="0"/>
                      <a:ext cx="5642892" cy="7820641"/>
                    </a:xfrm>
                    <a:prstGeom prst="rect">
                      <a:avLst/>
                    </a:prstGeom>
                  </pic:spPr>
                </pic:pic>
              </a:graphicData>
            </a:graphic>
          </wp:inline>
        </w:drawing>
      </w:r>
    </w:p>
    <w:p>
      <w:pPr>
        <w:widowControl/>
        <w:autoSpaceDE/>
        <w:autoSpaceDN/>
        <w:ind w:firstLine="0" w:firstLineChars="0"/>
        <w:jc w:val="center"/>
      </w:pPr>
    </w:p>
    <w:p>
      <w:pPr>
        <w:widowControl/>
        <w:autoSpaceDE/>
        <w:autoSpaceDN/>
        <w:ind w:firstLine="0" w:firstLineChars="0"/>
      </w:pPr>
    </w:p>
    <w:sectPr>
      <w:pgSz w:w="11910" w:h="16840"/>
      <w:pgMar w:top="1661" w:right="1321" w:bottom="1361" w:left="1338" w:header="851" w:footer="99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文鼎CS中宋">
    <w:altName w:val="宋体"/>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sdt>
                <w:sdtPr>
                  <w:id w:val="-1792428890"/>
                </w:sdtPr>
                <w:sdtContent>
                  <w:p>
                    <w:pPr>
                      <w:pStyle w:val="12"/>
                      <w:ind w:firstLine="360"/>
                      <w:jc w:val="center"/>
                    </w:pPr>
                    <w:r>
                      <w:fldChar w:fldCharType="begin"/>
                    </w:r>
                    <w:r>
                      <w:instrText xml:space="preserve">PAGE   \* MERGEFORMAT</w:instrText>
                    </w:r>
                    <w:r>
                      <w:fldChar w:fldCharType="separate"/>
                    </w:r>
                    <w:r>
                      <w:t>1</w:t>
                    </w:r>
                    <w:r>
                      <w:fldChar w:fldCharType="end"/>
                    </w:r>
                  </w:p>
                </w:sdtContent>
              </w:sdt>
              <w:p>
                <w:pPr>
                  <w:ind w:firstLine="480"/>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pict>
        <v:shape id="_x0000_s2050" o:spid="_x0000_s205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sdt>
                <w:sdtPr>
                  <w:id w:val="-20791677"/>
                </w:sdtPr>
                <w:sdtContent>
                  <w:p>
                    <w:pPr>
                      <w:pStyle w:val="12"/>
                      <w:ind w:firstLine="360"/>
                      <w:jc w:val="center"/>
                    </w:pPr>
                    <w:r>
                      <w:fldChar w:fldCharType="begin"/>
                    </w:r>
                    <w:r>
                      <w:instrText xml:space="preserve">PAGE   \* MERGEFORMAT</w:instrText>
                    </w:r>
                    <w:r>
                      <w:fldChar w:fldCharType="separate"/>
                    </w:r>
                    <w:r>
                      <w:t>31</w:t>
                    </w:r>
                    <w:r>
                      <w:fldChar w:fldCharType="end"/>
                    </w:r>
                  </w:p>
                </w:sdtContent>
              </w:sdt>
              <w:p>
                <w:pPr>
                  <w:ind w:firstLine="480"/>
                </w:pP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pict>
        <v:shape id="_x0000_s2051" o:spid="_x0000_s205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sdt>
                <w:sdtPr>
                  <w:id w:val="-186605682"/>
                </w:sdtPr>
                <w:sdtContent>
                  <w:p>
                    <w:pPr>
                      <w:pStyle w:val="12"/>
                      <w:ind w:firstLine="360"/>
                      <w:jc w:val="center"/>
                    </w:pPr>
                    <w:r>
                      <w:fldChar w:fldCharType="begin"/>
                    </w:r>
                    <w:r>
                      <w:instrText xml:space="preserve">PAGE   \* MERGEFORMAT</w:instrText>
                    </w:r>
                    <w:r>
                      <w:fldChar w:fldCharType="separate"/>
                    </w:r>
                    <w:r>
                      <w:t>44</w:t>
                    </w:r>
                    <w:r>
                      <w:fldChar w:fldCharType="end"/>
                    </w:r>
                  </w:p>
                </w:sdtContent>
              </w:sdt>
              <w:p>
                <w:pPr>
                  <w:ind w:firstLine="480"/>
                </w:pPr>
              </w:p>
            </w:txbxContent>
          </v:textbox>
        </v:shape>
      </w:pict>
    </w:r>
  </w:p>
  <w:p>
    <w:pPr>
      <w:pStyle w:val="7"/>
      <w:spacing w:line="14" w:lineRule="auto"/>
      <w:ind w:firstLine="40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1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VmMzIzZTYzNTRkMjljOGVlNjM2OGVmNzYzMmVmYWYifQ=="/>
  </w:docVars>
  <w:rsids>
    <w:rsidRoot w:val="00C77EFC"/>
    <w:rsid w:val="0000060A"/>
    <w:rsid w:val="000009C4"/>
    <w:rsid w:val="00001EDB"/>
    <w:rsid w:val="00001FE5"/>
    <w:rsid w:val="00003C69"/>
    <w:rsid w:val="0000466B"/>
    <w:rsid w:val="00004DC2"/>
    <w:rsid w:val="00007EC9"/>
    <w:rsid w:val="00011384"/>
    <w:rsid w:val="00012F4D"/>
    <w:rsid w:val="0001557A"/>
    <w:rsid w:val="000162C8"/>
    <w:rsid w:val="00021B8C"/>
    <w:rsid w:val="00021ECE"/>
    <w:rsid w:val="000247A8"/>
    <w:rsid w:val="000257C5"/>
    <w:rsid w:val="00032418"/>
    <w:rsid w:val="00032A6E"/>
    <w:rsid w:val="00033C04"/>
    <w:rsid w:val="00034143"/>
    <w:rsid w:val="00034EFE"/>
    <w:rsid w:val="000351D2"/>
    <w:rsid w:val="00035F06"/>
    <w:rsid w:val="00037BBD"/>
    <w:rsid w:val="00043D74"/>
    <w:rsid w:val="00047417"/>
    <w:rsid w:val="00050580"/>
    <w:rsid w:val="00050A05"/>
    <w:rsid w:val="00052D1C"/>
    <w:rsid w:val="00055B36"/>
    <w:rsid w:val="00056507"/>
    <w:rsid w:val="000571C0"/>
    <w:rsid w:val="00057258"/>
    <w:rsid w:val="00060393"/>
    <w:rsid w:val="00060440"/>
    <w:rsid w:val="00060D0D"/>
    <w:rsid w:val="00064955"/>
    <w:rsid w:val="00064B95"/>
    <w:rsid w:val="00066D33"/>
    <w:rsid w:val="00070140"/>
    <w:rsid w:val="000701D8"/>
    <w:rsid w:val="0007438F"/>
    <w:rsid w:val="00075170"/>
    <w:rsid w:val="000752B1"/>
    <w:rsid w:val="000834FC"/>
    <w:rsid w:val="00085E55"/>
    <w:rsid w:val="0008670E"/>
    <w:rsid w:val="00086751"/>
    <w:rsid w:val="000867F6"/>
    <w:rsid w:val="00087960"/>
    <w:rsid w:val="00092107"/>
    <w:rsid w:val="00094778"/>
    <w:rsid w:val="00095F64"/>
    <w:rsid w:val="000A2320"/>
    <w:rsid w:val="000A3AC8"/>
    <w:rsid w:val="000A7A24"/>
    <w:rsid w:val="000A7CC7"/>
    <w:rsid w:val="000B014E"/>
    <w:rsid w:val="000B07D2"/>
    <w:rsid w:val="000B2A5A"/>
    <w:rsid w:val="000B2BE3"/>
    <w:rsid w:val="000B2E39"/>
    <w:rsid w:val="000B342D"/>
    <w:rsid w:val="000B645F"/>
    <w:rsid w:val="000B655B"/>
    <w:rsid w:val="000B7C74"/>
    <w:rsid w:val="000C1433"/>
    <w:rsid w:val="000C159C"/>
    <w:rsid w:val="000C1D23"/>
    <w:rsid w:val="000C1FA2"/>
    <w:rsid w:val="000C2907"/>
    <w:rsid w:val="000C4915"/>
    <w:rsid w:val="000D0914"/>
    <w:rsid w:val="000D096B"/>
    <w:rsid w:val="000D0DF3"/>
    <w:rsid w:val="000D0ED7"/>
    <w:rsid w:val="000D3833"/>
    <w:rsid w:val="000D5D4E"/>
    <w:rsid w:val="000D7BE2"/>
    <w:rsid w:val="000E5EBA"/>
    <w:rsid w:val="000F3C1A"/>
    <w:rsid w:val="000F4593"/>
    <w:rsid w:val="000F49A6"/>
    <w:rsid w:val="000F4FC8"/>
    <w:rsid w:val="000F55F1"/>
    <w:rsid w:val="000F5C1B"/>
    <w:rsid w:val="000F7197"/>
    <w:rsid w:val="000F727B"/>
    <w:rsid w:val="000F737F"/>
    <w:rsid w:val="000F74BE"/>
    <w:rsid w:val="0010015E"/>
    <w:rsid w:val="00100525"/>
    <w:rsid w:val="00100E21"/>
    <w:rsid w:val="0010115B"/>
    <w:rsid w:val="00102B48"/>
    <w:rsid w:val="00104055"/>
    <w:rsid w:val="001040BC"/>
    <w:rsid w:val="0010534B"/>
    <w:rsid w:val="00105822"/>
    <w:rsid w:val="00105B1F"/>
    <w:rsid w:val="00107FC1"/>
    <w:rsid w:val="00111EB9"/>
    <w:rsid w:val="00112248"/>
    <w:rsid w:val="001148CD"/>
    <w:rsid w:val="00115730"/>
    <w:rsid w:val="00116ACD"/>
    <w:rsid w:val="00117FF4"/>
    <w:rsid w:val="00121519"/>
    <w:rsid w:val="001218ED"/>
    <w:rsid w:val="00122D47"/>
    <w:rsid w:val="00123972"/>
    <w:rsid w:val="0012565A"/>
    <w:rsid w:val="00126843"/>
    <w:rsid w:val="001305E5"/>
    <w:rsid w:val="00133296"/>
    <w:rsid w:val="00134CA6"/>
    <w:rsid w:val="001351E9"/>
    <w:rsid w:val="00135F9F"/>
    <w:rsid w:val="001370A9"/>
    <w:rsid w:val="00140431"/>
    <w:rsid w:val="00140AA8"/>
    <w:rsid w:val="00140E37"/>
    <w:rsid w:val="001418DD"/>
    <w:rsid w:val="00142DE8"/>
    <w:rsid w:val="00143FBE"/>
    <w:rsid w:val="00144888"/>
    <w:rsid w:val="00147287"/>
    <w:rsid w:val="00151E8A"/>
    <w:rsid w:val="001520BA"/>
    <w:rsid w:val="001539CE"/>
    <w:rsid w:val="00153F52"/>
    <w:rsid w:val="00155AE0"/>
    <w:rsid w:val="001609F5"/>
    <w:rsid w:val="0016172C"/>
    <w:rsid w:val="0016232D"/>
    <w:rsid w:val="001623B2"/>
    <w:rsid w:val="0016295A"/>
    <w:rsid w:val="00163C8B"/>
    <w:rsid w:val="001642A5"/>
    <w:rsid w:val="00164B0F"/>
    <w:rsid w:val="001722A1"/>
    <w:rsid w:val="00172BAE"/>
    <w:rsid w:val="00173860"/>
    <w:rsid w:val="001743B7"/>
    <w:rsid w:val="0017704B"/>
    <w:rsid w:val="0017784A"/>
    <w:rsid w:val="0018091B"/>
    <w:rsid w:val="001809FC"/>
    <w:rsid w:val="00180B4C"/>
    <w:rsid w:val="001812F1"/>
    <w:rsid w:val="00181893"/>
    <w:rsid w:val="00192968"/>
    <w:rsid w:val="00192BDC"/>
    <w:rsid w:val="00193E2A"/>
    <w:rsid w:val="00195297"/>
    <w:rsid w:val="00195AA7"/>
    <w:rsid w:val="00195EA9"/>
    <w:rsid w:val="001A0003"/>
    <w:rsid w:val="001A0197"/>
    <w:rsid w:val="001A0BCC"/>
    <w:rsid w:val="001A5158"/>
    <w:rsid w:val="001A7EC0"/>
    <w:rsid w:val="001B01DA"/>
    <w:rsid w:val="001B0380"/>
    <w:rsid w:val="001B0D6F"/>
    <w:rsid w:val="001B1FF0"/>
    <w:rsid w:val="001B2B1D"/>
    <w:rsid w:val="001B5F97"/>
    <w:rsid w:val="001C2138"/>
    <w:rsid w:val="001C23FB"/>
    <w:rsid w:val="001C2872"/>
    <w:rsid w:val="001C304E"/>
    <w:rsid w:val="001C36AF"/>
    <w:rsid w:val="001C3AFE"/>
    <w:rsid w:val="001C50FA"/>
    <w:rsid w:val="001C5D49"/>
    <w:rsid w:val="001D01BE"/>
    <w:rsid w:val="001D0DD2"/>
    <w:rsid w:val="001D1B64"/>
    <w:rsid w:val="001D2EBC"/>
    <w:rsid w:val="001D3DF1"/>
    <w:rsid w:val="001D4B75"/>
    <w:rsid w:val="001D553B"/>
    <w:rsid w:val="001D7F55"/>
    <w:rsid w:val="001E11E2"/>
    <w:rsid w:val="001E4094"/>
    <w:rsid w:val="001F1F49"/>
    <w:rsid w:val="001F3B70"/>
    <w:rsid w:val="001F4397"/>
    <w:rsid w:val="001F4D7C"/>
    <w:rsid w:val="001F64C6"/>
    <w:rsid w:val="001F6705"/>
    <w:rsid w:val="001F6A98"/>
    <w:rsid w:val="002000C6"/>
    <w:rsid w:val="00202124"/>
    <w:rsid w:val="00202A15"/>
    <w:rsid w:val="0020374F"/>
    <w:rsid w:val="0020500D"/>
    <w:rsid w:val="002075FB"/>
    <w:rsid w:val="00214A88"/>
    <w:rsid w:val="00214CED"/>
    <w:rsid w:val="00216FA2"/>
    <w:rsid w:val="0022296F"/>
    <w:rsid w:val="00222A63"/>
    <w:rsid w:val="00223340"/>
    <w:rsid w:val="00223AFC"/>
    <w:rsid w:val="0022591A"/>
    <w:rsid w:val="00226367"/>
    <w:rsid w:val="0022654A"/>
    <w:rsid w:val="002275CD"/>
    <w:rsid w:val="0022764E"/>
    <w:rsid w:val="002277B0"/>
    <w:rsid w:val="00230B4D"/>
    <w:rsid w:val="00232BCF"/>
    <w:rsid w:val="00232C59"/>
    <w:rsid w:val="00235560"/>
    <w:rsid w:val="00236669"/>
    <w:rsid w:val="00237CA5"/>
    <w:rsid w:val="00242256"/>
    <w:rsid w:val="002427DB"/>
    <w:rsid w:val="002476EB"/>
    <w:rsid w:val="00247A0E"/>
    <w:rsid w:val="00250495"/>
    <w:rsid w:val="002508C5"/>
    <w:rsid w:val="002518ED"/>
    <w:rsid w:val="00253E21"/>
    <w:rsid w:val="0025474D"/>
    <w:rsid w:val="00254AB6"/>
    <w:rsid w:val="00255360"/>
    <w:rsid w:val="00255556"/>
    <w:rsid w:val="0025582F"/>
    <w:rsid w:val="002561F6"/>
    <w:rsid w:val="00256854"/>
    <w:rsid w:val="00257B4C"/>
    <w:rsid w:val="002606E4"/>
    <w:rsid w:val="00260D90"/>
    <w:rsid w:val="00261B94"/>
    <w:rsid w:val="002633D1"/>
    <w:rsid w:val="0026431F"/>
    <w:rsid w:val="00265652"/>
    <w:rsid w:val="00266F7E"/>
    <w:rsid w:val="0026778C"/>
    <w:rsid w:val="00267FE6"/>
    <w:rsid w:val="00270EDB"/>
    <w:rsid w:val="002722EC"/>
    <w:rsid w:val="00274034"/>
    <w:rsid w:val="00275D27"/>
    <w:rsid w:val="002768F7"/>
    <w:rsid w:val="00277D14"/>
    <w:rsid w:val="002803B6"/>
    <w:rsid w:val="0028098C"/>
    <w:rsid w:val="00280EFF"/>
    <w:rsid w:val="00285A91"/>
    <w:rsid w:val="00285CE0"/>
    <w:rsid w:val="002863D5"/>
    <w:rsid w:val="00287579"/>
    <w:rsid w:val="0029019D"/>
    <w:rsid w:val="00291A73"/>
    <w:rsid w:val="002921E3"/>
    <w:rsid w:val="00292F01"/>
    <w:rsid w:val="00293858"/>
    <w:rsid w:val="002967FC"/>
    <w:rsid w:val="002A0890"/>
    <w:rsid w:val="002A0DA3"/>
    <w:rsid w:val="002A4E9A"/>
    <w:rsid w:val="002A6624"/>
    <w:rsid w:val="002A7048"/>
    <w:rsid w:val="002B414F"/>
    <w:rsid w:val="002B61F6"/>
    <w:rsid w:val="002C377E"/>
    <w:rsid w:val="002C4690"/>
    <w:rsid w:val="002C4986"/>
    <w:rsid w:val="002C6347"/>
    <w:rsid w:val="002C67D0"/>
    <w:rsid w:val="002D2196"/>
    <w:rsid w:val="002D276B"/>
    <w:rsid w:val="002D35A9"/>
    <w:rsid w:val="002D4A5C"/>
    <w:rsid w:val="002D5BF5"/>
    <w:rsid w:val="002D66AB"/>
    <w:rsid w:val="002D773C"/>
    <w:rsid w:val="002E13B0"/>
    <w:rsid w:val="002E3C1C"/>
    <w:rsid w:val="002F09A4"/>
    <w:rsid w:val="002F0E13"/>
    <w:rsid w:val="002F3BDE"/>
    <w:rsid w:val="002F4810"/>
    <w:rsid w:val="002F5881"/>
    <w:rsid w:val="002F5D58"/>
    <w:rsid w:val="002F7297"/>
    <w:rsid w:val="002F7538"/>
    <w:rsid w:val="002F7852"/>
    <w:rsid w:val="002F78AC"/>
    <w:rsid w:val="002F7A76"/>
    <w:rsid w:val="00301225"/>
    <w:rsid w:val="00302BF8"/>
    <w:rsid w:val="00305D5F"/>
    <w:rsid w:val="00306F41"/>
    <w:rsid w:val="003114A4"/>
    <w:rsid w:val="00312730"/>
    <w:rsid w:val="00314591"/>
    <w:rsid w:val="003152A0"/>
    <w:rsid w:val="00317160"/>
    <w:rsid w:val="00317332"/>
    <w:rsid w:val="00321F8D"/>
    <w:rsid w:val="003271E5"/>
    <w:rsid w:val="00327BDE"/>
    <w:rsid w:val="00327E61"/>
    <w:rsid w:val="00331800"/>
    <w:rsid w:val="00334CD2"/>
    <w:rsid w:val="00334F12"/>
    <w:rsid w:val="00336CA3"/>
    <w:rsid w:val="00337E61"/>
    <w:rsid w:val="003410CE"/>
    <w:rsid w:val="00342170"/>
    <w:rsid w:val="00343595"/>
    <w:rsid w:val="00344E4F"/>
    <w:rsid w:val="00345EAC"/>
    <w:rsid w:val="00352E8B"/>
    <w:rsid w:val="003557AB"/>
    <w:rsid w:val="00355E19"/>
    <w:rsid w:val="00356D8C"/>
    <w:rsid w:val="00357623"/>
    <w:rsid w:val="00357C1C"/>
    <w:rsid w:val="0036059B"/>
    <w:rsid w:val="0036199B"/>
    <w:rsid w:val="00363897"/>
    <w:rsid w:val="00363D91"/>
    <w:rsid w:val="00363F1E"/>
    <w:rsid w:val="00365361"/>
    <w:rsid w:val="0036665D"/>
    <w:rsid w:val="00366BCE"/>
    <w:rsid w:val="00376994"/>
    <w:rsid w:val="003833BA"/>
    <w:rsid w:val="0038388B"/>
    <w:rsid w:val="0038460E"/>
    <w:rsid w:val="00385591"/>
    <w:rsid w:val="00385622"/>
    <w:rsid w:val="0038586E"/>
    <w:rsid w:val="0038755F"/>
    <w:rsid w:val="00387776"/>
    <w:rsid w:val="00390994"/>
    <w:rsid w:val="00390A68"/>
    <w:rsid w:val="00390F64"/>
    <w:rsid w:val="00391532"/>
    <w:rsid w:val="00392980"/>
    <w:rsid w:val="003935BE"/>
    <w:rsid w:val="003950A6"/>
    <w:rsid w:val="00397892"/>
    <w:rsid w:val="003A0521"/>
    <w:rsid w:val="003A432E"/>
    <w:rsid w:val="003A4B1A"/>
    <w:rsid w:val="003B0AEF"/>
    <w:rsid w:val="003B1028"/>
    <w:rsid w:val="003B383F"/>
    <w:rsid w:val="003B69FC"/>
    <w:rsid w:val="003B6D3B"/>
    <w:rsid w:val="003B6DA9"/>
    <w:rsid w:val="003B7F10"/>
    <w:rsid w:val="003C0957"/>
    <w:rsid w:val="003C39FE"/>
    <w:rsid w:val="003C4B23"/>
    <w:rsid w:val="003C6394"/>
    <w:rsid w:val="003C6886"/>
    <w:rsid w:val="003D09EB"/>
    <w:rsid w:val="003D31EE"/>
    <w:rsid w:val="003D35C5"/>
    <w:rsid w:val="003D561B"/>
    <w:rsid w:val="003D6B50"/>
    <w:rsid w:val="003D6EA5"/>
    <w:rsid w:val="003D780E"/>
    <w:rsid w:val="003D7DDF"/>
    <w:rsid w:val="003D7EE5"/>
    <w:rsid w:val="003E0799"/>
    <w:rsid w:val="003E0CB6"/>
    <w:rsid w:val="003E1F40"/>
    <w:rsid w:val="003E223B"/>
    <w:rsid w:val="003E224C"/>
    <w:rsid w:val="003F03EF"/>
    <w:rsid w:val="003F07B0"/>
    <w:rsid w:val="003F08F0"/>
    <w:rsid w:val="003F56FE"/>
    <w:rsid w:val="003F5DC9"/>
    <w:rsid w:val="00400EAA"/>
    <w:rsid w:val="0040251C"/>
    <w:rsid w:val="00403288"/>
    <w:rsid w:val="00403D68"/>
    <w:rsid w:val="0040690D"/>
    <w:rsid w:val="00407832"/>
    <w:rsid w:val="00410F52"/>
    <w:rsid w:val="004121F1"/>
    <w:rsid w:val="00415DFA"/>
    <w:rsid w:val="004166EC"/>
    <w:rsid w:val="00416831"/>
    <w:rsid w:val="00417435"/>
    <w:rsid w:val="004210BD"/>
    <w:rsid w:val="004220E4"/>
    <w:rsid w:val="00422FB3"/>
    <w:rsid w:val="004238FB"/>
    <w:rsid w:val="00425F2A"/>
    <w:rsid w:val="004260E9"/>
    <w:rsid w:val="004261BD"/>
    <w:rsid w:val="00426C38"/>
    <w:rsid w:val="00430461"/>
    <w:rsid w:val="00430B0C"/>
    <w:rsid w:val="00430B15"/>
    <w:rsid w:val="00430E7A"/>
    <w:rsid w:val="00431968"/>
    <w:rsid w:val="00433707"/>
    <w:rsid w:val="0043493D"/>
    <w:rsid w:val="00440EA1"/>
    <w:rsid w:val="00441A75"/>
    <w:rsid w:val="00443A18"/>
    <w:rsid w:val="0044446D"/>
    <w:rsid w:val="00444FAD"/>
    <w:rsid w:val="00447055"/>
    <w:rsid w:val="00452CDA"/>
    <w:rsid w:val="004542BF"/>
    <w:rsid w:val="004578F9"/>
    <w:rsid w:val="004663CF"/>
    <w:rsid w:val="00466C12"/>
    <w:rsid w:val="004714C7"/>
    <w:rsid w:val="00471CD6"/>
    <w:rsid w:val="0047243F"/>
    <w:rsid w:val="00477680"/>
    <w:rsid w:val="00477E7B"/>
    <w:rsid w:val="004813EB"/>
    <w:rsid w:val="00482C19"/>
    <w:rsid w:val="00483D0A"/>
    <w:rsid w:val="004845FA"/>
    <w:rsid w:val="00486336"/>
    <w:rsid w:val="00486D60"/>
    <w:rsid w:val="004874E6"/>
    <w:rsid w:val="00491577"/>
    <w:rsid w:val="00493BEB"/>
    <w:rsid w:val="0049515B"/>
    <w:rsid w:val="0049688E"/>
    <w:rsid w:val="004975B9"/>
    <w:rsid w:val="00497B85"/>
    <w:rsid w:val="004A0DF5"/>
    <w:rsid w:val="004A0E11"/>
    <w:rsid w:val="004A21E7"/>
    <w:rsid w:val="004A2676"/>
    <w:rsid w:val="004A33BA"/>
    <w:rsid w:val="004A577E"/>
    <w:rsid w:val="004A5D9C"/>
    <w:rsid w:val="004A6B8E"/>
    <w:rsid w:val="004A7B67"/>
    <w:rsid w:val="004B2BE7"/>
    <w:rsid w:val="004B537E"/>
    <w:rsid w:val="004C2B97"/>
    <w:rsid w:val="004C5D1B"/>
    <w:rsid w:val="004D23AC"/>
    <w:rsid w:val="004D3AB3"/>
    <w:rsid w:val="004D46E8"/>
    <w:rsid w:val="004D5EAE"/>
    <w:rsid w:val="004D6FB2"/>
    <w:rsid w:val="004D7AFE"/>
    <w:rsid w:val="004E1B46"/>
    <w:rsid w:val="004E31F1"/>
    <w:rsid w:val="004E43C3"/>
    <w:rsid w:val="004F2CDB"/>
    <w:rsid w:val="004F3375"/>
    <w:rsid w:val="004F7764"/>
    <w:rsid w:val="00500677"/>
    <w:rsid w:val="00502F83"/>
    <w:rsid w:val="0050380E"/>
    <w:rsid w:val="00505405"/>
    <w:rsid w:val="0050598C"/>
    <w:rsid w:val="00510744"/>
    <w:rsid w:val="00515EC9"/>
    <w:rsid w:val="0052063C"/>
    <w:rsid w:val="005210CB"/>
    <w:rsid w:val="00523411"/>
    <w:rsid w:val="00524B8F"/>
    <w:rsid w:val="00524C68"/>
    <w:rsid w:val="00525F08"/>
    <w:rsid w:val="00526A2E"/>
    <w:rsid w:val="00526D7B"/>
    <w:rsid w:val="0052783D"/>
    <w:rsid w:val="00533C3E"/>
    <w:rsid w:val="005359EC"/>
    <w:rsid w:val="00540794"/>
    <w:rsid w:val="00547576"/>
    <w:rsid w:val="00550578"/>
    <w:rsid w:val="00551885"/>
    <w:rsid w:val="00552971"/>
    <w:rsid w:val="00555E75"/>
    <w:rsid w:val="0055696B"/>
    <w:rsid w:val="00556F28"/>
    <w:rsid w:val="0056006D"/>
    <w:rsid w:val="00560AB1"/>
    <w:rsid w:val="00562641"/>
    <w:rsid w:val="0056337F"/>
    <w:rsid w:val="005641C2"/>
    <w:rsid w:val="0056454C"/>
    <w:rsid w:val="00565735"/>
    <w:rsid w:val="00570E08"/>
    <w:rsid w:val="00571FB9"/>
    <w:rsid w:val="0057290B"/>
    <w:rsid w:val="0057387B"/>
    <w:rsid w:val="005749FB"/>
    <w:rsid w:val="00574F1C"/>
    <w:rsid w:val="00575AFF"/>
    <w:rsid w:val="0057624C"/>
    <w:rsid w:val="00576850"/>
    <w:rsid w:val="00576CE8"/>
    <w:rsid w:val="00577C94"/>
    <w:rsid w:val="00577FBC"/>
    <w:rsid w:val="0058072E"/>
    <w:rsid w:val="00580C52"/>
    <w:rsid w:val="00582556"/>
    <w:rsid w:val="00583994"/>
    <w:rsid w:val="00584122"/>
    <w:rsid w:val="005841A9"/>
    <w:rsid w:val="00584844"/>
    <w:rsid w:val="0058508B"/>
    <w:rsid w:val="0058559C"/>
    <w:rsid w:val="00585D93"/>
    <w:rsid w:val="00587169"/>
    <w:rsid w:val="00587A89"/>
    <w:rsid w:val="00587F12"/>
    <w:rsid w:val="00587FCA"/>
    <w:rsid w:val="00590A63"/>
    <w:rsid w:val="00590AFB"/>
    <w:rsid w:val="00590B1D"/>
    <w:rsid w:val="00596AE6"/>
    <w:rsid w:val="005A218A"/>
    <w:rsid w:val="005A277B"/>
    <w:rsid w:val="005A2886"/>
    <w:rsid w:val="005A41F6"/>
    <w:rsid w:val="005A597B"/>
    <w:rsid w:val="005A6538"/>
    <w:rsid w:val="005A69FE"/>
    <w:rsid w:val="005B0628"/>
    <w:rsid w:val="005B0835"/>
    <w:rsid w:val="005B33CA"/>
    <w:rsid w:val="005B54FB"/>
    <w:rsid w:val="005B5C1B"/>
    <w:rsid w:val="005C0418"/>
    <w:rsid w:val="005C06A6"/>
    <w:rsid w:val="005C21D7"/>
    <w:rsid w:val="005C39C0"/>
    <w:rsid w:val="005C3D38"/>
    <w:rsid w:val="005C6B90"/>
    <w:rsid w:val="005C71C7"/>
    <w:rsid w:val="005D1231"/>
    <w:rsid w:val="005D143D"/>
    <w:rsid w:val="005D3DA0"/>
    <w:rsid w:val="005D449C"/>
    <w:rsid w:val="005D53F9"/>
    <w:rsid w:val="005D65DA"/>
    <w:rsid w:val="005E52C6"/>
    <w:rsid w:val="005F45F0"/>
    <w:rsid w:val="005F6518"/>
    <w:rsid w:val="005F651E"/>
    <w:rsid w:val="005F6A77"/>
    <w:rsid w:val="005F736C"/>
    <w:rsid w:val="00600862"/>
    <w:rsid w:val="00600CD9"/>
    <w:rsid w:val="00602693"/>
    <w:rsid w:val="006048D0"/>
    <w:rsid w:val="00610BC4"/>
    <w:rsid w:val="006117B1"/>
    <w:rsid w:val="00612A74"/>
    <w:rsid w:val="00612C99"/>
    <w:rsid w:val="00613235"/>
    <w:rsid w:val="006138CB"/>
    <w:rsid w:val="006178BC"/>
    <w:rsid w:val="00620B2C"/>
    <w:rsid w:val="00623357"/>
    <w:rsid w:val="00623835"/>
    <w:rsid w:val="00623BC6"/>
    <w:rsid w:val="0062409F"/>
    <w:rsid w:val="006241D3"/>
    <w:rsid w:val="006243BA"/>
    <w:rsid w:val="00624767"/>
    <w:rsid w:val="0062570C"/>
    <w:rsid w:val="00626B5A"/>
    <w:rsid w:val="00630F4E"/>
    <w:rsid w:val="0063189C"/>
    <w:rsid w:val="00633171"/>
    <w:rsid w:val="00633266"/>
    <w:rsid w:val="006348AE"/>
    <w:rsid w:val="00635020"/>
    <w:rsid w:val="00636752"/>
    <w:rsid w:val="00636AB9"/>
    <w:rsid w:val="0063737D"/>
    <w:rsid w:val="006461C1"/>
    <w:rsid w:val="00647B88"/>
    <w:rsid w:val="00647C1F"/>
    <w:rsid w:val="00652D0C"/>
    <w:rsid w:val="0065374D"/>
    <w:rsid w:val="006539ED"/>
    <w:rsid w:val="00653BA5"/>
    <w:rsid w:val="00653F46"/>
    <w:rsid w:val="00654149"/>
    <w:rsid w:val="00654D8E"/>
    <w:rsid w:val="00656303"/>
    <w:rsid w:val="00657260"/>
    <w:rsid w:val="00657C7F"/>
    <w:rsid w:val="00665A8C"/>
    <w:rsid w:val="00665FA9"/>
    <w:rsid w:val="0066653E"/>
    <w:rsid w:val="00672942"/>
    <w:rsid w:val="00674F0B"/>
    <w:rsid w:val="00677760"/>
    <w:rsid w:val="00677789"/>
    <w:rsid w:val="00680991"/>
    <w:rsid w:val="006819F7"/>
    <w:rsid w:val="00683970"/>
    <w:rsid w:val="00683B71"/>
    <w:rsid w:val="006854D5"/>
    <w:rsid w:val="00686BFF"/>
    <w:rsid w:val="00686E39"/>
    <w:rsid w:val="00691F71"/>
    <w:rsid w:val="00695D01"/>
    <w:rsid w:val="00696F59"/>
    <w:rsid w:val="00697F8B"/>
    <w:rsid w:val="006A0A97"/>
    <w:rsid w:val="006A1999"/>
    <w:rsid w:val="006A43F4"/>
    <w:rsid w:val="006A6234"/>
    <w:rsid w:val="006A6298"/>
    <w:rsid w:val="006B2597"/>
    <w:rsid w:val="006B25F1"/>
    <w:rsid w:val="006B4780"/>
    <w:rsid w:val="006B7D48"/>
    <w:rsid w:val="006C2AE8"/>
    <w:rsid w:val="006C409B"/>
    <w:rsid w:val="006C4C6F"/>
    <w:rsid w:val="006C4CFF"/>
    <w:rsid w:val="006C53E9"/>
    <w:rsid w:val="006C5D96"/>
    <w:rsid w:val="006C674A"/>
    <w:rsid w:val="006C6C41"/>
    <w:rsid w:val="006D131E"/>
    <w:rsid w:val="006D1816"/>
    <w:rsid w:val="006D2A16"/>
    <w:rsid w:val="006D2EC5"/>
    <w:rsid w:val="006D40E6"/>
    <w:rsid w:val="006D5331"/>
    <w:rsid w:val="006D54AB"/>
    <w:rsid w:val="006D5DD5"/>
    <w:rsid w:val="006D6ACE"/>
    <w:rsid w:val="006D7683"/>
    <w:rsid w:val="006E0717"/>
    <w:rsid w:val="006E1822"/>
    <w:rsid w:val="006E1F5F"/>
    <w:rsid w:val="006E6EFC"/>
    <w:rsid w:val="006E7656"/>
    <w:rsid w:val="006E79F5"/>
    <w:rsid w:val="006E7D43"/>
    <w:rsid w:val="006F08CD"/>
    <w:rsid w:val="006F1AF2"/>
    <w:rsid w:val="006F21B0"/>
    <w:rsid w:val="006F7E8F"/>
    <w:rsid w:val="00700678"/>
    <w:rsid w:val="00702E5E"/>
    <w:rsid w:val="0070514B"/>
    <w:rsid w:val="00707030"/>
    <w:rsid w:val="00710D07"/>
    <w:rsid w:val="00710F32"/>
    <w:rsid w:val="00711345"/>
    <w:rsid w:val="007123AF"/>
    <w:rsid w:val="00716133"/>
    <w:rsid w:val="00716A9B"/>
    <w:rsid w:val="00716E7C"/>
    <w:rsid w:val="00720461"/>
    <w:rsid w:val="00720E80"/>
    <w:rsid w:val="0072180A"/>
    <w:rsid w:val="007222EF"/>
    <w:rsid w:val="00724FA0"/>
    <w:rsid w:val="0072579E"/>
    <w:rsid w:val="00727C3D"/>
    <w:rsid w:val="00731139"/>
    <w:rsid w:val="00731797"/>
    <w:rsid w:val="00732031"/>
    <w:rsid w:val="00735BAB"/>
    <w:rsid w:val="00741AB5"/>
    <w:rsid w:val="00744866"/>
    <w:rsid w:val="0074560B"/>
    <w:rsid w:val="00746476"/>
    <w:rsid w:val="00750355"/>
    <w:rsid w:val="00753F69"/>
    <w:rsid w:val="00754BA9"/>
    <w:rsid w:val="007553C2"/>
    <w:rsid w:val="00755AA5"/>
    <w:rsid w:val="00757525"/>
    <w:rsid w:val="0076211B"/>
    <w:rsid w:val="0076263B"/>
    <w:rsid w:val="00763A2E"/>
    <w:rsid w:val="00764B38"/>
    <w:rsid w:val="0076525E"/>
    <w:rsid w:val="00765311"/>
    <w:rsid w:val="00770164"/>
    <w:rsid w:val="00771417"/>
    <w:rsid w:val="00771D2E"/>
    <w:rsid w:val="007728F6"/>
    <w:rsid w:val="00772B81"/>
    <w:rsid w:val="00772E4F"/>
    <w:rsid w:val="00774702"/>
    <w:rsid w:val="00775DFF"/>
    <w:rsid w:val="0077613D"/>
    <w:rsid w:val="007774C8"/>
    <w:rsid w:val="007813EA"/>
    <w:rsid w:val="007829B3"/>
    <w:rsid w:val="00783303"/>
    <w:rsid w:val="0078363C"/>
    <w:rsid w:val="00784B45"/>
    <w:rsid w:val="00785270"/>
    <w:rsid w:val="0078536B"/>
    <w:rsid w:val="0078674A"/>
    <w:rsid w:val="00787061"/>
    <w:rsid w:val="007875F0"/>
    <w:rsid w:val="0079027A"/>
    <w:rsid w:val="00790AB7"/>
    <w:rsid w:val="00790C9E"/>
    <w:rsid w:val="00792FA5"/>
    <w:rsid w:val="007951B2"/>
    <w:rsid w:val="00795461"/>
    <w:rsid w:val="00797A56"/>
    <w:rsid w:val="007A0B82"/>
    <w:rsid w:val="007A1DCB"/>
    <w:rsid w:val="007A251E"/>
    <w:rsid w:val="007A2764"/>
    <w:rsid w:val="007A33D6"/>
    <w:rsid w:val="007A437B"/>
    <w:rsid w:val="007A509C"/>
    <w:rsid w:val="007B21C4"/>
    <w:rsid w:val="007B2A7B"/>
    <w:rsid w:val="007B2AF5"/>
    <w:rsid w:val="007B3B7D"/>
    <w:rsid w:val="007B7477"/>
    <w:rsid w:val="007B7AE0"/>
    <w:rsid w:val="007C0AB9"/>
    <w:rsid w:val="007C0E54"/>
    <w:rsid w:val="007C34A9"/>
    <w:rsid w:val="007C475F"/>
    <w:rsid w:val="007C5850"/>
    <w:rsid w:val="007C5C1A"/>
    <w:rsid w:val="007C6D1B"/>
    <w:rsid w:val="007D05CE"/>
    <w:rsid w:val="007D2147"/>
    <w:rsid w:val="007D235D"/>
    <w:rsid w:val="007D4A60"/>
    <w:rsid w:val="007D4D70"/>
    <w:rsid w:val="007D706C"/>
    <w:rsid w:val="007E0C9B"/>
    <w:rsid w:val="007E2FC3"/>
    <w:rsid w:val="007E51B0"/>
    <w:rsid w:val="007E594B"/>
    <w:rsid w:val="007E785F"/>
    <w:rsid w:val="007F0489"/>
    <w:rsid w:val="007F1123"/>
    <w:rsid w:val="007F15FD"/>
    <w:rsid w:val="007F17F9"/>
    <w:rsid w:val="007F1873"/>
    <w:rsid w:val="007F1B07"/>
    <w:rsid w:val="007F2D7D"/>
    <w:rsid w:val="007F34F5"/>
    <w:rsid w:val="007F3F7B"/>
    <w:rsid w:val="007F4C4F"/>
    <w:rsid w:val="007F5140"/>
    <w:rsid w:val="007F5223"/>
    <w:rsid w:val="0080135E"/>
    <w:rsid w:val="00802619"/>
    <w:rsid w:val="00802860"/>
    <w:rsid w:val="008039D3"/>
    <w:rsid w:val="008053A9"/>
    <w:rsid w:val="0080723F"/>
    <w:rsid w:val="008106FB"/>
    <w:rsid w:val="00811301"/>
    <w:rsid w:val="0081251C"/>
    <w:rsid w:val="00812771"/>
    <w:rsid w:val="00812EDB"/>
    <w:rsid w:val="00814608"/>
    <w:rsid w:val="00816092"/>
    <w:rsid w:val="008165AC"/>
    <w:rsid w:val="008168C6"/>
    <w:rsid w:val="00816F37"/>
    <w:rsid w:val="008172CA"/>
    <w:rsid w:val="00817904"/>
    <w:rsid w:val="00822FDA"/>
    <w:rsid w:val="00823390"/>
    <w:rsid w:val="00825526"/>
    <w:rsid w:val="0083254F"/>
    <w:rsid w:val="008328AF"/>
    <w:rsid w:val="00835D4C"/>
    <w:rsid w:val="00845159"/>
    <w:rsid w:val="00847D22"/>
    <w:rsid w:val="0085087A"/>
    <w:rsid w:val="00850BA6"/>
    <w:rsid w:val="00852FE3"/>
    <w:rsid w:val="008538BA"/>
    <w:rsid w:val="00854A96"/>
    <w:rsid w:val="0085639B"/>
    <w:rsid w:val="008565A8"/>
    <w:rsid w:val="008571F6"/>
    <w:rsid w:val="00863319"/>
    <w:rsid w:val="00863787"/>
    <w:rsid w:val="00863CBB"/>
    <w:rsid w:val="00866243"/>
    <w:rsid w:val="00867072"/>
    <w:rsid w:val="00872565"/>
    <w:rsid w:val="00874317"/>
    <w:rsid w:val="00874797"/>
    <w:rsid w:val="008762A9"/>
    <w:rsid w:val="008775B4"/>
    <w:rsid w:val="00880FE6"/>
    <w:rsid w:val="00884559"/>
    <w:rsid w:val="0088657B"/>
    <w:rsid w:val="00886C49"/>
    <w:rsid w:val="00886C50"/>
    <w:rsid w:val="00887325"/>
    <w:rsid w:val="00887C85"/>
    <w:rsid w:val="00887D37"/>
    <w:rsid w:val="00890698"/>
    <w:rsid w:val="008908EB"/>
    <w:rsid w:val="00891971"/>
    <w:rsid w:val="0089366D"/>
    <w:rsid w:val="00893DF1"/>
    <w:rsid w:val="00894562"/>
    <w:rsid w:val="00894786"/>
    <w:rsid w:val="008955EE"/>
    <w:rsid w:val="00897BB9"/>
    <w:rsid w:val="008A03A6"/>
    <w:rsid w:val="008A3116"/>
    <w:rsid w:val="008A45B1"/>
    <w:rsid w:val="008A4A0B"/>
    <w:rsid w:val="008A63C5"/>
    <w:rsid w:val="008B0507"/>
    <w:rsid w:val="008B050E"/>
    <w:rsid w:val="008B0CD9"/>
    <w:rsid w:val="008B14FB"/>
    <w:rsid w:val="008B491A"/>
    <w:rsid w:val="008B4AAC"/>
    <w:rsid w:val="008B535C"/>
    <w:rsid w:val="008B6BF2"/>
    <w:rsid w:val="008C22A8"/>
    <w:rsid w:val="008C56A8"/>
    <w:rsid w:val="008C614B"/>
    <w:rsid w:val="008C7901"/>
    <w:rsid w:val="008D0751"/>
    <w:rsid w:val="008D2F9A"/>
    <w:rsid w:val="008D4DC9"/>
    <w:rsid w:val="008D56F7"/>
    <w:rsid w:val="008D6EB9"/>
    <w:rsid w:val="008D7AF5"/>
    <w:rsid w:val="008E2D58"/>
    <w:rsid w:val="008E2E59"/>
    <w:rsid w:val="008E39BD"/>
    <w:rsid w:val="008E6406"/>
    <w:rsid w:val="008E64FB"/>
    <w:rsid w:val="008E78E4"/>
    <w:rsid w:val="008F1C2A"/>
    <w:rsid w:val="008F35CD"/>
    <w:rsid w:val="008F386D"/>
    <w:rsid w:val="008F61B3"/>
    <w:rsid w:val="009011D0"/>
    <w:rsid w:val="00902D19"/>
    <w:rsid w:val="00902E17"/>
    <w:rsid w:val="009032DC"/>
    <w:rsid w:val="009079C7"/>
    <w:rsid w:val="0091019C"/>
    <w:rsid w:val="0091029F"/>
    <w:rsid w:val="00910638"/>
    <w:rsid w:val="00913AA9"/>
    <w:rsid w:val="009149D0"/>
    <w:rsid w:val="00917389"/>
    <w:rsid w:val="00921542"/>
    <w:rsid w:val="00921612"/>
    <w:rsid w:val="0092205D"/>
    <w:rsid w:val="0092291B"/>
    <w:rsid w:val="00922CFE"/>
    <w:rsid w:val="00924185"/>
    <w:rsid w:val="009254E3"/>
    <w:rsid w:val="009266EE"/>
    <w:rsid w:val="009305F2"/>
    <w:rsid w:val="009312B2"/>
    <w:rsid w:val="00933C49"/>
    <w:rsid w:val="00933C4F"/>
    <w:rsid w:val="009414B2"/>
    <w:rsid w:val="0094487E"/>
    <w:rsid w:val="00944A2E"/>
    <w:rsid w:val="0094509E"/>
    <w:rsid w:val="00950142"/>
    <w:rsid w:val="00950896"/>
    <w:rsid w:val="00950E9A"/>
    <w:rsid w:val="0095182F"/>
    <w:rsid w:val="009528B8"/>
    <w:rsid w:val="00954CAE"/>
    <w:rsid w:val="00954DF4"/>
    <w:rsid w:val="009559CC"/>
    <w:rsid w:val="009562F2"/>
    <w:rsid w:val="00960B07"/>
    <w:rsid w:val="00963736"/>
    <w:rsid w:val="00963F34"/>
    <w:rsid w:val="009648B2"/>
    <w:rsid w:val="0096563E"/>
    <w:rsid w:val="00965B88"/>
    <w:rsid w:val="00966499"/>
    <w:rsid w:val="00966D14"/>
    <w:rsid w:val="00970234"/>
    <w:rsid w:val="00970699"/>
    <w:rsid w:val="009714DC"/>
    <w:rsid w:val="00971D39"/>
    <w:rsid w:val="0097422C"/>
    <w:rsid w:val="009752C0"/>
    <w:rsid w:val="009759F5"/>
    <w:rsid w:val="00976B52"/>
    <w:rsid w:val="00976DD4"/>
    <w:rsid w:val="0098276E"/>
    <w:rsid w:val="00984B13"/>
    <w:rsid w:val="00984D17"/>
    <w:rsid w:val="009878A4"/>
    <w:rsid w:val="00991B86"/>
    <w:rsid w:val="00994F51"/>
    <w:rsid w:val="009A101D"/>
    <w:rsid w:val="009A20DE"/>
    <w:rsid w:val="009B0748"/>
    <w:rsid w:val="009B0958"/>
    <w:rsid w:val="009B0CE8"/>
    <w:rsid w:val="009B1BBF"/>
    <w:rsid w:val="009C5FE1"/>
    <w:rsid w:val="009C6666"/>
    <w:rsid w:val="009D0D61"/>
    <w:rsid w:val="009D123E"/>
    <w:rsid w:val="009D12B5"/>
    <w:rsid w:val="009D20E0"/>
    <w:rsid w:val="009D3DB2"/>
    <w:rsid w:val="009D404E"/>
    <w:rsid w:val="009D4B6C"/>
    <w:rsid w:val="009D5616"/>
    <w:rsid w:val="009D5947"/>
    <w:rsid w:val="009D6721"/>
    <w:rsid w:val="009D6771"/>
    <w:rsid w:val="009E0491"/>
    <w:rsid w:val="009E18B6"/>
    <w:rsid w:val="009E5D28"/>
    <w:rsid w:val="009E6304"/>
    <w:rsid w:val="009E6526"/>
    <w:rsid w:val="009E771A"/>
    <w:rsid w:val="009E7F20"/>
    <w:rsid w:val="009F0225"/>
    <w:rsid w:val="009F1557"/>
    <w:rsid w:val="009F7118"/>
    <w:rsid w:val="00A01D52"/>
    <w:rsid w:val="00A01ED2"/>
    <w:rsid w:val="00A0293C"/>
    <w:rsid w:val="00A02C8F"/>
    <w:rsid w:val="00A042AF"/>
    <w:rsid w:val="00A05E36"/>
    <w:rsid w:val="00A1156A"/>
    <w:rsid w:val="00A13086"/>
    <w:rsid w:val="00A201F0"/>
    <w:rsid w:val="00A22747"/>
    <w:rsid w:val="00A22D8A"/>
    <w:rsid w:val="00A25375"/>
    <w:rsid w:val="00A262FB"/>
    <w:rsid w:val="00A26DF0"/>
    <w:rsid w:val="00A33BD2"/>
    <w:rsid w:val="00A34764"/>
    <w:rsid w:val="00A352DD"/>
    <w:rsid w:val="00A35BFE"/>
    <w:rsid w:val="00A36677"/>
    <w:rsid w:val="00A36B75"/>
    <w:rsid w:val="00A36F26"/>
    <w:rsid w:val="00A37AE7"/>
    <w:rsid w:val="00A37B91"/>
    <w:rsid w:val="00A40037"/>
    <w:rsid w:val="00A40E06"/>
    <w:rsid w:val="00A43A15"/>
    <w:rsid w:val="00A4446C"/>
    <w:rsid w:val="00A44F7F"/>
    <w:rsid w:val="00A4608A"/>
    <w:rsid w:val="00A52E80"/>
    <w:rsid w:val="00A54A76"/>
    <w:rsid w:val="00A553F1"/>
    <w:rsid w:val="00A55C85"/>
    <w:rsid w:val="00A576DD"/>
    <w:rsid w:val="00A57B36"/>
    <w:rsid w:val="00A57B4C"/>
    <w:rsid w:val="00A57CE4"/>
    <w:rsid w:val="00A6161F"/>
    <w:rsid w:val="00A61669"/>
    <w:rsid w:val="00A63086"/>
    <w:rsid w:val="00A644A4"/>
    <w:rsid w:val="00A6469E"/>
    <w:rsid w:val="00A64AFE"/>
    <w:rsid w:val="00A6578C"/>
    <w:rsid w:val="00A657D7"/>
    <w:rsid w:val="00A66230"/>
    <w:rsid w:val="00A70962"/>
    <w:rsid w:val="00A72864"/>
    <w:rsid w:val="00A72E6E"/>
    <w:rsid w:val="00A7369D"/>
    <w:rsid w:val="00A75677"/>
    <w:rsid w:val="00A76AC1"/>
    <w:rsid w:val="00A81C58"/>
    <w:rsid w:val="00A84304"/>
    <w:rsid w:val="00A84E77"/>
    <w:rsid w:val="00A84FA5"/>
    <w:rsid w:val="00A851C8"/>
    <w:rsid w:val="00A86EC8"/>
    <w:rsid w:val="00A9043F"/>
    <w:rsid w:val="00A906DF"/>
    <w:rsid w:val="00A910B7"/>
    <w:rsid w:val="00A9119B"/>
    <w:rsid w:val="00A93279"/>
    <w:rsid w:val="00A95628"/>
    <w:rsid w:val="00AA0E3B"/>
    <w:rsid w:val="00AA3347"/>
    <w:rsid w:val="00AA43C4"/>
    <w:rsid w:val="00AA494B"/>
    <w:rsid w:val="00AB2617"/>
    <w:rsid w:val="00AB4EDE"/>
    <w:rsid w:val="00AB570C"/>
    <w:rsid w:val="00AB679A"/>
    <w:rsid w:val="00AB6F0E"/>
    <w:rsid w:val="00AB7191"/>
    <w:rsid w:val="00AB78E2"/>
    <w:rsid w:val="00AC0BAB"/>
    <w:rsid w:val="00AC155D"/>
    <w:rsid w:val="00AC3237"/>
    <w:rsid w:val="00AC55AA"/>
    <w:rsid w:val="00AC6839"/>
    <w:rsid w:val="00AC7AC1"/>
    <w:rsid w:val="00AD1746"/>
    <w:rsid w:val="00AD1AE0"/>
    <w:rsid w:val="00AD2538"/>
    <w:rsid w:val="00AD3F67"/>
    <w:rsid w:val="00AD499F"/>
    <w:rsid w:val="00AD4BDD"/>
    <w:rsid w:val="00AD5222"/>
    <w:rsid w:val="00AD6D7C"/>
    <w:rsid w:val="00AD70F2"/>
    <w:rsid w:val="00AE0270"/>
    <w:rsid w:val="00AE1FA7"/>
    <w:rsid w:val="00AE24FD"/>
    <w:rsid w:val="00AE482E"/>
    <w:rsid w:val="00AE4BAB"/>
    <w:rsid w:val="00AE535E"/>
    <w:rsid w:val="00AE6BB1"/>
    <w:rsid w:val="00AE6F57"/>
    <w:rsid w:val="00AE756B"/>
    <w:rsid w:val="00AE7BE4"/>
    <w:rsid w:val="00AF0278"/>
    <w:rsid w:val="00AF132C"/>
    <w:rsid w:val="00AF1711"/>
    <w:rsid w:val="00AF2351"/>
    <w:rsid w:val="00AF3460"/>
    <w:rsid w:val="00AF3479"/>
    <w:rsid w:val="00AF4269"/>
    <w:rsid w:val="00AF6240"/>
    <w:rsid w:val="00AF73FE"/>
    <w:rsid w:val="00AF7B82"/>
    <w:rsid w:val="00B0721D"/>
    <w:rsid w:val="00B11776"/>
    <w:rsid w:val="00B11F4A"/>
    <w:rsid w:val="00B12A08"/>
    <w:rsid w:val="00B13BCB"/>
    <w:rsid w:val="00B146CD"/>
    <w:rsid w:val="00B16606"/>
    <w:rsid w:val="00B16FB7"/>
    <w:rsid w:val="00B17CB8"/>
    <w:rsid w:val="00B229C3"/>
    <w:rsid w:val="00B24DB8"/>
    <w:rsid w:val="00B259E7"/>
    <w:rsid w:val="00B26E58"/>
    <w:rsid w:val="00B30022"/>
    <w:rsid w:val="00B329C2"/>
    <w:rsid w:val="00B3358C"/>
    <w:rsid w:val="00B343F4"/>
    <w:rsid w:val="00B37984"/>
    <w:rsid w:val="00B37F17"/>
    <w:rsid w:val="00B40CFC"/>
    <w:rsid w:val="00B43458"/>
    <w:rsid w:val="00B44711"/>
    <w:rsid w:val="00B45C67"/>
    <w:rsid w:val="00B46A62"/>
    <w:rsid w:val="00B46F60"/>
    <w:rsid w:val="00B47053"/>
    <w:rsid w:val="00B5086B"/>
    <w:rsid w:val="00B5527C"/>
    <w:rsid w:val="00B55A0F"/>
    <w:rsid w:val="00B566B3"/>
    <w:rsid w:val="00B57304"/>
    <w:rsid w:val="00B574B6"/>
    <w:rsid w:val="00B57CF0"/>
    <w:rsid w:val="00B60F96"/>
    <w:rsid w:val="00B644F8"/>
    <w:rsid w:val="00B651E7"/>
    <w:rsid w:val="00B7072D"/>
    <w:rsid w:val="00B7170D"/>
    <w:rsid w:val="00B71ECD"/>
    <w:rsid w:val="00B723CB"/>
    <w:rsid w:val="00B7335B"/>
    <w:rsid w:val="00B7665E"/>
    <w:rsid w:val="00B7697F"/>
    <w:rsid w:val="00B76D8A"/>
    <w:rsid w:val="00B8129C"/>
    <w:rsid w:val="00B829AB"/>
    <w:rsid w:val="00B84C78"/>
    <w:rsid w:val="00B9017F"/>
    <w:rsid w:val="00B94DBA"/>
    <w:rsid w:val="00B95237"/>
    <w:rsid w:val="00B960ED"/>
    <w:rsid w:val="00B96769"/>
    <w:rsid w:val="00B97A7F"/>
    <w:rsid w:val="00BA1F8A"/>
    <w:rsid w:val="00BA312C"/>
    <w:rsid w:val="00BA53E0"/>
    <w:rsid w:val="00BA6595"/>
    <w:rsid w:val="00BA753D"/>
    <w:rsid w:val="00BB6AB4"/>
    <w:rsid w:val="00BB70D0"/>
    <w:rsid w:val="00BB7B99"/>
    <w:rsid w:val="00BC12B1"/>
    <w:rsid w:val="00BC176E"/>
    <w:rsid w:val="00BC3D5A"/>
    <w:rsid w:val="00BC4999"/>
    <w:rsid w:val="00BC4E23"/>
    <w:rsid w:val="00BC55A0"/>
    <w:rsid w:val="00BC58F4"/>
    <w:rsid w:val="00BC61EC"/>
    <w:rsid w:val="00BC78DD"/>
    <w:rsid w:val="00BD0647"/>
    <w:rsid w:val="00BD20AD"/>
    <w:rsid w:val="00BD21B1"/>
    <w:rsid w:val="00BD21C4"/>
    <w:rsid w:val="00BD25E9"/>
    <w:rsid w:val="00BD28A7"/>
    <w:rsid w:val="00BD441A"/>
    <w:rsid w:val="00BD77E5"/>
    <w:rsid w:val="00BE0E93"/>
    <w:rsid w:val="00BE112A"/>
    <w:rsid w:val="00BE1B25"/>
    <w:rsid w:val="00BE5640"/>
    <w:rsid w:val="00BE69E8"/>
    <w:rsid w:val="00BE6E0A"/>
    <w:rsid w:val="00BE7F97"/>
    <w:rsid w:val="00BF0168"/>
    <w:rsid w:val="00BF08D2"/>
    <w:rsid w:val="00BF2C08"/>
    <w:rsid w:val="00BF3ADD"/>
    <w:rsid w:val="00BF4BBD"/>
    <w:rsid w:val="00BF7B0B"/>
    <w:rsid w:val="00C005C2"/>
    <w:rsid w:val="00C027DB"/>
    <w:rsid w:val="00C038F0"/>
    <w:rsid w:val="00C0612F"/>
    <w:rsid w:val="00C06F60"/>
    <w:rsid w:val="00C10329"/>
    <w:rsid w:val="00C117B4"/>
    <w:rsid w:val="00C11A57"/>
    <w:rsid w:val="00C126BE"/>
    <w:rsid w:val="00C13493"/>
    <w:rsid w:val="00C13C76"/>
    <w:rsid w:val="00C1522E"/>
    <w:rsid w:val="00C15378"/>
    <w:rsid w:val="00C16FF9"/>
    <w:rsid w:val="00C17AD0"/>
    <w:rsid w:val="00C243CC"/>
    <w:rsid w:val="00C25CCC"/>
    <w:rsid w:val="00C27159"/>
    <w:rsid w:val="00C27903"/>
    <w:rsid w:val="00C3257F"/>
    <w:rsid w:val="00C32C8C"/>
    <w:rsid w:val="00C3443A"/>
    <w:rsid w:val="00C353BE"/>
    <w:rsid w:val="00C35B2E"/>
    <w:rsid w:val="00C369F2"/>
    <w:rsid w:val="00C37712"/>
    <w:rsid w:val="00C41CB5"/>
    <w:rsid w:val="00C4428D"/>
    <w:rsid w:val="00C45061"/>
    <w:rsid w:val="00C46317"/>
    <w:rsid w:val="00C46FA3"/>
    <w:rsid w:val="00C472D8"/>
    <w:rsid w:val="00C47B9F"/>
    <w:rsid w:val="00C52C54"/>
    <w:rsid w:val="00C53964"/>
    <w:rsid w:val="00C53BB4"/>
    <w:rsid w:val="00C57DB8"/>
    <w:rsid w:val="00C61A6C"/>
    <w:rsid w:val="00C62309"/>
    <w:rsid w:val="00C63FCF"/>
    <w:rsid w:val="00C65002"/>
    <w:rsid w:val="00C70B0C"/>
    <w:rsid w:val="00C7103B"/>
    <w:rsid w:val="00C7174C"/>
    <w:rsid w:val="00C7257D"/>
    <w:rsid w:val="00C72862"/>
    <w:rsid w:val="00C73407"/>
    <w:rsid w:val="00C75912"/>
    <w:rsid w:val="00C76D4D"/>
    <w:rsid w:val="00C77438"/>
    <w:rsid w:val="00C7759C"/>
    <w:rsid w:val="00C77EFC"/>
    <w:rsid w:val="00C807A8"/>
    <w:rsid w:val="00C81C24"/>
    <w:rsid w:val="00C82CED"/>
    <w:rsid w:val="00C82FF2"/>
    <w:rsid w:val="00C85425"/>
    <w:rsid w:val="00C857AA"/>
    <w:rsid w:val="00C86333"/>
    <w:rsid w:val="00C86FBB"/>
    <w:rsid w:val="00C927DE"/>
    <w:rsid w:val="00C941E5"/>
    <w:rsid w:val="00C94370"/>
    <w:rsid w:val="00C949E6"/>
    <w:rsid w:val="00C96092"/>
    <w:rsid w:val="00C96241"/>
    <w:rsid w:val="00CA49A8"/>
    <w:rsid w:val="00CA6510"/>
    <w:rsid w:val="00CA7B6F"/>
    <w:rsid w:val="00CB0437"/>
    <w:rsid w:val="00CB0EE4"/>
    <w:rsid w:val="00CB39A4"/>
    <w:rsid w:val="00CB3D88"/>
    <w:rsid w:val="00CB5346"/>
    <w:rsid w:val="00CB627D"/>
    <w:rsid w:val="00CB65EE"/>
    <w:rsid w:val="00CB68B6"/>
    <w:rsid w:val="00CB7182"/>
    <w:rsid w:val="00CB7278"/>
    <w:rsid w:val="00CB72F8"/>
    <w:rsid w:val="00CB7B0A"/>
    <w:rsid w:val="00CC0FAF"/>
    <w:rsid w:val="00CC1A04"/>
    <w:rsid w:val="00CC3B07"/>
    <w:rsid w:val="00CC49CC"/>
    <w:rsid w:val="00CC57A6"/>
    <w:rsid w:val="00CC65D2"/>
    <w:rsid w:val="00CC69FB"/>
    <w:rsid w:val="00CC6B69"/>
    <w:rsid w:val="00CC729A"/>
    <w:rsid w:val="00CD1583"/>
    <w:rsid w:val="00CD1D88"/>
    <w:rsid w:val="00CD35AC"/>
    <w:rsid w:val="00CD389F"/>
    <w:rsid w:val="00CD3EA6"/>
    <w:rsid w:val="00CD6443"/>
    <w:rsid w:val="00CD759D"/>
    <w:rsid w:val="00CE2A0D"/>
    <w:rsid w:val="00CE37C4"/>
    <w:rsid w:val="00CE46FA"/>
    <w:rsid w:val="00CE6460"/>
    <w:rsid w:val="00CE6510"/>
    <w:rsid w:val="00CE68F4"/>
    <w:rsid w:val="00CF2DD7"/>
    <w:rsid w:val="00CF3858"/>
    <w:rsid w:val="00CF6E97"/>
    <w:rsid w:val="00CF7018"/>
    <w:rsid w:val="00CF71F1"/>
    <w:rsid w:val="00D00200"/>
    <w:rsid w:val="00D00C83"/>
    <w:rsid w:val="00D03FF9"/>
    <w:rsid w:val="00D05882"/>
    <w:rsid w:val="00D062BD"/>
    <w:rsid w:val="00D06833"/>
    <w:rsid w:val="00D074D8"/>
    <w:rsid w:val="00D11CB7"/>
    <w:rsid w:val="00D125CF"/>
    <w:rsid w:val="00D151D9"/>
    <w:rsid w:val="00D16C1E"/>
    <w:rsid w:val="00D17372"/>
    <w:rsid w:val="00D17835"/>
    <w:rsid w:val="00D17D35"/>
    <w:rsid w:val="00D23E73"/>
    <w:rsid w:val="00D25162"/>
    <w:rsid w:val="00D254D5"/>
    <w:rsid w:val="00D26395"/>
    <w:rsid w:val="00D26AAC"/>
    <w:rsid w:val="00D30AD6"/>
    <w:rsid w:val="00D30C73"/>
    <w:rsid w:val="00D30DEA"/>
    <w:rsid w:val="00D327C0"/>
    <w:rsid w:val="00D3691E"/>
    <w:rsid w:val="00D4348C"/>
    <w:rsid w:val="00D441EA"/>
    <w:rsid w:val="00D452E1"/>
    <w:rsid w:val="00D4717F"/>
    <w:rsid w:val="00D51840"/>
    <w:rsid w:val="00D54366"/>
    <w:rsid w:val="00D54F58"/>
    <w:rsid w:val="00D550F9"/>
    <w:rsid w:val="00D55295"/>
    <w:rsid w:val="00D55A71"/>
    <w:rsid w:val="00D56122"/>
    <w:rsid w:val="00D5623F"/>
    <w:rsid w:val="00D61FEE"/>
    <w:rsid w:val="00D64CDC"/>
    <w:rsid w:val="00D64D55"/>
    <w:rsid w:val="00D676E3"/>
    <w:rsid w:val="00D70A4A"/>
    <w:rsid w:val="00D72477"/>
    <w:rsid w:val="00D75564"/>
    <w:rsid w:val="00D76379"/>
    <w:rsid w:val="00D77057"/>
    <w:rsid w:val="00D81871"/>
    <w:rsid w:val="00D81D65"/>
    <w:rsid w:val="00D81E50"/>
    <w:rsid w:val="00D84125"/>
    <w:rsid w:val="00D8445C"/>
    <w:rsid w:val="00D84AA6"/>
    <w:rsid w:val="00D850DC"/>
    <w:rsid w:val="00D85B4E"/>
    <w:rsid w:val="00D879E4"/>
    <w:rsid w:val="00D926A0"/>
    <w:rsid w:val="00D92B3A"/>
    <w:rsid w:val="00D935FE"/>
    <w:rsid w:val="00D939A9"/>
    <w:rsid w:val="00D93A03"/>
    <w:rsid w:val="00D93E99"/>
    <w:rsid w:val="00D9439E"/>
    <w:rsid w:val="00D9613C"/>
    <w:rsid w:val="00DA230E"/>
    <w:rsid w:val="00DA294C"/>
    <w:rsid w:val="00DA30D9"/>
    <w:rsid w:val="00DA3131"/>
    <w:rsid w:val="00DA5CC1"/>
    <w:rsid w:val="00DA64A1"/>
    <w:rsid w:val="00DA7F6E"/>
    <w:rsid w:val="00DB0277"/>
    <w:rsid w:val="00DB07C8"/>
    <w:rsid w:val="00DB1280"/>
    <w:rsid w:val="00DB1DFC"/>
    <w:rsid w:val="00DB1E45"/>
    <w:rsid w:val="00DB405A"/>
    <w:rsid w:val="00DB4EF4"/>
    <w:rsid w:val="00DB770B"/>
    <w:rsid w:val="00DB78DA"/>
    <w:rsid w:val="00DC081F"/>
    <w:rsid w:val="00DC0BF1"/>
    <w:rsid w:val="00DC3A5D"/>
    <w:rsid w:val="00DC4503"/>
    <w:rsid w:val="00DC5621"/>
    <w:rsid w:val="00DC5EDD"/>
    <w:rsid w:val="00DD1323"/>
    <w:rsid w:val="00DD440E"/>
    <w:rsid w:val="00DD5BC8"/>
    <w:rsid w:val="00DD62AF"/>
    <w:rsid w:val="00DE09D9"/>
    <w:rsid w:val="00DE3B3B"/>
    <w:rsid w:val="00DE4159"/>
    <w:rsid w:val="00DE4C33"/>
    <w:rsid w:val="00DE530A"/>
    <w:rsid w:val="00DE55D8"/>
    <w:rsid w:val="00DE5773"/>
    <w:rsid w:val="00DE60C9"/>
    <w:rsid w:val="00DE6137"/>
    <w:rsid w:val="00DE6265"/>
    <w:rsid w:val="00DF0C8A"/>
    <w:rsid w:val="00DF4740"/>
    <w:rsid w:val="00DF49C1"/>
    <w:rsid w:val="00DF57D1"/>
    <w:rsid w:val="00DF5BFD"/>
    <w:rsid w:val="00DF64C1"/>
    <w:rsid w:val="00E00975"/>
    <w:rsid w:val="00E014F8"/>
    <w:rsid w:val="00E01622"/>
    <w:rsid w:val="00E0199D"/>
    <w:rsid w:val="00E01D7D"/>
    <w:rsid w:val="00E05FC7"/>
    <w:rsid w:val="00E06848"/>
    <w:rsid w:val="00E1400F"/>
    <w:rsid w:val="00E15210"/>
    <w:rsid w:val="00E173C7"/>
    <w:rsid w:val="00E173D9"/>
    <w:rsid w:val="00E17441"/>
    <w:rsid w:val="00E17C5F"/>
    <w:rsid w:val="00E21BEB"/>
    <w:rsid w:val="00E274E5"/>
    <w:rsid w:val="00E27CE6"/>
    <w:rsid w:val="00E31CF1"/>
    <w:rsid w:val="00E350F4"/>
    <w:rsid w:val="00E35946"/>
    <w:rsid w:val="00E37AB5"/>
    <w:rsid w:val="00E40A26"/>
    <w:rsid w:val="00E40F63"/>
    <w:rsid w:val="00E442E3"/>
    <w:rsid w:val="00E44505"/>
    <w:rsid w:val="00E45A40"/>
    <w:rsid w:val="00E4666B"/>
    <w:rsid w:val="00E47B90"/>
    <w:rsid w:val="00E5148F"/>
    <w:rsid w:val="00E539CB"/>
    <w:rsid w:val="00E53E04"/>
    <w:rsid w:val="00E5408E"/>
    <w:rsid w:val="00E54BA2"/>
    <w:rsid w:val="00E57705"/>
    <w:rsid w:val="00E57D1A"/>
    <w:rsid w:val="00E60C1D"/>
    <w:rsid w:val="00E61218"/>
    <w:rsid w:val="00E61AED"/>
    <w:rsid w:val="00E6229C"/>
    <w:rsid w:val="00E6441D"/>
    <w:rsid w:val="00E647A9"/>
    <w:rsid w:val="00E64A3F"/>
    <w:rsid w:val="00E65412"/>
    <w:rsid w:val="00E65655"/>
    <w:rsid w:val="00E67629"/>
    <w:rsid w:val="00E67667"/>
    <w:rsid w:val="00E7219F"/>
    <w:rsid w:val="00E74676"/>
    <w:rsid w:val="00E74EE2"/>
    <w:rsid w:val="00E76C17"/>
    <w:rsid w:val="00E775C6"/>
    <w:rsid w:val="00E82B46"/>
    <w:rsid w:val="00E82C0C"/>
    <w:rsid w:val="00E84722"/>
    <w:rsid w:val="00E84D35"/>
    <w:rsid w:val="00E855F9"/>
    <w:rsid w:val="00E903FB"/>
    <w:rsid w:val="00E90759"/>
    <w:rsid w:val="00E90A54"/>
    <w:rsid w:val="00E90FA8"/>
    <w:rsid w:val="00E91E96"/>
    <w:rsid w:val="00E93633"/>
    <w:rsid w:val="00E9509C"/>
    <w:rsid w:val="00E95279"/>
    <w:rsid w:val="00E95CDA"/>
    <w:rsid w:val="00E96B54"/>
    <w:rsid w:val="00E97411"/>
    <w:rsid w:val="00E97DA4"/>
    <w:rsid w:val="00E97F84"/>
    <w:rsid w:val="00EA029E"/>
    <w:rsid w:val="00EA07D9"/>
    <w:rsid w:val="00EA0FCA"/>
    <w:rsid w:val="00EA126B"/>
    <w:rsid w:val="00EA2EA8"/>
    <w:rsid w:val="00EA7C28"/>
    <w:rsid w:val="00EB09CF"/>
    <w:rsid w:val="00EB1502"/>
    <w:rsid w:val="00EB19CD"/>
    <w:rsid w:val="00EB37CB"/>
    <w:rsid w:val="00EB4129"/>
    <w:rsid w:val="00EB6E5A"/>
    <w:rsid w:val="00EC03F0"/>
    <w:rsid w:val="00EC2BD6"/>
    <w:rsid w:val="00EC2EB9"/>
    <w:rsid w:val="00EC3495"/>
    <w:rsid w:val="00EC6DED"/>
    <w:rsid w:val="00ED0581"/>
    <w:rsid w:val="00ED0C63"/>
    <w:rsid w:val="00ED2C03"/>
    <w:rsid w:val="00ED4004"/>
    <w:rsid w:val="00ED470D"/>
    <w:rsid w:val="00ED515D"/>
    <w:rsid w:val="00ED5516"/>
    <w:rsid w:val="00ED56B0"/>
    <w:rsid w:val="00ED65E5"/>
    <w:rsid w:val="00EE3ABD"/>
    <w:rsid w:val="00EE3CFF"/>
    <w:rsid w:val="00EE5700"/>
    <w:rsid w:val="00EE574B"/>
    <w:rsid w:val="00EE5D6C"/>
    <w:rsid w:val="00EE7A38"/>
    <w:rsid w:val="00EE7DEB"/>
    <w:rsid w:val="00EF39AD"/>
    <w:rsid w:val="00EF451C"/>
    <w:rsid w:val="00EF5855"/>
    <w:rsid w:val="00EF6DF3"/>
    <w:rsid w:val="00EF7599"/>
    <w:rsid w:val="00F04610"/>
    <w:rsid w:val="00F107C2"/>
    <w:rsid w:val="00F11B88"/>
    <w:rsid w:val="00F125B2"/>
    <w:rsid w:val="00F13FF6"/>
    <w:rsid w:val="00F17480"/>
    <w:rsid w:val="00F20525"/>
    <w:rsid w:val="00F2269E"/>
    <w:rsid w:val="00F24243"/>
    <w:rsid w:val="00F269B6"/>
    <w:rsid w:val="00F2779F"/>
    <w:rsid w:val="00F30CBF"/>
    <w:rsid w:val="00F32705"/>
    <w:rsid w:val="00F37342"/>
    <w:rsid w:val="00F37F23"/>
    <w:rsid w:val="00F4072C"/>
    <w:rsid w:val="00F42E0C"/>
    <w:rsid w:val="00F439A6"/>
    <w:rsid w:val="00F458BC"/>
    <w:rsid w:val="00F45D3B"/>
    <w:rsid w:val="00F466BF"/>
    <w:rsid w:val="00F46B22"/>
    <w:rsid w:val="00F52B7F"/>
    <w:rsid w:val="00F54248"/>
    <w:rsid w:val="00F54549"/>
    <w:rsid w:val="00F546E0"/>
    <w:rsid w:val="00F55A80"/>
    <w:rsid w:val="00F5700E"/>
    <w:rsid w:val="00F579ED"/>
    <w:rsid w:val="00F60422"/>
    <w:rsid w:val="00F62A75"/>
    <w:rsid w:val="00F62E89"/>
    <w:rsid w:val="00F63655"/>
    <w:rsid w:val="00F64AE8"/>
    <w:rsid w:val="00F64B09"/>
    <w:rsid w:val="00F6566C"/>
    <w:rsid w:val="00F66723"/>
    <w:rsid w:val="00F676FD"/>
    <w:rsid w:val="00F721AE"/>
    <w:rsid w:val="00F7258F"/>
    <w:rsid w:val="00F73FA0"/>
    <w:rsid w:val="00F76B92"/>
    <w:rsid w:val="00F77548"/>
    <w:rsid w:val="00F805BD"/>
    <w:rsid w:val="00F83D8E"/>
    <w:rsid w:val="00F8506B"/>
    <w:rsid w:val="00F86DB7"/>
    <w:rsid w:val="00F87516"/>
    <w:rsid w:val="00F90645"/>
    <w:rsid w:val="00F9305D"/>
    <w:rsid w:val="00F943A5"/>
    <w:rsid w:val="00F950A6"/>
    <w:rsid w:val="00F95DCC"/>
    <w:rsid w:val="00FA332E"/>
    <w:rsid w:val="00FA3666"/>
    <w:rsid w:val="00FA3B15"/>
    <w:rsid w:val="00FA420D"/>
    <w:rsid w:val="00FA43F0"/>
    <w:rsid w:val="00FA47B6"/>
    <w:rsid w:val="00FA5AC5"/>
    <w:rsid w:val="00FA7630"/>
    <w:rsid w:val="00FB00B5"/>
    <w:rsid w:val="00FB245E"/>
    <w:rsid w:val="00FB36A0"/>
    <w:rsid w:val="00FB5472"/>
    <w:rsid w:val="00FB5973"/>
    <w:rsid w:val="00FB5CC1"/>
    <w:rsid w:val="00FB5E71"/>
    <w:rsid w:val="00FB6356"/>
    <w:rsid w:val="00FB6B94"/>
    <w:rsid w:val="00FC032F"/>
    <w:rsid w:val="00FC45B6"/>
    <w:rsid w:val="00FC4663"/>
    <w:rsid w:val="00FC4971"/>
    <w:rsid w:val="00FC4990"/>
    <w:rsid w:val="00FD0DE3"/>
    <w:rsid w:val="00FD19DD"/>
    <w:rsid w:val="00FD2A78"/>
    <w:rsid w:val="00FD30B4"/>
    <w:rsid w:val="00FD4829"/>
    <w:rsid w:val="00FD4919"/>
    <w:rsid w:val="00FD5A4A"/>
    <w:rsid w:val="00FD5D5F"/>
    <w:rsid w:val="00FD6B68"/>
    <w:rsid w:val="00FD7415"/>
    <w:rsid w:val="00FE0EDA"/>
    <w:rsid w:val="00FE1E46"/>
    <w:rsid w:val="00FE240E"/>
    <w:rsid w:val="00FE387B"/>
    <w:rsid w:val="00FE42B3"/>
    <w:rsid w:val="00FF0844"/>
    <w:rsid w:val="00FF33A2"/>
    <w:rsid w:val="00FF400E"/>
    <w:rsid w:val="00FF54DF"/>
    <w:rsid w:val="00FF5D70"/>
    <w:rsid w:val="03515D5F"/>
    <w:rsid w:val="32DF7D21"/>
    <w:rsid w:val="385452A4"/>
    <w:rsid w:val="3ED72EAF"/>
    <w:rsid w:val="5A684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49"/>
        <o:r id="V:Rule2" type="connector" idref="#_x0000_s108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1"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line="360" w:lineRule="auto"/>
      <w:ind w:firstLine="200" w:firstLineChars="200"/>
    </w:pPr>
    <w:rPr>
      <w:rFonts w:ascii="Times New Roman" w:hAnsi="Times New Roman" w:eastAsia="宋体" w:cs="宋体"/>
      <w:sz w:val="24"/>
      <w:szCs w:val="22"/>
      <w:lang w:val="zh-CN" w:eastAsia="zh-CN" w:bidi="zh-CN"/>
    </w:rPr>
  </w:style>
  <w:style w:type="paragraph" w:styleId="2">
    <w:name w:val="heading 1"/>
    <w:basedOn w:val="1"/>
    <w:next w:val="1"/>
    <w:link w:val="26"/>
    <w:qFormat/>
    <w:uiPriority w:val="1"/>
    <w:pPr>
      <w:spacing w:before="100" w:beforeAutospacing="1" w:after="100" w:afterAutospacing="1"/>
      <w:ind w:firstLine="0" w:firstLineChars="0"/>
      <w:outlineLvl w:val="0"/>
    </w:pPr>
    <w:rPr>
      <w:b/>
      <w:bCs/>
      <w:sz w:val="32"/>
      <w:szCs w:val="30"/>
    </w:rPr>
  </w:style>
  <w:style w:type="paragraph" w:styleId="3">
    <w:name w:val="heading 2"/>
    <w:basedOn w:val="1"/>
    <w:next w:val="1"/>
    <w:link w:val="23"/>
    <w:unhideWhenUsed/>
    <w:qFormat/>
    <w:uiPriority w:val="0"/>
    <w:pPr>
      <w:keepNext/>
      <w:keepLines/>
      <w:ind w:firstLine="0" w:firstLineChars="0"/>
      <w:outlineLvl w:val="1"/>
    </w:pPr>
    <w:rPr>
      <w:rFonts w:asciiTheme="majorEastAsia" w:hAnsiTheme="majorHAnsi" w:eastAsiaTheme="majorEastAsia" w:cstheme="majorBidi"/>
      <w:b/>
      <w:bCs/>
      <w:sz w:val="30"/>
      <w:szCs w:val="32"/>
    </w:rPr>
  </w:style>
  <w:style w:type="paragraph" w:styleId="4">
    <w:name w:val="heading 3"/>
    <w:basedOn w:val="1"/>
    <w:next w:val="1"/>
    <w:link w:val="27"/>
    <w:unhideWhenUsed/>
    <w:qFormat/>
    <w:uiPriority w:val="1"/>
    <w:pPr>
      <w:keepNext/>
      <w:keepLines/>
      <w:ind w:firstLine="0" w:firstLineChars="0"/>
      <w:outlineLvl w:val="2"/>
    </w:pPr>
    <w:rPr>
      <w:rFonts w:ascii="宋体"/>
      <w:b/>
      <w:bCs/>
      <w:sz w:val="28"/>
      <w:szCs w:val="32"/>
    </w:rPr>
  </w:style>
  <w:style w:type="paragraph" w:styleId="5">
    <w:name w:val="heading 4"/>
    <w:basedOn w:val="1"/>
    <w:next w:val="1"/>
    <w:link w:val="38"/>
    <w:unhideWhenUsed/>
    <w:qFormat/>
    <w:uiPriority w:val="0"/>
    <w:pPr>
      <w:keepNext/>
      <w:keepLines/>
      <w:ind w:firstLine="0" w:firstLineChars="0"/>
      <w:outlineLvl w:val="3"/>
    </w:pPr>
    <w:rPr>
      <w:rFonts w:asciiTheme="majorEastAsia" w:hAnsiTheme="majorHAnsi" w:eastAsiaTheme="majorEastAsia" w:cstheme="majorBidi"/>
      <w:b/>
      <w:bCs/>
      <w:szCs w:val="28"/>
    </w:rPr>
  </w:style>
  <w:style w:type="character" w:default="1" w:styleId="19">
    <w:name w:val="Default Paragraph Font"/>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6">
    <w:name w:val="annotation text"/>
    <w:basedOn w:val="1"/>
    <w:semiHidden/>
    <w:unhideWhenUsed/>
    <w:uiPriority w:val="0"/>
  </w:style>
  <w:style w:type="paragraph" w:styleId="7">
    <w:name w:val="Body Text"/>
    <w:basedOn w:val="1"/>
    <w:link w:val="29"/>
    <w:qFormat/>
    <w:uiPriority w:val="1"/>
    <w:rPr>
      <w:szCs w:val="24"/>
    </w:rPr>
  </w:style>
  <w:style w:type="paragraph" w:styleId="8">
    <w:name w:val="Body Text Indent"/>
    <w:basedOn w:val="1"/>
    <w:link w:val="33"/>
    <w:qFormat/>
    <w:uiPriority w:val="0"/>
    <w:pPr>
      <w:spacing w:after="120"/>
      <w:ind w:left="420" w:leftChars="200"/>
    </w:pPr>
  </w:style>
  <w:style w:type="paragraph" w:styleId="9">
    <w:name w:val="toc 3"/>
    <w:basedOn w:val="1"/>
    <w:next w:val="1"/>
    <w:qFormat/>
    <w:uiPriority w:val="39"/>
    <w:pPr>
      <w:ind w:left="840" w:leftChars="400"/>
    </w:pPr>
  </w:style>
  <w:style w:type="paragraph" w:styleId="10">
    <w:name w:val="Date"/>
    <w:basedOn w:val="1"/>
    <w:next w:val="1"/>
    <w:link w:val="28"/>
    <w:qFormat/>
    <w:uiPriority w:val="0"/>
    <w:pPr>
      <w:ind w:left="100" w:leftChars="2500"/>
    </w:pPr>
  </w:style>
  <w:style w:type="paragraph" w:styleId="11">
    <w:name w:val="Balloon Text"/>
    <w:basedOn w:val="1"/>
    <w:link w:val="37"/>
    <w:qFormat/>
    <w:uiPriority w:val="0"/>
    <w:rPr>
      <w:sz w:val="18"/>
      <w:szCs w:val="18"/>
    </w:rPr>
  </w:style>
  <w:style w:type="paragraph" w:styleId="12">
    <w:name w:val="footer"/>
    <w:basedOn w:val="1"/>
    <w:link w:val="25"/>
    <w:qFormat/>
    <w:uiPriority w:val="99"/>
    <w:pPr>
      <w:tabs>
        <w:tab w:val="center" w:pos="4153"/>
        <w:tab w:val="right" w:pos="8306"/>
      </w:tabs>
      <w:snapToGrid w:val="0"/>
    </w:pPr>
    <w:rPr>
      <w:sz w:val="18"/>
      <w:szCs w:val="18"/>
    </w:rPr>
  </w:style>
  <w:style w:type="paragraph" w:styleId="13">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style>
  <w:style w:type="paragraph" w:styleId="15">
    <w:name w:val="Body Text Indent 3"/>
    <w:basedOn w:val="1"/>
    <w:link w:val="41"/>
    <w:semiHidden/>
    <w:unhideWhenUsed/>
    <w:uiPriority w:val="0"/>
    <w:pPr>
      <w:spacing w:after="120"/>
      <w:ind w:left="420" w:leftChars="200"/>
    </w:pPr>
    <w:rPr>
      <w:sz w:val="16"/>
      <w:szCs w:val="16"/>
    </w:rPr>
  </w:style>
  <w:style w:type="paragraph" w:styleId="16">
    <w:name w:val="toc 2"/>
    <w:basedOn w:val="1"/>
    <w:next w:val="1"/>
    <w:qFormat/>
    <w:uiPriority w:val="39"/>
    <w:pPr>
      <w:ind w:left="420" w:leftChars="200"/>
    </w:p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Emphasis"/>
    <w:basedOn w:val="19"/>
    <w:qFormat/>
    <w:uiPriority w:val="20"/>
    <w:rPr>
      <w:i/>
      <w:iCs/>
    </w:rPr>
  </w:style>
  <w:style w:type="character" w:styleId="21">
    <w:name w:val="Hyperlink"/>
    <w:basedOn w:val="19"/>
    <w:unhideWhenUsed/>
    <w:qFormat/>
    <w:uiPriority w:val="99"/>
    <w:rPr>
      <w:color w:val="0000FF"/>
      <w:u w:val="single"/>
    </w:rPr>
  </w:style>
  <w:style w:type="character" w:styleId="22">
    <w:name w:val="annotation reference"/>
    <w:basedOn w:val="19"/>
    <w:semiHidden/>
    <w:unhideWhenUsed/>
    <w:uiPriority w:val="0"/>
    <w:rPr>
      <w:sz w:val="21"/>
      <w:szCs w:val="21"/>
    </w:rPr>
  </w:style>
  <w:style w:type="character" w:customStyle="1" w:styleId="23">
    <w:name w:val="标题 2 Char"/>
    <w:basedOn w:val="19"/>
    <w:link w:val="3"/>
    <w:qFormat/>
    <w:uiPriority w:val="0"/>
    <w:rPr>
      <w:rFonts w:asciiTheme="majorEastAsia" w:hAnsiTheme="majorHAnsi" w:eastAsiaTheme="majorEastAsia" w:cstheme="majorBidi"/>
      <w:b/>
      <w:bCs/>
      <w:sz w:val="30"/>
      <w:szCs w:val="32"/>
      <w:lang w:val="zh-CN" w:bidi="zh-CN"/>
    </w:rPr>
  </w:style>
  <w:style w:type="character" w:customStyle="1" w:styleId="24">
    <w:name w:val="页眉 Char"/>
    <w:basedOn w:val="19"/>
    <w:link w:val="13"/>
    <w:qFormat/>
    <w:uiPriority w:val="0"/>
    <w:rPr>
      <w:kern w:val="2"/>
      <w:sz w:val="18"/>
      <w:szCs w:val="18"/>
    </w:rPr>
  </w:style>
  <w:style w:type="character" w:customStyle="1" w:styleId="25">
    <w:name w:val="页脚 Char"/>
    <w:basedOn w:val="19"/>
    <w:link w:val="12"/>
    <w:qFormat/>
    <w:uiPriority w:val="99"/>
    <w:rPr>
      <w:kern w:val="2"/>
      <w:sz w:val="18"/>
      <w:szCs w:val="18"/>
    </w:rPr>
  </w:style>
  <w:style w:type="character" w:customStyle="1" w:styleId="26">
    <w:name w:val="标题 1 Char"/>
    <w:basedOn w:val="19"/>
    <w:link w:val="2"/>
    <w:qFormat/>
    <w:uiPriority w:val="1"/>
    <w:rPr>
      <w:rFonts w:ascii="宋体" w:hAnsi="宋体" w:cs="宋体"/>
      <w:b/>
      <w:bCs/>
      <w:sz w:val="32"/>
      <w:szCs w:val="30"/>
      <w:lang w:val="zh-CN" w:bidi="zh-CN"/>
    </w:rPr>
  </w:style>
  <w:style w:type="character" w:customStyle="1" w:styleId="27">
    <w:name w:val="标题 3 Char"/>
    <w:basedOn w:val="19"/>
    <w:link w:val="4"/>
    <w:qFormat/>
    <w:uiPriority w:val="1"/>
    <w:rPr>
      <w:rFonts w:ascii="宋体" w:cs="宋体"/>
      <w:b/>
      <w:bCs/>
      <w:sz w:val="28"/>
      <w:szCs w:val="32"/>
      <w:lang w:val="zh-CN" w:bidi="zh-CN"/>
    </w:rPr>
  </w:style>
  <w:style w:type="character" w:customStyle="1" w:styleId="28">
    <w:name w:val="日期 Char"/>
    <w:basedOn w:val="19"/>
    <w:link w:val="10"/>
    <w:qFormat/>
    <w:uiPriority w:val="0"/>
    <w:rPr>
      <w:rFonts w:ascii="宋体" w:hAnsi="宋体" w:cs="宋体"/>
      <w:sz w:val="22"/>
      <w:szCs w:val="22"/>
      <w:lang w:val="zh-CN" w:bidi="zh-CN"/>
    </w:rPr>
  </w:style>
  <w:style w:type="character" w:customStyle="1" w:styleId="29">
    <w:name w:val="正文文本 Char"/>
    <w:basedOn w:val="19"/>
    <w:link w:val="7"/>
    <w:qFormat/>
    <w:uiPriority w:val="1"/>
    <w:rPr>
      <w:rFonts w:ascii="宋体" w:hAnsi="宋体" w:cs="宋体"/>
      <w:sz w:val="24"/>
      <w:szCs w:val="24"/>
      <w:lang w:val="zh-CN" w:bidi="zh-CN"/>
    </w:rPr>
  </w:style>
  <w:style w:type="paragraph" w:styleId="30">
    <w:name w:val="List Paragraph"/>
    <w:basedOn w:val="1"/>
    <w:qFormat/>
    <w:uiPriority w:val="1"/>
    <w:pPr>
      <w:ind w:left="1301" w:hanging="601"/>
    </w:pPr>
  </w:style>
  <w:style w:type="table" w:customStyle="1" w:styleId="31">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32">
    <w:name w:val="Table Paragraph"/>
    <w:basedOn w:val="1"/>
    <w:qFormat/>
    <w:uiPriority w:val="1"/>
    <w:pPr>
      <w:jc w:val="center"/>
    </w:pPr>
    <w:rPr>
      <w:lang w:val="en-US" w:eastAsia="en-US" w:bidi="ar-SA"/>
    </w:rPr>
  </w:style>
  <w:style w:type="character" w:customStyle="1" w:styleId="33">
    <w:name w:val="正文文本缩进 Char"/>
    <w:basedOn w:val="19"/>
    <w:link w:val="8"/>
    <w:qFormat/>
    <w:uiPriority w:val="0"/>
    <w:rPr>
      <w:rFonts w:ascii="宋体" w:hAnsi="宋体" w:cs="宋体"/>
      <w:sz w:val="22"/>
      <w:szCs w:val="22"/>
      <w:lang w:val="zh-CN" w:bidi="zh-CN"/>
    </w:rPr>
  </w:style>
  <w:style w:type="character" w:customStyle="1" w:styleId="34">
    <w:name w:val="正文文本缩进 Char1"/>
    <w:qFormat/>
    <w:uiPriority w:val="0"/>
    <w:rPr>
      <w:rFonts w:ascii="宋体" w:hAnsi="宋体" w:eastAsia="宋体"/>
      <w:b/>
      <w:kern w:val="2"/>
      <w:sz w:val="28"/>
      <w:szCs w:val="24"/>
      <w:lang w:val="en-US" w:eastAsia="zh-CN" w:bidi="ar-SA"/>
    </w:rPr>
  </w:style>
  <w:style w:type="paragraph" w:customStyle="1" w:styleId="35">
    <w:name w:val="表格标题"/>
    <w:basedOn w:val="1"/>
    <w:qFormat/>
    <w:uiPriority w:val="0"/>
    <w:pPr>
      <w:autoSpaceDE/>
      <w:autoSpaceDN/>
      <w:adjustRightInd w:val="0"/>
      <w:spacing w:before="120" w:line="400" w:lineRule="exact"/>
      <w:jc w:val="center"/>
      <w:textAlignment w:val="baseline"/>
    </w:pPr>
    <w:rPr>
      <w:rFonts w:ascii="Calibri" w:hAnsi="Calibri" w:eastAsia="文鼎CS中宋" w:cs="Times New Roman"/>
      <w:spacing w:val="8"/>
      <w:szCs w:val="20"/>
      <w:lang w:val="en-US" w:bidi="ar-SA"/>
    </w:rPr>
  </w:style>
  <w:style w:type="character" w:customStyle="1" w:styleId="36">
    <w:name w:val="apple-converted-space"/>
    <w:basedOn w:val="19"/>
    <w:qFormat/>
    <w:uiPriority w:val="0"/>
  </w:style>
  <w:style w:type="character" w:customStyle="1" w:styleId="37">
    <w:name w:val="批注框文本 Char"/>
    <w:basedOn w:val="19"/>
    <w:link w:val="11"/>
    <w:qFormat/>
    <w:uiPriority w:val="0"/>
    <w:rPr>
      <w:rFonts w:ascii="宋体" w:hAnsi="宋体" w:cs="宋体"/>
      <w:sz w:val="18"/>
      <w:szCs w:val="18"/>
      <w:lang w:val="zh-CN" w:bidi="zh-CN"/>
    </w:rPr>
  </w:style>
  <w:style w:type="character" w:customStyle="1" w:styleId="38">
    <w:name w:val="标题 4 Char"/>
    <w:basedOn w:val="19"/>
    <w:link w:val="5"/>
    <w:qFormat/>
    <w:uiPriority w:val="0"/>
    <w:rPr>
      <w:rFonts w:asciiTheme="majorEastAsia" w:hAnsiTheme="majorHAnsi" w:eastAsiaTheme="majorEastAsia" w:cstheme="majorBidi"/>
      <w:b/>
      <w:bCs/>
      <w:sz w:val="24"/>
      <w:szCs w:val="28"/>
      <w:lang w:val="zh-CN" w:bidi="zh-CN"/>
    </w:rPr>
  </w:style>
  <w:style w:type="table" w:customStyle="1" w:styleId="39">
    <w:name w:val="Table Normal1"/>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40">
    <w:name w:val="TOC 标题1"/>
    <w:basedOn w:val="2"/>
    <w:next w:val="1"/>
    <w:semiHidden/>
    <w:unhideWhenUsed/>
    <w:qFormat/>
    <w:uiPriority w:val="39"/>
    <w:pPr>
      <w:keepNext/>
      <w:keepLines/>
      <w:widowControl/>
      <w:autoSpaceDE/>
      <w:autoSpaceDN/>
      <w:spacing w:before="480" w:beforeAutospacing="0" w:after="0" w:afterAutospacing="0" w:line="276" w:lineRule="auto"/>
      <w:outlineLvl w:val="9"/>
    </w:pPr>
    <w:rPr>
      <w:rFonts w:asciiTheme="majorHAnsi" w:hAnsiTheme="majorHAnsi" w:eastAsiaTheme="majorEastAsia" w:cstheme="majorBidi"/>
      <w:color w:val="2E75B5" w:themeColor="accent1" w:themeShade="BF"/>
      <w:sz w:val="28"/>
      <w:szCs w:val="28"/>
      <w:lang w:val="en-US" w:bidi="ar-SA"/>
    </w:rPr>
  </w:style>
  <w:style w:type="character" w:customStyle="1" w:styleId="41">
    <w:name w:val="正文文本缩进 3 Char"/>
    <w:basedOn w:val="19"/>
    <w:link w:val="15"/>
    <w:semiHidden/>
    <w:uiPriority w:val="0"/>
    <w:rPr>
      <w:rFonts w:cs="宋体"/>
      <w:sz w:val="16"/>
      <w:szCs w:val="16"/>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9" Type="http://schemas.openxmlformats.org/officeDocument/2006/relationships/fontTable" Target="fontTable.xml"/><Relationship Id="rId68" Type="http://schemas.openxmlformats.org/officeDocument/2006/relationships/customXml" Target="../customXml/item2.xml"/><Relationship Id="rId67" Type="http://schemas.openxmlformats.org/officeDocument/2006/relationships/customXml" Target="../customXml/item1.xml"/><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header" Target="header2.xml"/><Relationship Id="rId59" Type="http://schemas.openxmlformats.org/officeDocument/2006/relationships/image" Target="media/image39.jpeg"/><Relationship Id="rId58" Type="http://schemas.openxmlformats.org/officeDocument/2006/relationships/image" Target="media/image38.jpeg"/><Relationship Id="rId57" Type="http://schemas.openxmlformats.org/officeDocument/2006/relationships/image" Target="media/image37.jpeg"/><Relationship Id="rId56" Type="http://schemas.openxmlformats.org/officeDocument/2006/relationships/image" Target="media/image36.jpeg"/><Relationship Id="rId55" Type="http://schemas.openxmlformats.org/officeDocument/2006/relationships/image" Target="media/image35.jpeg"/><Relationship Id="rId54" Type="http://schemas.openxmlformats.org/officeDocument/2006/relationships/image" Target="media/image34.jpe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jpe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jpe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053"/>
    <customShpInfo spid="_x0000_s1097"/>
    <customShpInfo spid="_x0000_s1049"/>
    <customShpInfo spid="_x0000_s1048"/>
    <customShpInfo spid="_x0000_s1050"/>
    <customShpInfo spid="_x0000_s1186"/>
    <customShpInfo spid="_x0000_s1188"/>
    <customShpInfo spid="_x0000_s1189"/>
    <customShpInfo spid="_x0000_s1187"/>
    <customShpInfo spid="_x0000_s1191"/>
    <customShpInfo spid="_x0000_s1190"/>
    <customShpInfo spid="_x0000_s1193"/>
    <customShpInfo spid="_x0000_s1194"/>
    <customShpInfo spid="_x0000_s1192"/>
    <customShpInfo spid="_x0000_s1196"/>
    <customShpInfo spid="_x0000_s1195"/>
    <customShpInfo spid="_x0000_s1198"/>
    <customShpInfo spid="_x0000_s1197"/>
    <customShpInfo spid="_x0000_s1200"/>
    <customShpInfo spid="_x0000_s1199"/>
    <customShpInfo spid="_x0000_s1202"/>
    <customShpInfo spid="_x0000_s1203"/>
    <customShpInfo spid="_x0000_s1201"/>
    <customShpInfo spid="_x0000_s1205"/>
    <customShpInfo spid="_x0000_s1204"/>
    <customShpInfo spid="_x0000_s1207"/>
    <customShpInfo spid="_x0000_s1208"/>
    <customShpInfo spid="_x0000_s1206"/>
    <customShpInfo spid="_x0000_s1210"/>
    <customShpInfo spid="_x0000_s1209"/>
    <customShpInfo spid="_x0000_s1212"/>
    <customShpInfo spid="_x0000_s1213"/>
    <customShpInfo spid="_x0000_s1211"/>
    <customShpInfo spid="_x0000_s1215"/>
    <customShpInfo spid="_x0000_s1214"/>
    <customShpInfo spid="_x0000_s1217"/>
    <customShpInfo spid="_x0000_s1218"/>
    <customShpInfo spid="_x0000_s1216"/>
    <customShpInfo spid="_x0000_s1220"/>
    <customShpInfo spid="_x0000_s1221"/>
    <customShpInfo spid="_x0000_s1222"/>
    <customShpInfo spid="_x0000_s1223"/>
    <customShpInfo spid="_x0000_s1224"/>
    <customShpInfo spid="_x0000_s1225"/>
    <customShpInfo spid="_x0000_s1226"/>
    <customShpInfo spid="_x0000_s1227"/>
    <customShpInfo spid="_x0000_s1219"/>
    <customShpInfo spid="_x0000_s1185"/>
    <customShpInfo spid="_x0000_s1092"/>
    <customShpInfo spid="_x0000_s1091"/>
    <customShpInfo spid="_x0000_s1093"/>
    <customShpInfo spid="_x0000_s1228"/>
    <customShpInfo spid="_x0000_s1081"/>
    <customShpInfo spid="_x0000_s1026"/>
    <customShpInfo spid="_x0000_s1028"/>
    <customShpInfo spid="_x0000_s1027"/>
    <customShpInfo spid="_x0000_s1234"/>
    <customShpInfo spid="_x0000_s1233"/>
    <customShpInfo spid="_x0000_s1232"/>
    <customShpInfo spid="_x0000_s1231"/>
    <customShpInfo spid="_x0000_s1230"/>
    <customShpInfo spid="_x0000_s1279"/>
    <customShpInfo spid="_x0000_s1281"/>
    <customShpInfo spid="_x0000_s1282"/>
    <customShpInfo spid="_x0000_s1280"/>
    <customShpInfo spid="_x0000_s1284"/>
    <customShpInfo spid="_x0000_s1283"/>
    <customShpInfo spid="_x0000_s1286"/>
    <customShpInfo spid="_x0000_s1287"/>
    <customShpInfo spid="_x0000_s1285"/>
    <customShpInfo spid="_x0000_s1289"/>
    <customShpInfo spid="_x0000_s1288"/>
    <customShpInfo spid="_x0000_s1291"/>
    <customShpInfo spid="_x0000_s1290"/>
    <customShpInfo spid="_x0000_s1293"/>
    <customShpInfo spid="_x0000_s1292"/>
    <customShpInfo spid="_x0000_s1295"/>
    <customShpInfo spid="_x0000_s1296"/>
    <customShpInfo spid="_x0000_s1294"/>
    <customShpInfo spid="_x0000_s1298"/>
    <customShpInfo spid="_x0000_s1297"/>
    <customShpInfo spid="_x0000_s1300"/>
    <customShpInfo spid="_x0000_s1301"/>
    <customShpInfo spid="_x0000_s1299"/>
    <customShpInfo spid="_x0000_s1303"/>
    <customShpInfo spid="_x0000_s1302"/>
    <customShpInfo spid="_x0000_s1305"/>
    <customShpInfo spid="_x0000_s1306"/>
    <customShpInfo spid="_x0000_s1304"/>
    <customShpInfo spid="_x0000_s1308"/>
    <customShpInfo spid="_x0000_s1307"/>
    <customShpInfo spid="_x0000_s1310"/>
    <customShpInfo spid="_x0000_s1311"/>
    <customShpInfo spid="_x0000_s1309"/>
    <customShpInfo spid="_x0000_s1313"/>
    <customShpInfo spid="_x0000_s1314"/>
    <customShpInfo spid="_x0000_s1315"/>
    <customShpInfo spid="_x0000_s1316"/>
    <customShpInfo spid="_x0000_s1317"/>
    <customShpInfo spid="_x0000_s1318"/>
    <customShpInfo spid="_x0000_s1319"/>
    <customShpInfo spid="_x0000_s1320"/>
    <customShpInfo spid="_x0000_s1312"/>
    <customShpInfo spid="_x0000_s127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37B973-569F-429B-88E7-F6B081A75A3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101</Pages>
  <Words>40865</Words>
  <Characters>51384</Characters>
  <Lines>424</Lines>
  <Paragraphs>119</Paragraphs>
  <TotalTime>82</TotalTime>
  <ScaleCrop>false</ScaleCrop>
  <LinksUpToDate>false</LinksUpToDate>
  <CharactersWithSpaces>52593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2020-06-30T02:10:00Z</dcterms:created>
  <dc:creator>Administrator</dc:creator>
  <cp:lastModifiedBy>布鲁先森</cp:lastModifiedBy>
  <dcterms:modified xsi:type="dcterms:W3CDTF">2024-06-11T02:42:23Z</dcterms:modified>
  <cp:revision>1803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568B60A689F94C86A3751FBB1842A9A1_12</vt:lpwstr>
  </property>
</Properties>
</file>