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A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36"/>
          <w:szCs w:val="36"/>
        </w:rPr>
      </w:pPr>
    </w:p>
    <w:p w14:paraId="06C7C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0"/>
          <w:szCs w:val="40"/>
        </w:rPr>
      </w:pPr>
    </w:p>
    <w:p w14:paraId="45F327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sz w:val="40"/>
          <w:szCs w:val="40"/>
        </w:rPr>
      </w:pPr>
    </w:p>
    <w:p w14:paraId="571C78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sz w:val="40"/>
          <w:szCs w:val="40"/>
        </w:rPr>
      </w:pPr>
    </w:p>
    <w:p w14:paraId="6BEADD0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sz w:val="56"/>
          <w:szCs w:val="56"/>
        </w:rPr>
      </w:pPr>
    </w:p>
    <w:p w14:paraId="487C5050">
      <w:pPr>
        <w:spacing w:line="560" w:lineRule="exact"/>
        <w:jc w:val="center"/>
        <w:rPr>
          <w:rFonts w:hint="default"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吉</w:t>
      </w:r>
      <w:r>
        <w:rPr>
          <w:rFonts w:hint="default" w:ascii="Times New Roman" w:hAnsi="Times New Roman" w:eastAsia="仿宋_GB2312" w:cs="Times New Roman"/>
          <w:b w:val="0"/>
          <w:bCs/>
          <w:i w:val="0"/>
          <w:iCs w:val="0"/>
          <w:kern w:val="2"/>
          <w:sz w:val="32"/>
          <w:szCs w:val="32"/>
          <w:lang w:val="en-US" w:eastAsia="zh-CN" w:bidi="ar-SA"/>
        </w:rPr>
        <w:t>政发〔2024〕</w:t>
      </w:r>
      <w:r>
        <w:rPr>
          <w:rFonts w:hint="eastAsia" w:ascii="Times New Roman" w:hAnsi="Times New Roman" w:eastAsia="仿宋_GB2312" w:cs="Times New Roman"/>
          <w:b w:val="0"/>
          <w:bCs/>
          <w:i w:val="0"/>
          <w:iCs w:val="0"/>
          <w:kern w:val="2"/>
          <w:sz w:val="32"/>
          <w:szCs w:val="32"/>
          <w:lang w:val="en-US" w:eastAsia="zh-CN" w:bidi="ar-SA"/>
        </w:rPr>
        <w:t>170</w:t>
      </w:r>
      <w:r>
        <w:rPr>
          <w:rFonts w:hint="default" w:ascii="Times New Roman" w:hAnsi="Times New Roman" w:eastAsia="仿宋_GB2312" w:cs="Times New Roman"/>
          <w:b w:val="0"/>
          <w:bCs/>
          <w:i w:val="0"/>
          <w:iCs w:val="0"/>
          <w:kern w:val="2"/>
          <w:sz w:val="32"/>
          <w:szCs w:val="32"/>
          <w:lang w:val="en-US" w:eastAsia="zh-CN" w:bidi="ar-SA"/>
        </w:rPr>
        <w:t xml:space="preserve">号  </w:t>
      </w:r>
      <w:r>
        <w:rPr>
          <w:rFonts w:hint="default" w:ascii="Times New Roman" w:hAnsi="Times New Roman" w:eastAsia="仿宋_GB2312" w:cs="Times New Roman"/>
          <w:b w:val="0"/>
          <w:bCs/>
          <w:i w:val="0"/>
          <w:iCs w:val="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i w:val="0"/>
          <w:iCs w:val="0"/>
          <w:kern w:val="2"/>
          <w:sz w:val="32"/>
          <w:szCs w:val="32"/>
          <w:lang w:val="en-US" w:eastAsia="zh-CN" w:bidi="ar-SA"/>
        </w:rPr>
        <w:t xml:space="preserve">  签发人：</w:t>
      </w:r>
      <w:r>
        <w:rPr>
          <w:rFonts w:hint="eastAsia" w:ascii="Times New Roman" w:hAnsi="Times New Roman" w:eastAsia="仿宋_GB2312" w:cs="Times New Roman"/>
          <w:b w:val="0"/>
          <w:bCs/>
          <w:i w:val="0"/>
          <w:iCs w:val="0"/>
          <w:kern w:val="2"/>
          <w:sz w:val="32"/>
          <w:szCs w:val="32"/>
          <w:lang w:val="en-US" w:eastAsia="zh-CN" w:bidi="ar-SA"/>
        </w:rPr>
        <w:t>赵文辉</w:t>
      </w:r>
    </w:p>
    <w:p w14:paraId="7EB5D674">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777BEDDE">
      <w:pPr>
        <w:keepNext w:val="0"/>
        <w:keepLines w:val="0"/>
        <w:pageBreakBefore w:val="0"/>
        <w:widowControl w:val="0"/>
        <w:kinsoku/>
        <w:wordWrap/>
        <w:overflowPunct/>
        <w:topLinePunct w:val="0"/>
        <w:autoSpaceDE/>
        <w:autoSpaceDN/>
        <w:bidi w:val="0"/>
        <w:adjustRightInd/>
        <w:snapToGrid/>
        <w:spacing w:afterAutospacing="0" w:line="6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吉岘镇人民政府</w:t>
      </w:r>
    </w:p>
    <w:p w14:paraId="40883D5B">
      <w:pPr>
        <w:keepNext w:val="0"/>
        <w:keepLines w:val="0"/>
        <w:pageBreakBefore w:val="0"/>
        <w:widowControl w:val="0"/>
        <w:kinsoku/>
        <w:wordWrap/>
        <w:overflowPunct/>
        <w:topLinePunct w:val="0"/>
        <w:autoSpaceDE/>
        <w:autoSpaceDN/>
        <w:bidi w:val="0"/>
        <w:adjustRightInd/>
        <w:snapToGrid/>
        <w:spacing w:afterAutospacing="0" w:line="6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b w:val="0"/>
          <w:bCs/>
          <w:i w:val="0"/>
          <w:iCs w:val="0"/>
          <w:sz w:val="44"/>
          <w:szCs w:val="44"/>
          <w:u w:val="none"/>
          <w:lang w:val="en-US" w:eastAsia="zh-CN"/>
        </w:rPr>
        <w:t>吉岘镇电动自行车安全隐患全链条整治行动</w:t>
      </w:r>
      <w:r>
        <w:rPr>
          <w:rFonts w:hint="eastAsia" w:ascii="方正小标宋简体" w:hAnsi="方正小标宋简体" w:eastAsia="方正小标宋简体" w:cs="方正小标宋简体"/>
          <w:sz w:val="44"/>
          <w:szCs w:val="44"/>
          <w:lang w:val="en-US" w:eastAsia="zh-CN"/>
        </w:rPr>
        <w:t>实施方案》</w:t>
      </w:r>
      <w:r>
        <w:rPr>
          <w:rFonts w:hint="eastAsia" w:ascii="方正小标宋简体" w:hAnsi="方正小标宋简体" w:eastAsia="方正小标宋简体" w:cs="方正小标宋简体"/>
          <w:b w:val="0"/>
          <w:bCs/>
          <w:i w:val="0"/>
          <w:iCs w:val="0"/>
          <w:sz w:val="44"/>
          <w:szCs w:val="44"/>
          <w:u w:val="none"/>
          <w:lang w:val="en-US" w:eastAsia="zh-CN"/>
        </w:rPr>
        <w:t>的</w:t>
      </w:r>
      <w:r>
        <w:rPr>
          <w:rFonts w:hint="eastAsia" w:ascii="方正小标宋简体" w:hAnsi="方正小标宋简体" w:eastAsia="方正小标宋简体" w:cs="方正小标宋简体"/>
          <w:sz w:val="44"/>
          <w:szCs w:val="44"/>
          <w:lang w:val="en-US" w:eastAsia="zh-CN"/>
        </w:rPr>
        <w:t>通知</w:t>
      </w:r>
    </w:p>
    <w:p w14:paraId="18F9CC60">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b w:val="0"/>
          <w:bCs/>
          <w:i w:val="0"/>
          <w:iCs w:val="0"/>
          <w:sz w:val="32"/>
          <w:szCs w:val="32"/>
          <w:lang w:val="en-US" w:eastAsia="zh-CN"/>
        </w:rPr>
      </w:pPr>
    </w:p>
    <w:p w14:paraId="2224112E">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b w:val="0"/>
          <w:bCs/>
          <w:i w:val="0"/>
          <w:iCs w:val="0"/>
          <w:sz w:val="32"/>
          <w:szCs w:val="32"/>
          <w:lang w:val="en-US" w:eastAsia="zh-CN"/>
        </w:rPr>
      </w:pPr>
      <w:r>
        <w:rPr>
          <w:rFonts w:hint="default" w:ascii="Times New Roman" w:hAnsi="Times New Roman" w:eastAsia="仿宋_GB2312" w:cs="Times New Roman"/>
          <w:b w:val="0"/>
          <w:bCs/>
          <w:i w:val="0"/>
          <w:iCs w:val="0"/>
          <w:sz w:val="32"/>
          <w:szCs w:val="32"/>
          <w:lang w:val="en-US" w:eastAsia="zh-CN"/>
        </w:rPr>
        <w:t>各村委会、镇直各单位</w:t>
      </w:r>
      <w:r>
        <w:rPr>
          <w:rFonts w:hint="eastAsia" w:ascii="Times New Roman" w:hAnsi="Times New Roman" w:eastAsia="仿宋_GB2312" w:cs="Times New Roman"/>
          <w:b w:val="0"/>
          <w:bCs/>
          <w:i w:val="0"/>
          <w:iCs w:val="0"/>
          <w:sz w:val="32"/>
          <w:szCs w:val="32"/>
          <w:lang w:val="en-US" w:eastAsia="zh-CN"/>
        </w:rPr>
        <w:t>：</w:t>
      </w:r>
    </w:p>
    <w:p w14:paraId="3197C75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sz w:val="32"/>
          <w:szCs w:val="32"/>
          <w:lang w:val="en-US" w:eastAsia="zh-CN"/>
        </w:rPr>
        <w:t>现将</w:t>
      </w:r>
      <w:r>
        <w:rPr>
          <w:rFonts w:hint="eastAsia" w:ascii="Times New Roman" w:hAnsi="Times New Roman" w:eastAsia="仿宋_GB2312" w:cs="Times New Roman"/>
          <w:b w:val="0"/>
          <w:bCs/>
          <w:i w:val="0"/>
          <w:iCs w:val="0"/>
          <w:kern w:val="2"/>
          <w:sz w:val="32"/>
          <w:szCs w:val="32"/>
          <w:lang w:val="en-US" w:eastAsia="zh-CN" w:bidi="ar-SA"/>
        </w:rPr>
        <w:t>《吉岘镇电动自行车安全隐患全链条整治行动实施方案》印发你们，请认真抓好贯彻落实。</w:t>
      </w:r>
    </w:p>
    <w:p w14:paraId="6B5665A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60DA8E5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2E434C3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0C76647A">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 xml:space="preserve">                           吉岘镇人民政府</w:t>
      </w:r>
    </w:p>
    <w:p w14:paraId="0C7AADE3">
      <w:pPr>
        <w:pStyle w:val="2"/>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2024年6月28日</w:t>
      </w:r>
    </w:p>
    <w:p w14:paraId="1DE92761">
      <w:pPr>
        <w:pStyle w:val="2"/>
        <w:keepNext w:val="0"/>
        <w:keepLines w:val="0"/>
        <w:pageBreakBefore w:val="0"/>
        <w:widowControl w:val="0"/>
        <w:kinsoku/>
        <w:wordWrap/>
        <w:overflowPunct/>
        <w:topLinePunct w:val="0"/>
        <w:autoSpaceDE/>
        <w:autoSpaceDN/>
        <w:bidi w:val="0"/>
        <w:adjustRightInd/>
        <w:snapToGrid/>
        <w:spacing w:after="120" w:line="600" w:lineRule="exact"/>
        <w:ind w:left="0" w:leftChars="0" w:right="0" w:rightChars="0" w:firstLine="643" w:firstLineChars="200"/>
        <w:jc w:val="both"/>
        <w:textAlignment w:val="auto"/>
        <w:outlineLvl w:val="9"/>
        <w:rPr>
          <w:rFonts w:hint="eastAsia" w:ascii="Times New Roman" w:hAnsi="Times New Roman" w:eastAsia="仿宋_GB2312" w:cs="Times New Roman"/>
          <w:b/>
          <w:bCs w:val="0"/>
          <w:i w:val="0"/>
          <w:iCs w:val="0"/>
          <w:kern w:val="2"/>
          <w:sz w:val="32"/>
          <w:szCs w:val="32"/>
          <w:lang w:val="en-US" w:eastAsia="zh-CN" w:bidi="ar-SA"/>
        </w:rPr>
      </w:pPr>
    </w:p>
    <w:p w14:paraId="4C732F7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iCs w:val="0"/>
          <w:kern w:val="2"/>
          <w:sz w:val="44"/>
          <w:szCs w:val="44"/>
          <w:lang w:val="en-US" w:eastAsia="zh-CN" w:bidi="ar-SA"/>
        </w:rPr>
      </w:pPr>
      <w:r>
        <w:rPr>
          <w:rFonts w:hint="eastAsia" w:ascii="方正小标宋简体" w:hAnsi="方正小标宋简体" w:eastAsia="方正小标宋简体" w:cs="方正小标宋简体"/>
          <w:b w:val="0"/>
          <w:bCs/>
          <w:i w:val="0"/>
          <w:iCs w:val="0"/>
          <w:kern w:val="2"/>
          <w:sz w:val="44"/>
          <w:szCs w:val="44"/>
          <w:lang w:val="en-US" w:eastAsia="zh-CN" w:bidi="ar-SA"/>
        </w:rPr>
        <w:t>吉岘镇电动自行车安全隐患全链条</w:t>
      </w:r>
    </w:p>
    <w:p w14:paraId="0C1C3D9D">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iCs w:val="0"/>
          <w:kern w:val="2"/>
          <w:sz w:val="44"/>
          <w:szCs w:val="44"/>
          <w:lang w:val="en-US" w:eastAsia="zh-CN" w:bidi="ar-SA"/>
        </w:rPr>
      </w:pPr>
      <w:r>
        <w:rPr>
          <w:rFonts w:hint="eastAsia" w:ascii="方正小标宋简体" w:hAnsi="方正小标宋简体" w:eastAsia="方正小标宋简体" w:cs="方正小标宋简体"/>
          <w:b w:val="0"/>
          <w:bCs/>
          <w:i w:val="0"/>
          <w:iCs w:val="0"/>
          <w:kern w:val="2"/>
          <w:sz w:val="44"/>
          <w:szCs w:val="44"/>
          <w:lang w:val="en-US" w:eastAsia="zh-CN" w:bidi="ar-SA"/>
        </w:rPr>
        <w:t>整治行动实施方案</w:t>
      </w:r>
    </w:p>
    <w:p w14:paraId="2C419736">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iCs w:val="0"/>
          <w:kern w:val="2"/>
          <w:sz w:val="44"/>
          <w:szCs w:val="44"/>
          <w:lang w:val="en-US" w:eastAsia="zh-CN" w:bidi="ar-SA"/>
        </w:rPr>
      </w:pPr>
    </w:p>
    <w:p w14:paraId="35A5BCA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为全面加强电动自行车全链条安全监管，根据《合水县人民政府办公室关于印发电动自行车安全隐患全链条整治行动实施方案的通知》（合政办发〔2024〕34号）要求，即日起至2025年底，在全镇集中开展电动自行车安全隐患全链条整治行动，现制定本方案。</w:t>
      </w:r>
    </w:p>
    <w:p w14:paraId="7DFF004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一、总体要求</w:t>
      </w:r>
    </w:p>
    <w:p w14:paraId="633534B8">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以习近平新时代中国特色社会主义思想为指导，全面贯彻落实党的二十大和二十届二中全会精神，统筹高质量发展与高水平安全，坚持标本兼治、疏堵结合、创新驱动、齐抓共管，加强电动自行车组装、销售、改装维修、路面行驶、停放充电、报废回收全链条全环节服务管理，将综合整治行动纳入安全生产治本攻坚三年行动重要内容，全力消除电动自行车突出风险隐患，有效遏制电动自行车火灾发生，切实保障辖区人民群众生命财产安全。</w:t>
      </w:r>
    </w:p>
    <w:p w14:paraId="3E2728DA">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二、工作目标</w:t>
      </w:r>
    </w:p>
    <w:p w14:paraId="7D1F5DD4">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2024年开展集中整治，切实消除各类安全隐患，有效预防压减电动自行车安全事故，坚决遏制重特大火灾事故；2025年巩固提升整治成效，降低存量风险，严控增量风险，推进落实电动自行车全链条安全监管，建立政府管理、各站所按照相关职能负责、企业履责、社会监督、人员自律的长效治理机制。</w:t>
      </w:r>
    </w:p>
    <w:p w14:paraId="6BB3C7C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三、主要任务</w:t>
      </w:r>
    </w:p>
    <w:p w14:paraId="7595FDAC">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（一）着力解决违法违规组装销售问题。</w:t>
      </w:r>
    </w:p>
    <w:p w14:paraId="42ACD73F">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1．规范销售企业经营行为。</w:t>
      </w:r>
      <w:r>
        <w:rPr>
          <w:rFonts w:hint="eastAsia" w:ascii="Times New Roman" w:hAnsi="Times New Roman" w:eastAsia="仿宋_GB2312" w:cs="Times New Roman"/>
          <w:b w:val="0"/>
          <w:bCs/>
          <w:i w:val="0"/>
          <w:iCs w:val="0"/>
          <w:kern w:val="2"/>
          <w:sz w:val="32"/>
          <w:szCs w:val="32"/>
          <w:lang w:val="en-US" w:eastAsia="zh-CN" w:bidi="ar-SA"/>
        </w:rPr>
        <w:t>摸清全镇电动自行车、蓄电池及充电器销售企业底数，2024年7月底前完成。督促执行进货检查验收和公示承诺制度，严格核查产品合格证明、强制性产品认证等信息，在销售场所醒目位置公示产品目录，不得将电动自行车整车与蓄电池拆分销售（镇市场监管所牵头负责，镇应急办、派出所配合）。</w:t>
      </w:r>
    </w:p>
    <w:p w14:paraId="179C0328">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2．强化产品质量专项抽查。</w:t>
      </w:r>
      <w:r>
        <w:rPr>
          <w:rFonts w:hint="eastAsia" w:ascii="Times New Roman" w:hAnsi="Times New Roman" w:eastAsia="仿宋_GB2312" w:cs="Times New Roman"/>
          <w:b w:val="0"/>
          <w:bCs/>
          <w:i w:val="0"/>
          <w:iCs w:val="0"/>
          <w:kern w:val="2"/>
          <w:sz w:val="32"/>
          <w:szCs w:val="32"/>
          <w:lang w:val="en-US" w:eastAsia="zh-CN" w:bidi="ar-SA"/>
        </w:rPr>
        <w:t>2024年底前将电动自行车、蓄电池及充电器等核心部件纳入重点工业产品质量安全监管目录，常态化开展抽查，消除产品安全隐患。依法处罚未经强制性产品认证销售的违法行为，情节严重的吊销营业执照（镇市场监管所、应急办等按职责分工负责）。</w:t>
      </w:r>
    </w:p>
    <w:p w14:paraId="42AA15C7">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3．严厉打击制假售假行为。</w:t>
      </w:r>
      <w:r>
        <w:rPr>
          <w:rFonts w:hint="eastAsia" w:ascii="Times New Roman" w:hAnsi="Times New Roman" w:eastAsia="仿宋_GB2312" w:cs="Times New Roman"/>
          <w:b w:val="0"/>
          <w:bCs/>
          <w:i w:val="0"/>
          <w:iCs w:val="0"/>
          <w:kern w:val="2"/>
          <w:sz w:val="32"/>
          <w:szCs w:val="32"/>
          <w:lang w:val="en-US" w:eastAsia="zh-CN" w:bidi="ar-SA"/>
        </w:rPr>
        <w:t>对生产、销售假冒伪劣产品行为保持高压严打态势，加强行刑衔接，涉嫌犯罪的依法追究刑事责任，斩断非法生产、销售网络链条，2024年底前取得阶段性进展并持续推进（镇市场监管所牵头负责，派出所、应急办配合）。</w:t>
      </w:r>
    </w:p>
    <w:p w14:paraId="2D74EA17">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（二）着力解决非法改装屡禁不止问题</w:t>
      </w:r>
    </w:p>
    <w:p w14:paraId="3D9AAE4D">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4．依法惩治非法改装行为。</w:t>
      </w:r>
      <w:r>
        <w:rPr>
          <w:rFonts w:hint="eastAsia" w:ascii="Times New Roman" w:hAnsi="Times New Roman" w:eastAsia="仿宋_GB2312" w:cs="Times New Roman"/>
          <w:b w:val="0"/>
          <w:bCs/>
          <w:i w:val="0"/>
          <w:iCs w:val="0"/>
          <w:kern w:val="2"/>
          <w:sz w:val="32"/>
          <w:szCs w:val="32"/>
          <w:lang w:val="en-US" w:eastAsia="zh-CN" w:bidi="ar-SA"/>
        </w:rPr>
        <w:t>通过暗访抽查、有奖举报等措施，扩大信息渠道，对违反法律法规规定或强制性国家标准要求，擅自改装原厂电气配件、外设蓄电池托架、拆改限速器、更换大容量蓄电池等违法行为从严整治。加强经营网点和维修店铺经常性检查，严厉打击违规回收、二次组装加工蓄电池销售的黑作坊，涉嫌犯罪的依法追究刑事责任，2024年8月底前取得阶段性进展并持续推进（镇市场监管所、派出所、应急办等站所按职责分工负责）。</w:t>
      </w:r>
    </w:p>
    <w:p w14:paraId="1DC5E302">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5．规范商户线上经营管理。</w:t>
      </w:r>
      <w:r>
        <w:rPr>
          <w:rFonts w:hint="eastAsia" w:ascii="Times New Roman" w:hAnsi="Times New Roman" w:eastAsia="仿宋_GB2312" w:cs="Times New Roman"/>
          <w:b w:val="0"/>
          <w:bCs/>
          <w:i w:val="0"/>
          <w:iCs w:val="0"/>
          <w:kern w:val="2"/>
          <w:sz w:val="32"/>
          <w:szCs w:val="32"/>
          <w:lang w:val="en-US" w:eastAsia="zh-CN" w:bidi="ar-SA"/>
        </w:rPr>
        <w:t>督促电动自行车、蓄电池及充电器销售商业门店规范经营，在销售场所张贴“禁止非法改装”内容，引导群众自觉抵制非法改装产品，2024年8月底前完成。加强寄递渠道安全监管，依法查处违规寄递电动自行车用蓄电池企业（镇市场监管所牵头负责，镇派出所、应急办配合）。</w:t>
      </w:r>
    </w:p>
    <w:p w14:paraId="27806914">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（三）着力解决违法违规行驶停放问题</w:t>
      </w:r>
    </w:p>
    <w:p w14:paraId="3EAEB29E">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6．严格落实车辆登记制度。</w:t>
      </w:r>
      <w:r>
        <w:rPr>
          <w:rFonts w:hint="eastAsia" w:ascii="Times New Roman" w:hAnsi="Times New Roman" w:eastAsia="仿宋_GB2312" w:cs="Times New Roman"/>
          <w:b w:val="0"/>
          <w:bCs/>
          <w:i w:val="0"/>
          <w:iCs w:val="0"/>
          <w:kern w:val="2"/>
          <w:sz w:val="32"/>
          <w:szCs w:val="32"/>
          <w:lang w:val="en-US" w:eastAsia="zh-CN" w:bidi="ar-SA"/>
        </w:rPr>
        <w:t>对电动自行车全面实行登记上牌管理，将车主信息、车架号及蓄电池识别代码等纳入登记事项，利用交管平台网上办理、销售店铺信息上传等方式优化登记上牌服务，对不符合要求的，一律不得注册登记，并将违规销售企业和产品情况通报镇市场监管站所，稳妥有序淘汰目前在用但不符合国家标准的电动自行车，2024年底前完成（镇派出所牵头负责）。</w:t>
      </w:r>
    </w:p>
    <w:p w14:paraId="6C416E93">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7．加大路面执法执勤力度。</w:t>
      </w:r>
      <w:r>
        <w:rPr>
          <w:rFonts w:hint="eastAsia" w:ascii="Times New Roman" w:hAnsi="Times New Roman" w:eastAsia="仿宋_GB2312" w:cs="Times New Roman"/>
          <w:b w:val="0"/>
          <w:bCs/>
          <w:i w:val="0"/>
          <w:iCs w:val="0"/>
          <w:kern w:val="2"/>
          <w:sz w:val="32"/>
          <w:szCs w:val="32"/>
          <w:lang w:val="en-US" w:eastAsia="zh-CN" w:bidi="ar-SA"/>
        </w:rPr>
        <w:t>按照《甘肃省电动自行车管理办法》和相关规定，加大对电动自行车未按规定登记上牌上路行驶、闯红灯、逆行、超速、不佩戴头盔等违法违规行为的查处力度，利用信息化技术手段提高识别取证能力，2025年底前完成。结合实际，及时对突出违法行为、多次违法人员开展专项治理，保持严管态势（镇派出所牵头负责）。</w:t>
      </w:r>
    </w:p>
    <w:p w14:paraId="1A697699">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8．严查违规停放充电问题。</w:t>
      </w:r>
      <w:r>
        <w:rPr>
          <w:rFonts w:hint="eastAsia" w:ascii="Times New Roman" w:hAnsi="Times New Roman" w:eastAsia="仿宋_GB2312" w:cs="Times New Roman"/>
          <w:b w:val="0"/>
          <w:bCs/>
          <w:i w:val="0"/>
          <w:iCs w:val="0"/>
          <w:kern w:val="2"/>
          <w:sz w:val="32"/>
          <w:szCs w:val="32"/>
          <w:lang w:val="en-US" w:eastAsia="zh-CN" w:bidi="ar-SA"/>
        </w:rPr>
        <w:t>市场监管所、应急办、派出所等站所加强联合检查，依法查处电动车“进楼入户”“进房充电”“飞线充电”等违法违规行为，各村和居民住宅小区及各企业单位管理加强日常巡查，对电动自行车违规停放充电行为开展执法查处、检查劝阻和宣传提示。（镇市场监管所牵头负责，应急办、派出所配合）。</w:t>
      </w:r>
    </w:p>
    <w:p w14:paraId="4812F390">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9．强化群众宣传教育培训。</w:t>
      </w:r>
      <w:r>
        <w:rPr>
          <w:rFonts w:hint="eastAsia" w:ascii="Times New Roman" w:hAnsi="Times New Roman" w:eastAsia="仿宋_GB2312" w:cs="Times New Roman"/>
          <w:b w:val="0"/>
          <w:bCs/>
          <w:i w:val="0"/>
          <w:iCs w:val="0"/>
          <w:kern w:val="2"/>
          <w:sz w:val="32"/>
          <w:szCs w:val="32"/>
          <w:lang w:val="en-US" w:eastAsia="zh-CN" w:bidi="ar-SA"/>
        </w:rPr>
        <w:t>利用乡村大喇叭高频次广播电动自行车交通安全法、火灾预防、废旧蓄电池回收利用，宣传提示“自拆改、乱骑行、车入楼、车入房、线出户”的危害，教育引导群众佩戴安全头盔文明骑行、按规定停放充电、规范处理废旧蓄电池、不购买或使用未经强制认证产品、不进行违规改装（镇市场监管所、派出所、应急办等站所按职责分工负责）。</w:t>
      </w:r>
    </w:p>
    <w:p w14:paraId="0D6B8238">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（四）着力解决充电设施数量不足问题</w:t>
      </w:r>
    </w:p>
    <w:p w14:paraId="61BA17EB">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10．加强新建设施规划管理。</w:t>
      </w:r>
      <w:r>
        <w:rPr>
          <w:rFonts w:hint="eastAsia" w:ascii="Times New Roman" w:hAnsi="Times New Roman" w:eastAsia="仿宋_GB2312" w:cs="Times New Roman"/>
          <w:b w:val="0"/>
          <w:bCs/>
          <w:i w:val="0"/>
          <w:iCs w:val="0"/>
          <w:kern w:val="2"/>
          <w:sz w:val="32"/>
          <w:szCs w:val="32"/>
          <w:lang w:val="en-US" w:eastAsia="zh-CN" w:bidi="ar-SA"/>
        </w:rPr>
        <w:t>严格新建居住项目规划审批管理，将电动自行车停放充电设施纳入项目配套。既有小区利用内部公共空间、无条件小区利用周边公共开放空间设置停放场所、充电设施，涉及规划调整的，优化程序简易办理。在公共开放空间规划建设停放场所、充电设施，并纳入公共服务设施管理范围（镇市场监督所牵头负责，应急办配合） 。</w:t>
      </w:r>
    </w:p>
    <w:p w14:paraId="67C611C0">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（五）着力解决废旧电池报废利用问题</w:t>
      </w:r>
    </w:p>
    <w:p w14:paraId="59E88086">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11．推动开展以旧换新活动。</w:t>
      </w:r>
      <w:r>
        <w:rPr>
          <w:rFonts w:hint="eastAsia" w:ascii="Times New Roman" w:hAnsi="Times New Roman" w:eastAsia="仿宋_GB2312" w:cs="Times New Roman"/>
          <w:b w:val="0"/>
          <w:bCs/>
          <w:i w:val="0"/>
          <w:iCs w:val="0"/>
          <w:kern w:val="2"/>
          <w:sz w:val="32"/>
          <w:szCs w:val="32"/>
          <w:lang w:val="en-US" w:eastAsia="zh-CN" w:bidi="ar-SA"/>
        </w:rPr>
        <w:t>将电动自行车及蓄电池纳入消费品以旧换新范围，细化落实措施，组织开展以旧换新工作。推动电动自行车以旧换新，支持电动自行车销售企业与生产企业、回收企业联合开展以旧换新活动（镇市场监管所、牵头负责、应急办配合）。</w:t>
      </w:r>
    </w:p>
    <w:p w14:paraId="576ECD0E">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12．落实老旧电池报废要求。</w:t>
      </w:r>
      <w:r>
        <w:rPr>
          <w:rFonts w:hint="eastAsia" w:ascii="Times New Roman" w:hAnsi="Times New Roman" w:eastAsia="仿宋_GB2312" w:cs="Times New Roman"/>
          <w:b w:val="0"/>
          <w:bCs/>
          <w:i w:val="0"/>
          <w:iCs w:val="0"/>
          <w:kern w:val="2"/>
          <w:sz w:val="32"/>
          <w:szCs w:val="32"/>
          <w:lang w:val="en-US" w:eastAsia="zh-CN" w:bidi="ar-SA"/>
        </w:rPr>
        <w:t>严格执行老旧蓄电池强制性报废标准，对超过生产日期5年的蓄电池开展全面强制安全性评估，对达到报废条件的一律强制报废，2025年5月底前取得阶段性进展并持续推进。结合路面执法检查、车辆维修等工作，鼓励用户对蓄电池进行送检评估，主动淘汰不符合要求的蓄电池。鼓励企业开办电动自行车及蓄电池检验检测机构，做好现有检验检测机构资质扩项，为老旧蓄电池便捷快速检验检测提供技术服务（镇市场监管所牵头负责，派出所、应急办配合）。</w:t>
      </w:r>
    </w:p>
    <w:p w14:paraId="68606CCD">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13．强化回收电池利用管理。</w:t>
      </w:r>
      <w:r>
        <w:rPr>
          <w:rFonts w:hint="eastAsia" w:ascii="Times New Roman" w:hAnsi="Times New Roman" w:eastAsia="仿宋_GB2312" w:cs="Times New Roman"/>
          <w:b w:val="0"/>
          <w:bCs/>
          <w:i w:val="0"/>
          <w:iCs w:val="0"/>
          <w:kern w:val="2"/>
          <w:sz w:val="32"/>
          <w:szCs w:val="32"/>
          <w:lang w:val="en-US" w:eastAsia="zh-CN" w:bidi="ar-SA"/>
        </w:rPr>
        <w:t>建立回收电池二次利用制度，规范企业回收利用行为，严禁使用废旧电芯生产电动自行车蓄电池。推动生产企业以自建、委托等方式提供蓄电池更换、回收服务。督促废旧电池回收利用企业按照生态环保有关规定开展回收利用。（镇市场监管所牵头负责，应急办配合）。</w:t>
      </w:r>
    </w:p>
    <w:p w14:paraId="21668265">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（六）着力解决溯源追责力度不够问题</w:t>
      </w:r>
    </w:p>
    <w:p w14:paraId="30C737E0">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14．严格事故溯源调查追责。</w:t>
      </w:r>
      <w:r>
        <w:rPr>
          <w:rFonts w:hint="eastAsia" w:ascii="Times New Roman" w:hAnsi="Times New Roman" w:eastAsia="仿宋_GB2312" w:cs="Times New Roman"/>
          <w:b w:val="0"/>
          <w:bCs/>
          <w:i w:val="0"/>
          <w:iCs w:val="0"/>
          <w:kern w:val="2"/>
          <w:sz w:val="32"/>
          <w:szCs w:val="32"/>
          <w:lang w:val="en-US" w:eastAsia="zh-CN" w:bidi="ar-SA"/>
        </w:rPr>
        <w:t>事故发生后既查使用人、所有人的直接责任，也要延伸调查是否存在违规生产、销售、改装、停放、充电等问题，运用“一车一池一充一码”识别代码和电动自行车登记信息管理系统，提高事故后溯源调查能力。建立电动自行车伤亡事故倒查机制，相关站所将生产、销售、改装、停放、充电等各环节发现的违法违规线索及时移交并配合派出所开展调查，如有造成重大影响的依法追责（镇派出所牵头负责，市场监管所、应急办等配合）。</w:t>
      </w:r>
    </w:p>
    <w:p w14:paraId="38CE9E55">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15．实施违法行为联合惩戒。</w:t>
      </w:r>
      <w:r>
        <w:rPr>
          <w:rFonts w:hint="eastAsia" w:ascii="Times New Roman" w:hAnsi="Times New Roman" w:eastAsia="仿宋_GB2312" w:cs="Times New Roman"/>
          <w:b w:val="0"/>
          <w:bCs/>
          <w:i w:val="0"/>
          <w:iCs w:val="0"/>
          <w:kern w:val="2"/>
          <w:sz w:val="32"/>
          <w:szCs w:val="32"/>
          <w:lang w:val="en-US" w:eastAsia="zh-CN" w:bidi="ar-SA"/>
        </w:rPr>
        <w:t>充分发挥社会监督作用，市场监管所、应急办、派出所对违法违规销售电动自行车及蓄电池的商业门店、违规回收和二次组装加工蓄电池的商业门店、违规提供改装服务及部件的商业门店进行曝光。市场监管所对违规停放充电的个人、派出所对违反交通规则的个人进行曝光。对电动自行车引发的火灾事故，应急办及时曝光车辆、蓄电池品牌及型号、销售单位、改装单位等信息。对存在违法违规行为的企业和个人，按权限依法列入相关严重失信主体名单，实施联合惩戒（镇市场监管所、应急办、派出所按职责分工负责）。</w:t>
      </w:r>
    </w:p>
    <w:p w14:paraId="6A67F1D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四、保障措施</w:t>
      </w:r>
    </w:p>
    <w:p w14:paraId="76EC26F3">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（一）加强统筹协调。</w:t>
      </w:r>
      <w:r>
        <w:rPr>
          <w:rFonts w:hint="eastAsia" w:ascii="Times New Roman" w:hAnsi="Times New Roman" w:eastAsia="仿宋_GB2312" w:cs="Times New Roman"/>
          <w:b w:val="0"/>
          <w:bCs/>
          <w:i w:val="0"/>
          <w:iCs w:val="0"/>
          <w:kern w:val="2"/>
          <w:sz w:val="32"/>
          <w:szCs w:val="32"/>
          <w:lang w:val="en-US" w:eastAsia="zh-CN" w:bidi="ar-SA"/>
        </w:rPr>
        <w:t>镇政府成立吉岘镇电动自行车安全链条整治工作专班（以下简称工作专班），负责全链条整治行动的统筹协调。工作专班办公室设在镇应急办，各成员指派工作人员参加专班工作，按方案要求抽调成员单位确定工作人员根据需要适时开展工作整治。</w:t>
      </w:r>
    </w:p>
    <w:p w14:paraId="5C80CA03">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（二）深入排查整治。</w:t>
      </w:r>
      <w:r>
        <w:rPr>
          <w:rFonts w:hint="eastAsia" w:ascii="Times New Roman" w:hAnsi="Times New Roman" w:eastAsia="仿宋_GB2312" w:cs="Times New Roman"/>
          <w:b w:val="0"/>
          <w:bCs/>
          <w:i w:val="0"/>
          <w:iCs w:val="0"/>
          <w:kern w:val="2"/>
          <w:sz w:val="32"/>
          <w:szCs w:val="32"/>
          <w:lang w:val="en-US" w:eastAsia="zh-CN" w:bidi="ar-SA"/>
        </w:rPr>
        <w:t>对销售、改装企业或网点全面排查，对交通行驶和停放充电的有关违法行为严厉打击，各站所可通过联合检查、错时检查、夜查等方式适时增多检查频次，加大执法力度，对检查出的问题立案惩处，加强行刑衔接。</w:t>
      </w:r>
    </w:p>
    <w:p w14:paraId="73F60E76">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（三）实现信息共享。</w:t>
      </w:r>
      <w:r>
        <w:rPr>
          <w:rFonts w:hint="eastAsia" w:ascii="Times New Roman" w:hAnsi="Times New Roman" w:eastAsia="仿宋_GB2312" w:cs="Times New Roman"/>
          <w:b w:val="0"/>
          <w:bCs/>
          <w:i w:val="0"/>
          <w:iCs w:val="0"/>
          <w:kern w:val="2"/>
          <w:sz w:val="32"/>
          <w:szCs w:val="32"/>
          <w:lang w:val="en-US" w:eastAsia="zh-CN" w:bidi="ar-SA"/>
        </w:rPr>
        <w:t>落实覆盖销售、维修、使用环节的电动自行车登记信息和“一车一池一充一码”识别代码信息共享机制，实现信息互通互查，提高溯源调查能力，为政策制定、工作决策、事故调查等工作提供可靠的数据保证。</w:t>
      </w:r>
    </w:p>
    <w:p w14:paraId="7E0FD1D2">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（四）落实督导考核。</w:t>
      </w:r>
      <w:r>
        <w:rPr>
          <w:rFonts w:hint="eastAsia" w:ascii="Times New Roman" w:hAnsi="Times New Roman" w:eastAsia="仿宋_GB2312" w:cs="Times New Roman"/>
          <w:b w:val="0"/>
          <w:bCs/>
          <w:i w:val="0"/>
          <w:iCs w:val="0"/>
          <w:kern w:val="2"/>
          <w:sz w:val="32"/>
          <w:szCs w:val="32"/>
          <w:lang w:val="en-US" w:eastAsia="zh-CN" w:bidi="ar-SA"/>
        </w:rPr>
        <w:t>整治工作纳入年度安全生产和消防工作考核检查内容。各村及镇直各企业单位要加强日常调度指导和监督检查，确保工作责任不折不扣落实，工作专班对整治工作进展缓慢、任务落实不力的予以全镇通报。</w:t>
      </w:r>
    </w:p>
    <w:p w14:paraId="3E150255">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p>
    <w:p w14:paraId="6C380C97">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附件：吉岘镇电动自行车安全隐患全链条整治行动工作专班</w:t>
      </w:r>
    </w:p>
    <w:p w14:paraId="66A48B5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5DC9F424">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0F9B97AF">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3AFCD6D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val="0"/>
          <w:i w:val="0"/>
          <w:iCs w:val="0"/>
          <w:kern w:val="2"/>
          <w:sz w:val="32"/>
          <w:szCs w:val="32"/>
          <w:lang w:val="en-US" w:eastAsia="zh-CN" w:bidi="ar-SA"/>
        </w:rPr>
      </w:pPr>
    </w:p>
    <w:p w14:paraId="6E3E924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val="0"/>
          <w:i w:val="0"/>
          <w:iCs w:val="0"/>
          <w:kern w:val="2"/>
          <w:sz w:val="32"/>
          <w:szCs w:val="32"/>
          <w:lang w:val="en-US" w:eastAsia="zh-CN" w:bidi="ar-SA"/>
        </w:rPr>
      </w:pPr>
    </w:p>
    <w:p w14:paraId="2BE6984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附件</w:t>
      </w:r>
    </w:p>
    <w:p w14:paraId="0E3074D3">
      <w:pPr>
        <w:pStyle w:val="2"/>
        <w:keepNext w:val="0"/>
        <w:keepLines w:val="0"/>
        <w:pageBreakBefore w:val="0"/>
        <w:widowControl w:val="0"/>
        <w:kinsoku/>
        <w:wordWrap/>
        <w:overflowPunct/>
        <w:topLinePunct w:val="0"/>
        <w:autoSpaceDE/>
        <w:autoSpaceDN/>
        <w:bidi w:val="0"/>
        <w:adjustRightInd/>
        <w:snapToGrid/>
        <w:spacing w:after="0" w:line="600" w:lineRule="exact"/>
        <w:ind w:firstLine="883" w:firstLineChars="200"/>
        <w:textAlignment w:val="auto"/>
        <w:rPr>
          <w:rFonts w:hint="eastAsia" w:ascii="Times New Roman" w:hAnsi="Times New Roman" w:eastAsia="仿宋_GB2312" w:cs="Times New Roman"/>
          <w:b/>
          <w:bCs w:val="0"/>
          <w:i w:val="0"/>
          <w:iCs w:val="0"/>
          <w:kern w:val="2"/>
          <w:sz w:val="44"/>
          <w:szCs w:val="44"/>
          <w:lang w:val="en-US" w:eastAsia="zh-CN" w:bidi="ar-SA"/>
        </w:rPr>
      </w:pPr>
      <w:r>
        <w:rPr>
          <w:rFonts w:hint="eastAsia" w:ascii="Times New Roman" w:hAnsi="Times New Roman" w:eastAsia="仿宋_GB2312" w:cs="Times New Roman"/>
          <w:b/>
          <w:bCs w:val="0"/>
          <w:i w:val="0"/>
          <w:iCs w:val="0"/>
          <w:kern w:val="2"/>
          <w:sz w:val="44"/>
          <w:szCs w:val="44"/>
          <w:lang w:val="en-US" w:eastAsia="zh-CN" w:bidi="ar-SA"/>
        </w:rPr>
        <w:t>吉岘镇电动自行车安全隐患全链条</w:t>
      </w:r>
    </w:p>
    <w:p w14:paraId="323BAEF7">
      <w:pPr>
        <w:pStyle w:val="2"/>
        <w:keepNext w:val="0"/>
        <w:keepLines w:val="0"/>
        <w:pageBreakBefore w:val="0"/>
        <w:widowControl w:val="0"/>
        <w:kinsoku/>
        <w:wordWrap/>
        <w:overflowPunct/>
        <w:topLinePunct w:val="0"/>
        <w:autoSpaceDE/>
        <w:autoSpaceDN/>
        <w:bidi w:val="0"/>
        <w:adjustRightInd/>
        <w:snapToGrid/>
        <w:spacing w:after="0" w:line="600" w:lineRule="exact"/>
        <w:ind w:firstLine="883" w:firstLineChars="200"/>
        <w:jc w:val="center"/>
        <w:textAlignment w:val="auto"/>
        <w:rPr>
          <w:rFonts w:hint="eastAsia" w:ascii="Times New Roman" w:hAnsi="Times New Roman" w:eastAsia="仿宋_GB2312" w:cs="Times New Roman"/>
          <w:b/>
          <w:bCs w:val="0"/>
          <w:i w:val="0"/>
          <w:iCs w:val="0"/>
          <w:kern w:val="2"/>
          <w:sz w:val="44"/>
          <w:szCs w:val="44"/>
          <w:lang w:val="en-US" w:eastAsia="zh-CN" w:bidi="ar-SA"/>
        </w:rPr>
      </w:pPr>
      <w:r>
        <w:rPr>
          <w:rFonts w:hint="eastAsia" w:ascii="Times New Roman" w:hAnsi="Times New Roman" w:eastAsia="仿宋_GB2312" w:cs="Times New Roman"/>
          <w:b/>
          <w:bCs w:val="0"/>
          <w:i w:val="0"/>
          <w:iCs w:val="0"/>
          <w:kern w:val="2"/>
          <w:sz w:val="44"/>
          <w:szCs w:val="44"/>
          <w:lang w:val="en-US" w:eastAsia="zh-CN" w:bidi="ar-SA"/>
        </w:rPr>
        <w:t>整治行动工作专班</w:t>
      </w:r>
    </w:p>
    <w:p w14:paraId="32650201">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p>
    <w:p w14:paraId="2D0C6796">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负  责 人： 赵文辉    政府镇长</w:t>
      </w:r>
    </w:p>
    <w:p w14:paraId="5B6EC7F8">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责  任 人： 刘宝元    市场监管所所长</w:t>
      </w:r>
    </w:p>
    <w:p w14:paraId="605F256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 xml:space="preserve">        张  欢    政府副镇长</w:t>
      </w:r>
    </w:p>
    <w:p w14:paraId="10AEFD3D">
      <w:pPr>
        <w:pStyle w:val="2"/>
        <w:keepNext w:val="0"/>
        <w:keepLines w:val="0"/>
        <w:pageBreakBefore w:val="0"/>
        <w:widowControl w:val="0"/>
        <w:kinsoku/>
        <w:wordWrap/>
        <w:overflowPunct/>
        <w:topLinePunct w:val="0"/>
        <w:autoSpaceDE/>
        <w:autoSpaceDN/>
        <w:bidi w:val="0"/>
        <w:adjustRightInd/>
        <w:snapToGrid/>
        <w:spacing w:after="0" w:line="600" w:lineRule="exact"/>
        <w:ind w:firstLine="1920" w:firstLineChars="600"/>
        <w:textAlignment w:val="auto"/>
        <w:rPr>
          <w:rFonts w:hint="default"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章宗库    派出所所长</w:t>
      </w:r>
    </w:p>
    <w:p w14:paraId="68CB2CC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b w:val="0"/>
          <w:bCs/>
          <w:i w:val="0"/>
          <w:iCs w:val="0"/>
          <w:kern w:val="2"/>
          <w:sz w:val="32"/>
          <w:szCs w:val="32"/>
          <w:lang w:val="en-US" w:eastAsia="zh-CN" w:bidi="ar-SA"/>
        </w:rPr>
        <w:t xml:space="preserve">成     员： </w:t>
      </w:r>
      <w:r>
        <w:rPr>
          <w:rFonts w:hint="eastAsia" w:ascii="仿宋_GB2312" w:hAnsi="仿宋_GB2312" w:eastAsia="仿宋_GB2312" w:cs="仿宋_GB2312"/>
          <w:color w:val="000000"/>
          <w:sz w:val="32"/>
          <w:szCs w:val="32"/>
          <w:lang w:val="en-US" w:eastAsia="zh-CN"/>
        </w:rPr>
        <w:t xml:space="preserve">赵  挺    </w:t>
      </w:r>
      <w:r>
        <w:rPr>
          <w:rFonts w:hint="eastAsia" w:ascii="仿宋_GB2312" w:hAnsi="仿宋_GB2312" w:eastAsia="仿宋_GB2312" w:cs="仿宋_GB2312"/>
          <w:color w:val="000000"/>
          <w:sz w:val="32"/>
          <w:szCs w:val="32"/>
          <w:lang w:eastAsia="zh-CN"/>
        </w:rPr>
        <w:t>人大主席</w:t>
      </w:r>
    </w:p>
    <w:p w14:paraId="129FD971">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郭奇锋    </w:t>
      </w:r>
      <w:r>
        <w:rPr>
          <w:rFonts w:hint="eastAsia" w:ascii="仿宋_GB2312" w:hAnsi="仿宋_GB2312" w:eastAsia="仿宋_GB2312" w:cs="仿宋_GB2312"/>
          <w:sz w:val="32"/>
          <w:szCs w:val="32"/>
          <w:lang w:eastAsia="zh-CN"/>
        </w:rPr>
        <w:t>党委副书记</w:t>
      </w:r>
    </w:p>
    <w:p w14:paraId="04713A83">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张瑾轩    </w:t>
      </w:r>
      <w:r>
        <w:rPr>
          <w:rFonts w:hint="eastAsia" w:ascii="仿宋_GB2312" w:hAnsi="仿宋_GB2312" w:eastAsia="仿宋_GB2312" w:cs="仿宋_GB2312"/>
          <w:sz w:val="32"/>
          <w:szCs w:val="32"/>
          <w:lang w:eastAsia="zh-CN"/>
        </w:rPr>
        <w:t>党建办主任</w:t>
      </w:r>
    </w:p>
    <w:p w14:paraId="6FDCCDD2">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朱  虹    </w:t>
      </w:r>
      <w:r>
        <w:rPr>
          <w:rFonts w:hint="eastAsia" w:ascii="Times New Roman" w:hAnsi="Times New Roman" w:eastAsia="仿宋_GB2312" w:cs="Times New Roman"/>
          <w:b w:val="0"/>
          <w:bCs/>
          <w:i w:val="0"/>
          <w:iCs w:val="0"/>
          <w:kern w:val="2"/>
          <w:sz w:val="32"/>
          <w:szCs w:val="32"/>
          <w:lang w:val="en-US" w:eastAsia="zh-CN" w:bidi="ar-SA"/>
        </w:rPr>
        <w:t>政府副镇长</w:t>
      </w:r>
    </w:p>
    <w:p w14:paraId="2B8965A7">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和思鹏    </w:t>
      </w:r>
      <w:r>
        <w:rPr>
          <w:rFonts w:hint="eastAsia" w:ascii="仿宋_GB2312" w:hAnsi="仿宋_GB2312" w:eastAsia="仿宋_GB2312" w:cs="仿宋_GB2312"/>
          <w:color w:val="000000"/>
          <w:sz w:val="32"/>
          <w:szCs w:val="32"/>
          <w:lang w:eastAsia="zh-CN"/>
        </w:rPr>
        <w:t>武装部长</w:t>
      </w:r>
    </w:p>
    <w:p w14:paraId="159CCB33">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梁振钰    司法所所长</w:t>
      </w:r>
    </w:p>
    <w:p w14:paraId="7897FD85">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米小飞    </w:t>
      </w:r>
      <w:r>
        <w:rPr>
          <w:rFonts w:hint="eastAsia" w:ascii="仿宋_GB2312" w:hAnsi="仿宋_GB2312" w:eastAsia="仿宋_GB2312" w:cs="仿宋_GB2312"/>
          <w:color w:val="000000"/>
          <w:sz w:val="32"/>
          <w:szCs w:val="32"/>
          <w:lang w:eastAsia="zh-CN"/>
        </w:rPr>
        <w:t>综合执法队队长</w:t>
      </w:r>
    </w:p>
    <w:p w14:paraId="721615B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李  睿    </w:t>
      </w:r>
      <w:r>
        <w:rPr>
          <w:rFonts w:hint="eastAsia" w:ascii="仿宋_GB2312" w:hAnsi="仿宋_GB2312" w:eastAsia="仿宋_GB2312" w:cs="仿宋_GB2312"/>
          <w:color w:val="000000"/>
          <w:sz w:val="32"/>
          <w:szCs w:val="32"/>
          <w:lang w:eastAsia="zh-CN"/>
        </w:rPr>
        <w:t>综合执法队副队长</w:t>
      </w:r>
    </w:p>
    <w:p w14:paraId="6D3ED84B">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苏  楠    综合执法队副队长</w:t>
      </w:r>
    </w:p>
    <w:p w14:paraId="05C281C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权金明    党群服务中心主任</w:t>
      </w:r>
    </w:p>
    <w:p w14:paraId="518CF36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李  静    市场监管所副所长</w:t>
      </w:r>
    </w:p>
    <w:p w14:paraId="50BF64C6">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李军伟    市场监管所副所长</w:t>
      </w:r>
    </w:p>
    <w:p w14:paraId="47246A3A">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张亚楠    农业农村综合服务中心主任</w:t>
      </w:r>
    </w:p>
    <w:p w14:paraId="2A5D210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柳志红</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 xml:space="preserve">  黄寨子</w:t>
      </w:r>
      <w:r>
        <w:rPr>
          <w:rFonts w:hint="eastAsia" w:ascii="仿宋_GB2312" w:hAnsi="仿宋_GB2312" w:eastAsia="仿宋_GB2312" w:cs="仿宋_GB2312"/>
          <w:color w:val="000000"/>
          <w:sz w:val="32"/>
          <w:szCs w:val="32"/>
          <w:lang w:eastAsia="zh-CN"/>
        </w:rPr>
        <w:t>村委会主任</w:t>
      </w:r>
    </w:p>
    <w:p w14:paraId="270F0FA2">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丑玉强</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吉岘村</w:t>
      </w:r>
      <w:r>
        <w:rPr>
          <w:rFonts w:hint="eastAsia" w:ascii="仿宋_GB2312" w:hAnsi="仿宋_GB2312" w:eastAsia="仿宋_GB2312" w:cs="仿宋_GB2312"/>
          <w:color w:val="000000"/>
          <w:sz w:val="32"/>
          <w:szCs w:val="32"/>
          <w:lang w:eastAsia="zh-CN"/>
        </w:rPr>
        <w:t>委会主任</w:t>
      </w:r>
    </w:p>
    <w:p w14:paraId="66E73C3B">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丑建勇</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郝庄村</w:t>
      </w:r>
      <w:r>
        <w:rPr>
          <w:rFonts w:hint="eastAsia" w:ascii="仿宋_GB2312" w:hAnsi="仿宋_GB2312" w:eastAsia="仿宋_GB2312" w:cs="仿宋_GB2312"/>
          <w:color w:val="000000"/>
          <w:sz w:val="32"/>
          <w:szCs w:val="32"/>
          <w:lang w:eastAsia="zh-CN"/>
        </w:rPr>
        <w:t>委会主任</w:t>
      </w:r>
    </w:p>
    <w:p w14:paraId="17E21C7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丑  伟</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王咀村</w:t>
      </w:r>
      <w:r>
        <w:rPr>
          <w:rFonts w:hint="eastAsia" w:ascii="仿宋_GB2312" w:hAnsi="仿宋_GB2312" w:eastAsia="仿宋_GB2312" w:cs="仿宋_GB2312"/>
          <w:color w:val="000000"/>
          <w:sz w:val="32"/>
          <w:szCs w:val="32"/>
          <w:lang w:eastAsia="zh-CN"/>
        </w:rPr>
        <w:t>委会主任</w:t>
      </w:r>
    </w:p>
    <w:p w14:paraId="28E1FCB6">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王彦平</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罗家畔</w:t>
      </w:r>
      <w:r>
        <w:rPr>
          <w:rFonts w:hint="eastAsia" w:ascii="仿宋_GB2312" w:hAnsi="仿宋_GB2312" w:eastAsia="仿宋_GB2312" w:cs="仿宋_GB2312"/>
          <w:color w:val="000000"/>
          <w:sz w:val="32"/>
          <w:szCs w:val="32"/>
          <w:lang w:eastAsia="zh-CN"/>
        </w:rPr>
        <w:t>村委会主任</w:t>
      </w:r>
    </w:p>
    <w:p w14:paraId="64A60D4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周会荣</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宫合</w:t>
      </w:r>
      <w:r>
        <w:rPr>
          <w:rFonts w:hint="eastAsia" w:ascii="仿宋_GB2312" w:hAnsi="仿宋_GB2312" w:eastAsia="仿宋_GB2312" w:cs="仿宋_GB2312"/>
          <w:color w:val="000000"/>
          <w:sz w:val="32"/>
          <w:szCs w:val="32"/>
          <w:lang w:eastAsia="zh-CN"/>
        </w:rPr>
        <w:t>村委会主任</w:t>
      </w:r>
    </w:p>
    <w:p w14:paraId="5EC16BD6">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王  鹏</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九顷湾</w:t>
      </w:r>
      <w:r>
        <w:rPr>
          <w:rFonts w:hint="eastAsia" w:ascii="仿宋_GB2312" w:hAnsi="仿宋_GB2312" w:eastAsia="仿宋_GB2312" w:cs="仿宋_GB2312"/>
          <w:color w:val="000000"/>
          <w:sz w:val="32"/>
          <w:szCs w:val="32"/>
          <w:lang w:eastAsia="zh-CN"/>
        </w:rPr>
        <w:t>村委会主任</w:t>
      </w:r>
    </w:p>
    <w:p w14:paraId="04ED962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计亚亚</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 xml:space="preserve"> 丑家川</w:t>
      </w:r>
      <w:r>
        <w:rPr>
          <w:rFonts w:hint="eastAsia" w:ascii="仿宋_GB2312" w:hAnsi="仿宋_GB2312" w:eastAsia="仿宋_GB2312" w:cs="仿宋_GB2312"/>
          <w:color w:val="000000"/>
          <w:sz w:val="32"/>
          <w:szCs w:val="32"/>
          <w:lang w:eastAsia="zh-CN"/>
        </w:rPr>
        <w:t>村委会（代）主任</w:t>
      </w:r>
    </w:p>
    <w:p w14:paraId="1EE4F15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工作专班办公室设在镇应急办，负责工作专班日常工作，</w:t>
      </w:r>
      <w:r>
        <w:rPr>
          <w:rFonts w:hint="eastAsia" w:ascii="仿宋_GB2312" w:hAnsi="仿宋_GB2312" w:eastAsia="仿宋_GB2312" w:cs="仿宋_GB2312"/>
          <w:color w:val="000000"/>
          <w:sz w:val="32"/>
          <w:szCs w:val="32"/>
          <w:lang w:val="en-US" w:eastAsia="zh-CN"/>
        </w:rPr>
        <w:t>谢凯凯</w:t>
      </w:r>
      <w:bookmarkStart w:id="0" w:name="_GoBack"/>
      <w:bookmarkEnd w:id="0"/>
      <w:r>
        <w:rPr>
          <w:rFonts w:hint="eastAsia" w:ascii="仿宋_GB2312" w:hAnsi="仿宋_GB2312" w:eastAsia="仿宋_GB2312" w:cs="仿宋_GB2312"/>
          <w:color w:val="000000"/>
          <w:sz w:val="32"/>
          <w:szCs w:val="32"/>
          <w:lang w:eastAsia="zh-CN"/>
        </w:rPr>
        <w:t>兼任办公室主任。工作专班成员如有变动报经政府负责人同意后，由成员单位接任工作的同志替补，不再另行发文。</w:t>
      </w:r>
    </w:p>
    <w:p w14:paraId="786EB82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整治工作结束后，工作专班自行撤销。</w:t>
      </w:r>
    </w:p>
    <w:p w14:paraId="4C9E909C">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黑体" w:hAnsi="黑体" w:eastAsia="黑体" w:cs="黑体"/>
          <w:b w:val="0"/>
          <w:bCs/>
          <w:i w:val="0"/>
          <w:iCs w:val="0"/>
          <w:kern w:val="2"/>
          <w:sz w:val="32"/>
          <w:szCs w:val="32"/>
          <w:lang w:val="en-US" w:eastAsia="zh-CN" w:bidi="ar-SA"/>
        </w:rPr>
      </w:pPr>
    </w:p>
    <w:p w14:paraId="6A9450F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b w:val="0"/>
          <w:bCs/>
          <w:i w:val="0"/>
          <w:iCs w:val="0"/>
          <w:kern w:val="2"/>
          <w:sz w:val="32"/>
          <w:szCs w:val="32"/>
          <w:lang w:val="en-US" w:eastAsia="zh-CN" w:bidi="ar-SA"/>
        </w:rPr>
      </w:pPr>
    </w:p>
    <w:sectPr>
      <w:pgSz w:w="11906" w:h="16838"/>
      <w:pgMar w:top="1814"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MjgxNDc0YzlhYzc4ZjYzNTFkNGY0ZTE5ZGIyOWQifQ=="/>
  </w:docVars>
  <w:rsids>
    <w:rsidRoot w:val="50670322"/>
    <w:rsid w:val="00365007"/>
    <w:rsid w:val="03871725"/>
    <w:rsid w:val="07AF3AB8"/>
    <w:rsid w:val="0D6276FC"/>
    <w:rsid w:val="0EB363EF"/>
    <w:rsid w:val="0F342CC0"/>
    <w:rsid w:val="0F58051A"/>
    <w:rsid w:val="0FD60DD5"/>
    <w:rsid w:val="14C94E9B"/>
    <w:rsid w:val="1C9D17A7"/>
    <w:rsid w:val="1D6805DC"/>
    <w:rsid w:val="1F990235"/>
    <w:rsid w:val="2029653A"/>
    <w:rsid w:val="2666389B"/>
    <w:rsid w:val="2D865AD4"/>
    <w:rsid w:val="31B6298E"/>
    <w:rsid w:val="384539D7"/>
    <w:rsid w:val="39337BC8"/>
    <w:rsid w:val="3EA2537A"/>
    <w:rsid w:val="40896772"/>
    <w:rsid w:val="409855BA"/>
    <w:rsid w:val="44C3026E"/>
    <w:rsid w:val="45A6696E"/>
    <w:rsid w:val="477D4B14"/>
    <w:rsid w:val="4A5E777A"/>
    <w:rsid w:val="50670322"/>
    <w:rsid w:val="5EE412EC"/>
    <w:rsid w:val="658544D7"/>
    <w:rsid w:val="66786475"/>
    <w:rsid w:val="66B45A48"/>
    <w:rsid w:val="67CB3049"/>
    <w:rsid w:val="685B41AA"/>
    <w:rsid w:val="6A9661EC"/>
    <w:rsid w:val="6BF72DB9"/>
    <w:rsid w:val="6E342E68"/>
    <w:rsid w:val="756C1C2A"/>
    <w:rsid w:val="7B9765F8"/>
    <w:rsid w:val="7BD161EF"/>
    <w:rsid w:val="7D2F125E"/>
    <w:rsid w:val="7D3F24F5"/>
    <w:rsid w:val="7FDA3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color="auto" w:fill="auto"/>
      <w:spacing w:before="100" w:beforeAutospacing="1" w:after="100" w:afterAutospacing="1"/>
      <w:jc w:val="left"/>
    </w:pPr>
    <w:rPr>
      <w:rFonts w:ascii="Calibri" w:hAnsi="Calibri" w:eastAsia="宋体" w:cs="Times New Roman"/>
      <w:kern w:val="1"/>
      <w:sz w:val="24"/>
      <w:szCs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3971</Words>
  <Characters>4023</Characters>
  <Lines>0</Lines>
  <Paragraphs>0</Paragraphs>
  <TotalTime>7</TotalTime>
  <ScaleCrop>false</ScaleCrop>
  <LinksUpToDate>false</LinksUpToDate>
  <CharactersWithSpaces>4212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2024-03-14T08:49:00Z</dcterms:created>
  <dc:creator>花彼岸</dc:creator>
  <cp:lastModifiedBy>Administrator</cp:lastModifiedBy>
  <cp:lastPrinted>2024-06-21T06:38:00Z</cp:lastPrinted>
  <dcterms:modified xsi:type="dcterms:W3CDTF">2024-09-13T02:13:44Z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84B27A759B8D48D39EFD89A25077C776_13</vt:lpwstr>
  </property>
</Properties>
</file>