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2017至2019年农村公路安全生命防护工程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事前绩效评估报告</w:t>
      </w: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2021年度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left="3595" w:leftChars="855" w:hanging="1800" w:hanging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2017至2019年农村公路安全生命防护工程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合水县公路局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合水县交通运输局</w:t>
      </w:r>
    </w:p>
    <w:p>
      <w:pPr>
        <w:widowControl/>
        <w:spacing w:line="700" w:lineRule="exact"/>
        <w:ind w:firstLine="442" w:firstLineChars="1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2021年5月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spacing w:line="590" w:lineRule="exact"/>
        <w:jc w:val="both"/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</w:pP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2017至2019年农村公路安全生命防护工程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事前绩效评估报告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2017至2019年农村公路安全生命防护工程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合水县交通运输局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2017至2019年农村公路安全生命防护工程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21887983.08元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仿宋" w:hAnsi="仿宋" w:eastAsia="仿宋"/>
          <w:sz w:val="32"/>
          <w:szCs w:val="32"/>
          <w:lang w:eastAsia="zh-CN"/>
        </w:rPr>
        <w:t>2017至2019年农村公路安全生命防护工程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经庆阳市交通运输局庆市交建字（2019）17号文件批准施工图设计，隐患路段全长160</w:t>
      </w:r>
      <w:r>
        <w:rPr>
          <w:rFonts w:hint="eastAsia" w:ascii="仿宋" w:hAnsi="仿宋" w:eastAsia="仿宋"/>
          <w:sz w:val="32"/>
          <w:szCs w:val="32"/>
        </w:rPr>
        <w:t>公里 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Gr-B-4E型波形钢板护栏35846米，轮廓标9822块。</w:t>
      </w:r>
      <w:r>
        <w:rPr>
          <w:rFonts w:hint="eastAsia" w:ascii="仿宋" w:hAnsi="仿宋" w:eastAsia="仿宋"/>
          <w:sz w:val="32"/>
          <w:szCs w:val="32"/>
        </w:rPr>
        <w:t>项目总投资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3589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交通运输局绩效评估小组人员名单：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组长：杨锐龙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成员：李明、南岳鹏、姬 殷、梁  选、王守迪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特聘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刘兴祥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认为该项目实施有利于交通发展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切实为当地产业运输提供保障，满足沿线群众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，助推乡村振兴和路衍经济发展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项目无有责投诉。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交通基础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设施运行条件，对县域交通条件改善显著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路域环境水平提升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发展，加快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考核重点项目，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保障公路安全畅通，确保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群众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出行安全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具有十分重要的作用。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全县交通运输和经济、社会发展至关重要，保障全县客、货、邮安全畅通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。同时带动路衍经济发展。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认为该项目具有可行性，建议纳入2021年预算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预算编制严格按照上级文件要求，结合我局上年度运行实际编制，预算编制准确。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局公路建设管理工作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推荐列入2021年预算。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建议对我局的管理职责和范围做详细了解。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项目计划总投资包含施工费、设计勘察费等与项目建设相关的所有费用，仅为初步概算,具体以实际组织实施支出科目为准。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/>
    <w:p/>
    <w:p/>
    <w:p/>
    <w:p/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20" w:afterLines="50" w:line="600" w:lineRule="exact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(2017至2019年农村公路安全生命防护工程）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6"/>
          <w:szCs w:val="5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QyZmIyNjhmOWM4ZDkwYjEwYmYzMThhN2U1MmQifQ=="/>
  </w:docVars>
  <w:rsids>
    <w:rsidRoot w:val="00000000"/>
    <w:rsid w:val="03E8476A"/>
    <w:rsid w:val="051801E0"/>
    <w:rsid w:val="0B444D3D"/>
    <w:rsid w:val="11832FD5"/>
    <w:rsid w:val="14264FE0"/>
    <w:rsid w:val="14617512"/>
    <w:rsid w:val="15952E08"/>
    <w:rsid w:val="17C1793A"/>
    <w:rsid w:val="1977452F"/>
    <w:rsid w:val="1BCB29BD"/>
    <w:rsid w:val="212F6972"/>
    <w:rsid w:val="24AC4523"/>
    <w:rsid w:val="26CB5E5B"/>
    <w:rsid w:val="28D61B44"/>
    <w:rsid w:val="2E980D78"/>
    <w:rsid w:val="386A4682"/>
    <w:rsid w:val="3D237088"/>
    <w:rsid w:val="3DD4070D"/>
    <w:rsid w:val="40890388"/>
    <w:rsid w:val="40D01B30"/>
    <w:rsid w:val="41FB05ED"/>
    <w:rsid w:val="44522527"/>
    <w:rsid w:val="46C75117"/>
    <w:rsid w:val="496060F3"/>
    <w:rsid w:val="49B17FEF"/>
    <w:rsid w:val="4C245B5C"/>
    <w:rsid w:val="4D16317F"/>
    <w:rsid w:val="52376C08"/>
    <w:rsid w:val="55213A2B"/>
    <w:rsid w:val="561D018C"/>
    <w:rsid w:val="596546FA"/>
    <w:rsid w:val="59D86349"/>
    <w:rsid w:val="5EE70E86"/>
    <w:rsid w:val="5F891454"/>
    <w:rsid w:val="61587D6F"/>
    <w:rsid w:val="63375273"/>
    <w:rsid w:val="66FD24E6"/>
    <w:rsid w:val="672B47F2"/>
    <w:rsid w:val="6DCD3082"/>
    <w:rsid w:val="6EDC48EF"/>
    <w:rsid w:val="701614BB"/>
    <w:rsid w:val="70AD3CF1"/>
    <w:rsid w:val="75252C0E"/>
    <w:rsid w:val="759E3249"/>
    <w:rsid w:val="76C836B1"/>
    <w:rsid w:val="77AF2DA4"/>
    <w:rsid w:val="79391802"/>
    <w:rsid w:val="7B3A7B73"/>
    <w:rsid w:val="7D164643"/>
    <w:rsid w:val="7F77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3666</Words>
  <Characters>3855</Characters>
  <Lines>0</Lines>
  <Paragraphs>0</Paragraphs>
  <TotalTime>8</TotalTime>
  <ScaleCrop>false</ScaleCrop>
  <LinksUpToDate>false</LinksUpToDate>
  <CharactersWithSpaces>3865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2023-05-31T07:56:00Z</dcterms:created>
  <dc:creator>Administrator</dc:creator>
  <cp:lastModifiedBy>lenovo</cp:lastModifiedBy>
  <dcterms:modified xsi:type="dcterms:W3CDTF">2023-06-22T03:33:10Z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C1940CA84E9E40CE984A49A3FCCA1288_12</vt:lpwstr>
  </property>
</Properties>
</file>