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  <w:bookmarkStart w:id="0" w:name="_Hlk136875718"/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合水县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  <w:t>2021年度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公交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  <w:t>车及校车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运营</w:t>
      </w:r>
      <w:bookmarkEnd w:id="0"/>
      <w:r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  <w:t>补助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事前评估报告</w:t>
      </w:r>
    </w:p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（单位自评）</w:t>
      </w:r>
    </w:p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ind w:firstLine="720" w:firstLineChars="200"/>
        <w:rPr>
          <w:rFonts w:hint="default" w:ascii="楷体" w:hAnsi="楷体" w:eastAsia="楷体" w:cs="楷体"/>
          <w:b/>
          <w:color w:val="000000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项目名称：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  <w:lang w:val="en-US" w:eastAsia="zh-CN"/>
        </w:rPr>
        <w:t>2021年度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公交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  <w:lang w:val="en-US" w:eastAsia="zh-CN"/>
        </w:rPr>
        <w:t>车及校车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运营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  <w:lang w:val="en-US" w:eastAsia="zh-CN"/>
        </w:rPr>
        <w:t>补助项目</w:t>
      </w:r>
    </w:p>
    <w:p>
      <w:pPr>
        <w:widowControl/>
        <w:spacing w:line="700" w:lineRule="exact"/>
        <w:ind w:firstLine="720" w:firstLineChars="200"/>
        <w:rPr>
          <w:rFonts w:ascii="楷体" w:hAnsi="楷体" w:eastAsia="楷体" w:cs="楷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项目单位：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合水县交通运输集团有限公司</w:t>
      </w:r>
    </w:p>
    <w:p>
      <w:pPr>
        <w:widowControl/>
        <w:spacing w:line="700" w:lineRule="exact"/>
        <w:ind w:firstLine="720" w:firstLineChars="200"/>
        <w:rPr>
          <w:rFonts w:ascii="楷体" w:hAnsi="楷体" w:eastAsia="楷体" w:cs="楷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主管部门：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合水县交通运输局</w:t>
      </w:r>
    </w:p>
    <w:p>
      <w:pPr>
        <w:widowControl/>
        <w:spacing w:line="700" w:lineRule="exact"/>
        <w:ind w:firstLine="442" w:firstLineChars="100"/>
        <w:rPr>
          <w:rFonts w:ascii="楷体" w:hAnsi="楷体" w:eastAsia="楷体" w:cs="楷体"/>
          <w:b/>
          <w:color w:val="000000"/>
          <w:kern w:val="0"/>
          <w:sz w:val="44"/>
          <w:szCs w:val="44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3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月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start="0"/>
          <w:cols w:space="425" w:num="1"/>
          <w:docGrid w:type="lines" w:linePitch="312" w:charSpace="0"/>
        </w:sectPr>
      </w:pPr>
    </w:p>
    <w:p>
      <w:pPr>
        <w:spacing w:line="590" w:lineRule="exac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</w:p>
    <w:p>
      <w:pPr>
        <w:spacing w:line="590" w:lineRule="exact"/>
        <w:ind w:firstLine="720" w:firstLineChars="200"/>
        <w:jc w:val="center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合水县</w:t>
      </w:r>
      <w:bookmarkStart w:id="1" w:name="_Hlk136874999"/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城乡公交运营</w:t>
      </w:r>
      <w:bookmarkEnd w:id="1"/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项目</w:t>
      </w:r>
      <w:r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  <w:t>事前绩效评估报告</w:t>
      </w:r>
    </w:p>
    <w:p>
      <w:pPr>
        <w:spacing w:line="59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一、项目基本情况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(一)项目立项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城市公共交通是为社会公众提供基本出行服务的公益性事业，  是关系国计民生的公益性事业，是关系人民群众“衣食住行”的重大民生工程，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承担着城市经济发展、城市生态建设和社会公平正义的功能与城市发展的经济目标、生态目标和社会目标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息息相关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。城市公共交通企业能否保持正常的运营秩序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对城市居民的生产生活、城市的发展与建设以及社会的和谐与稳定都会产生影响。因此对于公交企业 而言，履行社会责任具有着行业特殊的意义。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(二)项目概况</w:t>
      </w:r>
    </w:p>
    <w:p>
      <w:pPr>
        <w:ind w:firstLine="560"/>
        <w:rPr>
          <w:rFonts w:ascii="等线" w:hAnsi="等线" w:eastAsia="等线"/>
          <w:kern w:val="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合水县交通运输集团有限公司是1998年在原县运输公司基础上改制成立的国营企业</w:t>
      </w:r>
      <w:r>
        <w:rPr>
          <w:rFonts w:hint="eastAsia" w:ascii="等线" w:hAnsi="等线" w:eastAsia="等线"/>
          <w:kern w:val="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主要经营范围为省市县级班车客运、包车客运、城市城区公交客运、出租客运、汽车租赁、道路普通货物运输、二类机动车维修保养、新能源汽车充电等业务。公司现有各类营运车辆108辆，其中：货运车辆9辆，客运班车14辆，出租车27辆，新能源电动公交车58辆（其中城区公交24辆，城乡公交34辆），经营客运线路23条，日发客运班车99个班次，全县80个建制村通客车率达到了100%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为确保公交公司正常运营，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县政府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合水县交通运输集团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有限公司每年给予定额补贴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450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万元，列入财政预算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新能源省级运营补助246万元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（1）组建事前绩效评估工作组。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合水县交通运输集团有限公司绩效评估小组人员名单：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组长：文武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成员：南宁霞、张崇杰、刘国丽、杨园、段敏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特聘专家：刘兴祥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（2）制定事前绩效评估方案。方案包括:评估对象概况、评估依据和目的、评估组织和方法、评估内容与重点、必要性。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（1）资料收集与审核。评估组在全面收集与被评估政策和项目有关的数据和资料后，进行审核与分析，认为该项目实施有利于交通发展。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）现场与非现场评估。现场评估是指评估组到现场采取勘察、询查、复核等方式,对有关情况进行调查、核实，并对所掌握的有关信息资料进行分类、整理和分析，总体意见为该项目实施具有可行性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绩效评价指标分析情况：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切实为当地人民群众出行提供保障，满足沿线群众安全出行需求，基本公共服务水平显著提升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，助推合水县交通事业发展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从经济效益评价，该项目的实施将极大地改善我县交通设施条件，对县域交通条件改善显著。对促进经济发展，路域环境水平提升发展，加快推乡村振兴和路衍经济发展具有重大意义。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从社会效益评价，该项目是民生项目，确保人民群众出行安全，加快交通运输发展具有十分重要的作用。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从可持续影响评价，该项目对全县交通运输和经济、社会发展至关重要，保障全县人民出行畅通。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3）综合评估。评估组在现场与非现场评估的基础上，选择合适的评估方法，对照评估方案中内容，对政策和项目立项必要性、投入经济性、绩效目标合理性、实施方案可行性、筹资合规性等情况进行综合评判，认为该项目具有可行性，建议纳入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年预算。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评估工作对比上年项目预算执行情况、核定当年新增费用。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评估方式：专家咨询、问卷调查、现场调研、召开座谈会方式。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评估方法：成本效益分析法、对比分析法、因素分析法、公众评判法等。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水县公共交通运输服务补贴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。项目投入成本与预期产出及效果基本匹配，预算测算较为充分，无遗漏项，在原有管理范围上细化工作标准，降低项目运营成本、保证资金使用合理有效。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。绩效目标较明确，项目预计解决的问题、完成的工作目标与我局现实需求基本匹配。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。预算编制严格按照上级文件要求，结合我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综合评估结论项目基本可行，预期产出和效果满足我局公路建设管理工作需求，建议立项实施，推荐列入202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sectPr>
          <w:pgSz w:w="11907" w:h="16838"/>
          <w:pgMar w:top="1431" w:right="1785" w:bottom="0" w:left="1785" w:header="0" w:footer="0" w:gutter="0"/>
          <w:cols w:space="720" w:num="1"/>
        </w:sect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(一)  加强城市公交运营管理和基础设施建设，充分发挥社会效益。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1、公交班次控制规范，正班正点保障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城市公交运营中，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有限公司高度重视班次考 核，对每个班次发班以前到调度室报班保证了车辆正点发出。不定期上路抽查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查班次运行情况，特别是早班车、末班车的运行时间是否规范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为城市公交规范运行奠定了良好的基础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为群众候车等车乘 车提供了方便。</w:t>
      </w:r>
    </w:p>
    <w:p>
      <w:pPr>
        <w:spacing w:line="59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2、高度重视安全生产，保障城市公交安全运行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城市公交车辆驾驶员均由安全科审核把关，并考试合格后方可上车，安全科对驾驶员动态管理， 驾驶证到期提前提示，  车辆违章即时 通报，把好“人”的因素。机务科严把车辆技术状况关，公交车定期 年审、二护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定期上修理厂例行车况检查，把好“车”的因素。双管齐下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2020 年城市公交安全生产实现佳绩。</w:t>
      </w:r>
    </w:p>
    <w:p>
      <w:pPr>
        <w:spacing w:line="59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3、抓好“三清一保”打造良好的公交车辆形象。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清理工作台，清理车体各类污渍，清理车辆及挡风玻璃张贴物 ， 把车辆卫生形象作为工作个一个重点，城市公交车辆始终保持整洁卫生，一尘不染的良好形象。</w:t>
      </w:r>
    </w:p>
    <w:p>
      <w:pPr>
        <w:spacing w:line="59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4、重视文明服务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旅客投诉率不断下降。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工作中加强驾驶员的培训教育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树立高度的服务意识，  文明用语，礼貌待客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拾金不昧， 文明服务水平显著提升。  同时对收到的旅客投诉，本着发生一起查实一起，对责任投诉严格按照《城市公交驾驶员服务规范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中的规定进行处罚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同时要与当事人进行谈话，使其认识到自己错在哪里，以后避免类似问题再次发生。对查实好的案例在驾驶员队伍中进行通报，举一反三，以儆效尤。</w:t>
      </w:r>
    </w:p>
    <w:p>
      <w:pPr>
        <w:spacing w:line="59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(二)  制度健全，提高资金有效使用率</w:t>
      </w:r>
    </w:p>
    <w:p>
      <w:pPr>
        <w:spacing w:line="59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从调研情况看，我公司都有健全的财务管理制度和资金监管制度，为项目的落地实施提供了坚实保障。从本项目实际看，  项目财政补贴资金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450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及省级补助246万元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，为城市公交的正常运营提供了坚实保障。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</w:t>
      </w:r>
      <w:bookmarkStart w:id="2" w:name="_GoBack"/>
      <w:bookmarkEnd w:id="2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>
      <w:pPr>
        <w:widowControl/>
        <w:spacing w:after="156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after="156" w:afterLines="50"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</w:p>
    <w:p>
      <w:pPr>
        <w:widowControl/>
        <w:spacing w:after="156" w:afterLines="50" w:line="600" w:lineRule="exact"/>
        <w:jc w:val="center"/>
        <w:rPr>
          <w:rFonts w:ascii="Times New Roman" w:hAnsi="Times New Roman" w:eastAsia="方正小标宋简体"/>
          <w:color w:val="00000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(合水县公交运营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补助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项目）</w:t>
      </w:r>
    </w:p>
    <w:tbl>
      <w:tblPr>
        <w:tblStyle w:val="5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6"/>
          <w:szCs w:val="5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MzI5NzQ1NTQzZjdkY2YyYTJjN2EyMzJmMzM3ZWEifQ=="/>
  </w:docVars>
  <w:rsids>
    <w:rsidRoot w:val="00EF413A"/>
    <w:rsid w:val="00017F39"/>
    <w:rsid w:val="00174CA7"/>
    <w:rsid w:val="00343150"/>
    <w:rsid w:val="003971AC"/>
    <w:rsid w:val="00404D59"/>
    <w:rsid w:val="005879D4"/>
    <w:rsid w:val="00811DAA"/>
    <w:rsid w:val="009232B3"/>
    <w:rsid w:val="00992FA6"/>
    <w:rsid w:val="00AA5AC9"/>
    <w:rsid w:val="00E1225A"/>
    <w:rsid w:val="00EF413A"/>
    <w:rsid w:val="03B60BF9"/>
    <w:rsid w:val="044C330C"/>
    <w:rsid w:val="04FA68C4"/>
    <w:rsid w:val="05F11A75"/>
    <w:rsid w:val="06874187"/>
    <w:rsid w:val="0FFD54BA"/>
    <w:rsid w:val="11036B00"/>
    <w:rsid w:val="11D84431"/>
    <w:rsid w:val="1C474970"/>
    <w:rsid w:val="1C7B7E93"/>
    <w:rsid w:val="1D864D41"/>
    <w:rsid w:val="1F671D96"/>
    <w:rsid w:val="24F77834"/>
    <w:rsid w:val="29336671"/>
    <w:rsid w:val="2CB25B52"/>
    <w:rsid w:val="306615D1"/>
    <w:rsid w:val="311C359A"/>
    <w:rsid w:val="33051C94"/>
    <w:rsid w:val="361231BE"/>
    <w:rsid w:val="36FD79CA"/>
    <w:rsid w:val="39D16409"/>
    <w:rsid w:val="3E18333B"/>
    <w:rsid w:val="40890388"/>
    <w:rsid w:val="4C4A7979"/>
    <w:rsid w:val="52D03D8D"/>
    <w:rsid w:val="559B0682"/>
    <w:rsid w:val="5B2555BE"/>
    <w:rsid w:val="5E033269"/>
    <w:rsid w:val="5E08087F"/>
    <w:rsid w:val="5EEA61D6"/>
    <w:rsid w:val="605C4EB2"/>
    <w:rsid w:val="64990483"/>
    <w:rsid w:val="69790883"/>
    <w:rsid w:val="6C054650"/>
    <w:rsid w:val="6F152DFC"/>
    <w:rsid w:val="70BE1D1A"/>
    <w:rsid w:val="75252C0E"/>
    <w:rsid w:val="77AF2DA4"/>
    <w:rsid w:val="7D164643"/>
    <w:rsid w:val="7DA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4561</Words>
  <Characters>4704</Characters>
  <Lines>29</Lines>
  <Paragraphs>8</Paragraphs>
  <TotalTime>13</TotalTime>
  <ScaleCrop>false</ScaleCrop>
  <LinksUpToDate>false</LinksUpToDate>
  <CharactersWithSpaces>4742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2023-06-05T08:37:00Z</dcterms:created>
  <dc:creator>Administrator</dc:creator>
  <cp:lastModifiedBy>WPS_1493173558</cp:lastModifiedBy>
  <dcterms:modified xsi:type="dcterms:W3CDTF">2023-06-21T12:59:15Z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C1940CA84E9E40CE984A49A3FCCA1288_12</vt:lpwstr>
  </property>
</Properties>
</file>