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720" w:lineRule="auto"/>
        <w:jc w:val="center"/>
        <w:rPr>
          <w:rFonts w:hint="eastAsia" w:ascii="宋体" w:hAnsi="宋体" w:cs="宋体"/>
          <w:b/>
          <w:bCs w:val="0"/>
          <w:color w:val="000000"/>
          <w:kern w:val="0"/>
          <w:sz w:val="52"/>
          <w:szCs w:val="52"/>
          <w:lang w:val="en-US" w:eastAsia="zh-CN"/>
        </w:rPr>
      </w:pPr>
      <w:r>
        <w:rPr>
          <w:rFonts w:hint="eastAsia" w:ascii="宋体" w:hAnsi="宋体" w:cs="宋体"/>
          <w:b/>
          <w:bCs w:val="0"/>
          <w:color w:val="000000"/>
          <w:kern w:val="0"/>
          <w:sz w:val="52"/>
          <w:szCs w:val="52"/>
          <w:lang w:val="en-US" w:eastAsia="zh-CN"/>
        </w:rPr>
        <w:t>合水县农村公路养护工程事前</w:t>
      </w:r>
    </w:p>
    <w:p>
      <w:pPr>
        <w:widowControl/>
        <w:spacing w:line="720" w:lineRule="auto"/>
        <w:jc w:val="center"/>
        <w:rPr>
          <w:rFonts w:hint="eastAsia" w:ascii="宋体" w:hAnsi="宋体" w:cs="宋体"/>
          <w:b/>
          <w:bCs w:val="0"/>
          <w:color w:val="000000"/>
          <w:kern w:val="0"/>
          <w:sz w:val="52"/>
          <w:szCs w:val="52"/>
          <w:lang w:val="en-US" w:eastAsia="zh-CN"/>
        </w:rPr>
      </w:pPr>
      <w:r>
        <w:rPr>
          <w:rFonts w:hint="eastAsia" w:ascii="宋体" w:hAnsi="宋体" w:cs="宋体"/>
          <w:b/>
          <w:bCs w:val="0"/>
          <w:color w:val="000000"/>
          <w:kern w:val="0"/>
          <w:sz w:val="52"/>
          <w:szCs w:val="52"/>
          <w:lang w:val="en-US" w:eastAsia="zh-CN"/>
        </w:rPr>
        <w:t>绩效评估报告</w:t>
      </w:r>
    </w:p>
    <w:p>
      <w:pPr>
        <w:widowControl/>
        <w:spacing w:line="720" w:lineRule="auto"/>
        <w:jc w:val="center"/>
        <w:rPr>
          <w:rFonts w:hint="eastAsia" w:ascii="宋体" w:hAnsi="宋体" w:eastAsia="宋体" w:cs="宋体"/>
          <w:b/>
          <w:bCs w:val="0"/>
          <w:color w:val="000000"/>
          <w:kern w:val="0"/>
          <w:sz w:val="52"/>
          <w:szCs w:val="52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000000"/>
          <w:kern w:val="0"/>
          <w:sz w:val="52"/>
          <w:szCs w:val="52"/>
          <w:lang w:val="en-US" w:eastAsia="zh-CN"/>
        </w:rPr>
        <w:t>20</w:t>
      </w:r>
      <w:r>
        <w:rPr>
          <w:rFonts w:hint="eastAsia" w:ascii="宋体" w:hAnsi="宋体" w:cs="宋体"/>
          <w:b/>
          <w:bCs w:val="0"/>
          <w:color w:val="000000"/>
          <w:kern w:val="0"/>
          <w:sz w:val="52"/>
          <w:szCs w:val="52"/>
          <w:lang w:val="en-US" w:eastAsia="zh-CN"/>
        </w:rPr>
        <w:t>21</w:t>
      </w:r>
      <w:r>
        <w:rPr>
          <w:rFonts w:hint="eastAsia" w:ascii="宋体" w:hAnsi="宋体" w:eastAsia="宋体" w:cs="宋体"/>
          <w:b/>
          <w:bCs w:val="0"/>
          <w:color w:val="000000"/>
          <w:kern w:val="0"/>
          <w:sz w:val="52"/>
          <w:szCs w:val="52"/>
          <w:lang w:val="en-US" w:eastAsia="zh-CN"/>
        </w:rPr>
        <w:t>年度</w:t>
      </w:r>
    </w:p>
    <w:p>
      <w:pPr>
        <w:widowControl/>
        <w:tabs>
          <w:tab w:val="left" w:pos="5783"/>
        </w:tabs>
        <w:spacing w:line="700" w:lineRule="exact"/>
        <w:jc w:val="left"/>
        <w:rPr>
          <w:rFonts w:hint="eastAsia" w:ascii="Times New Roman" w:hAnsi="Times New Roman" w:eastAsia="方正小标宋简体"/>
          <w:bCs/>
          <w:color w:val="000000"/>
          <w:kern w:val="0"/>
          <w:sz w:val="40"/>
          <w:szCs w:val="40"/>
          <w:lang w:val="en-US" w:eastAsia="zh-CN"/>
        </w:rPr>
      </w:pPr>
      <w:r>
        <w:rPr>
          <w:rFonts w:hint="eastAsia" w:ascii="Times New Roman" w:hAnsi="Times New Roman" w:eastAsia="方正小标宋简体"/>
          <w:bCs/>
          <w:color w:val="000000"/>
          <w:kern w:val="0"/>
          <w:sz w:val="40"/>
          <w:szCs w:val="40"/>
          <w:lang w:val="en-US" w:eastAsia="zh-CN"/>
        </w:rPr>
        <w:tab/>
      </w:r>
    </w:p>
    <w:p>
      <w:pPr>
        <w:widowControl/>
        <w:tabs>
          <w:tab w:val="left" w:pos="5783"/>
        </w:tabs>
        <w:spacing w:line="700" w:lineRule="exact"/>
        <w:jc w:val="left"/>
        <w:rPr>
          <w:rFonts w:hint="eastAsia" w:ascii="Times New Roman" w:hAnsi="Times New Roman" w:eastAsia="方正小标宋简体"/>
          <w:bCs/>
          <w:color w:val="000000"/>
          <w:kern w:val="0"/>
          <w:sz w:val="40"/>
          <w:szCs w:val="40"/>
          <w:lang w:val="en-US" w:eastAsia="zh-CN"/>
        </w:rPr>
      </w:pPr>
    </w:p>
    <w:p>
      <w:pPr>
        <w:widowControl/>
        <w:tabs>
          <w:tab w:val="left" w:pos="5783"/>
        </w:tabs>
        <w:spacing w:line="700" w:lineRule="exact"/>
        <w:jc w:val="left"/>
        <w:rPr>
          <w:rFonts w:hint="eastAsia" w:ascii="Times New Roman" w:hAnsi="Times New Roman" w:eastAsia="方正小标宋简体"/>
          <w:bCs/>
          <w:color w:val="000000"/>
          <w:kern w:val="0"/>
          <w:sz w:val="40"/>
          <w:szCs w:val="40"/>
          <w:lang w:val="en-US" w:eastAsia="zh-CN"/>
        </w:rPr>
      </w:pPr>
    </w:p>
    <w:p>
      <w:pPr>
        <w:widowControl/>
        <w:spacing w:line="700" w:lineRule="exact"/>
        <w:jc w:val="center"/>
        <w:rPr>
          <w:rFonts w:hint="eastAsia" w:ascii="Times New Roman" w:hAnsi="Times New Roman" w:eastAsia="方正小标宋简体"/>
          <w:bCs/>
          <w:color w:val="000000"/>
          <w:kern w:val="0"/>
          <w:sz w:val="40"/>
          <w:szCs w:val="40"/>
          <w:lang w:val="en-US" w:eastAsia="zh-CN"/>
        </w:rPr>
      </w:pPr>
    </w:p>
    <w:p>
      <w:pPr>
        <w:widowControl/>
        <w:spacing w:line="700" w:lineRule="exact"/>
        <w:jc w:val="center"/>
        <w:rPr>
          <w:rFonts w:hint="eastAsia" w:ascii="Times New Roman" w:hAnsi="Times New Roman" w:eastAsia="方正小标宋简体"/>
          <w:bCs/>
          <w:color w:val="000000"/>
          <w:kern w:val="0"/>
          <w:sz w:val="40"/>
          <w:szCs w:val="40"/>
          <w:lang w:val="en-US" w:eastAsia="zh-CN"/>
        </w:rPr>
      </w:pPr>
    </w:p>
    <w:p>
      <w:pPr>
        <w:widowControl/>
        <w:spacing w:line="700" w:lineRule="exact"/>
        <w:jc w:val="center"/>
        <w:rPr>
          <w:rFonts w:hint="eastAsia" w:ascii="Times New Roman" w:hAnsi="Times New Roman" w:eastAsia="方正小标宋简体"/>
          <w:bCs/>
          <w:color w:val="000000"/>
          <w:kern w:val="0"/>
          <w:sz w:val="40"/>
          <w:szCs w:val="40"/>
          <w:lang w:val="en-US" w:eastAsia="zh-CN"/>
        </w:rPr>
      </w:pPr>
    </w:p>
    <w:p>
      <w:pPr>
        <w:widowControl/>
        <w:spacing w:line="700" w:lineRule="exact"/>
        <w:jc w:val="center"/>
        <w:rPr>
          <w:rFonts w:hint="eastAsia" w:ascii="Times New Roman" w:hAnsi="Times New Roman" w:eastAsia="方正小标宋简体"/>
          <w:bCs/>
          <w:color w:val="000000"/>
          <w:kern w:val="0"/>
          <w:sz w:val="40"/>
          <w:szCs w:val="40"/>
          <w:lang w:val="en-US" w:eastAsia="zh-CN"/>
        </w:rPr>
      </w:pPr>
    </w:p>
    <w:p>
      <w:pPr>
        <w:widowControl/>
        <w:spacing w:line="700" w:lineRule="exact"/>
        <w:ind w:firstLine="1440" w:firstLineChars="400"/>
        <w:jc w:val="both"/>
        <w:rPr>
          <w:rFonts w:hint="eastAsia" w:ascii="楷体" w:hAnsi="楷体" w:eastAsia="楷体" w:cs="楷体"/>
          <w:b/>
          <w:bCs w:val="0"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6"/>
          <w:szCs w:val="36"/>
          <w:lang w:val="en-US" w:eastAsia="zh-CN"/>
        </w:rPr>
        <w:t>项目名称：</w:t>
      </w:r>
      <w:r>
        <w:rPr>
          <w:rFonts w:hint="eastAsia" w:ascii="楷体" w:hAnsi="楷体" w:eastAsia="楷体" w:cs="楷体"/>
          <w:b/>
          <w:bCs w:val="0"/>
          <w:color w:val="000000"/>
          <w:kern w:val="0"/>
          <w:sz w:val="36"/>
          <w:szCs w:val="36"/>
          <w:lang w:val="en-US" w:eastAsia="zh-CN"/>
        </w:rPr>
        <w:t>合水县2021年农村公路养护工程</w:t>
      </w:r>
    </w:p>
    <w:p>
      <w:pPr>
        <w:widowControl/>
        <w:spacing w:line="700" w:lineRule="exact"/>
        <w:ind w:firstLine="1440" w:firstLineChars="400"/>
        <w:jc w:val="both"/>
        <w:rPr>
          <w:rFonts w:hint="eastAsia" w:ascii="楷体" w:hAnsi="楷体" w:eastAsia="楷体" w:cs="楷体"/>
          <w:b/>
          <w:bCs w:val="0"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6"/>
          <w:szCs w:val="36"/>
          <w:lang w:val="en-US" w:eastAsia="zh-CN"/>
        </w:rPr>
        <w:t>项目单位：</w:t>
      </w:r>
      <w:r>
        <w:rPr>
          <w:rFonts w:hint="eastAsia" w:ascii="楷体" w:hAnsi="楷体" w:eastAsia="楷体" w:cs="楷体"/>
          <w:b/>
          <w:bCs w:val="0"/>
          <w:color w:val="000000"/>
          <w:kern w:val="0"/>
          <w:sz w:val="36"/>
          <w:szCs w:val="36"/>
          <w:lang w:val="en-US" w:eastAsia="zh-CN"/>
        </w:rPr>
        <w:t>合水县公路局</w:t>
      </w:r>
    </w:p>
    <w:p>
      <w:pPr>
        <w:widowControl/>
        <w:spacing w:line="700" w:lineRule="exact"/>
        <w:ind w:firstLine="1440" w:firstLineChars="400"/>
        <w:jc w:val="both"/>
        <w:rPr>
          <w:rFonts w:hint="eastAsia" w:ascii="楷体" w:hAnsi="楷体" w:eastAsia="楷体" w:cs="楷体"/>
          <w:b/>
          <w:bCs w:val="0"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6"/>
          <w:szCs w:val="36"/>
          <w:lang w:val="en-US" w:eastAsia="zh-CN"/>
        </w:rPr>
        <w:t>主管部门：</w:t>
      </w:r>
      <w:r>
        <w:rPr>
          <w:rFonts w:hint="eastAsia" w:ascii="楷体" w:hAnsi="楷体" w:eastAsia="楷体" w:cs="楷体"/>
          <w:b/>
          <w:bCs w:val="0"/>
          <w:color w:val="000000"/>
          <w:kern w:val="0"/>
          <w:sz w:val="36"/>
          <w:szCs w:val="36"/>
          <w:lang w:val="en-US" w:eastAsia="zh-CN"/>
        </w:rPr>
        <w:t>合水县交通运输局</w:t>
      </w:r>
    </w:p>
    <w:p>
      <w:pPr>
        <w:widowControl/>
        <w:spacing w:line="700" w:lineRule="exact"/>
        <w:ind w:firstLine="442" w:firstLineChars="100"/>
        <w:jc w:val="both"/>
        <w:rPr>
          <w:rFonts w:hint="eastAsia" w:ascii="楷体" w:hAnsi="楷体" w:eastAsia="楷体" w:cs="楷体"/>
          <w:b/>
          <w:bCs w:val="0"/>
          <w:color w:val="000000"/>
          <w:kern w:val="0"/>
          <w:sz w:val="44"/>
          <w:szCs w:val="44"/>
          <w:lang w:val="en-US" w:eastAsia="zh-CN"/>
        </w:rPr>
      </w:pPr>
    </w:p>
    <w:p>
      <w:pPr>
        <w:widowControl/>
        <w:spacing w:line="700" w:lineRule="exact"/>
        <w:jc w:val="center"/>
        <w:rPr>
          <w:rFonts w:hint="eastAsia" w:ascii="Times New Roman" w:hAnsi="Times New Roman" w:eastAsia="方正小标宋简体"/>
          <w:bCs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/>
          <w:bCs/>
          <w:color w:val="000000"/>
          <w:kern w:val="0"/>
          <w:sz w:val="44"/>
          <w:szCs w:val="44"/>
          <w:lang w:val="en-US" w:eastAsia="zh-CN"/>
        </w:rPr>
        <w:t>2021年5月</w:t>
      </w:r>
    </w:p>
    <w:p>
      <w:pPr>
        <w:widowControl/>
        <w:spacing w:line="700" w:lineRule="exact"/>
        <w:jc w:val="center"/>
        <w:rPr>
          <w:rFonts w:hint="eastAsia" w:ascii="Times New Roman" w:hAnsi="Times New Roman" w:eastAsia="方正小标宋简体"/>
          <w:bCs/>
          <w:color w:val="000000"/>
          <w:kern w:val="0"/>
          <w:sz w:val="40"/>
          <w:szCs w:val="40"/>
          <w:lang w:val="en-US" w:eastAsia="zh-CN"/>
        </w:rPr>
        <w:sectPr>
          <w:footerReference r:id="rId3" w:type="default"/>
          <w:pgSz w:w="11906" w:h="16838"/>
          <w:pgMar w:top="1440" w:right="1800" w:bottom="1440" w:left="1633" w:header="851" w:footer="992" w:gutter="0"/>
          <w:pgNumType w:fmt="decimal" w:start="0"/>
          <w:cols w:space="425" w:num="1"/>
          <w:docGrid w:type="lines" w:linePitch="312" w:charSpace="0"/>
        </w:sectPr>
      </w:pPr>
    </w:p>
    <w:p>
      <w:pPr>
        <w:spacing w:line="590" w:lineRule="exact"/>
        <w:jc w:val="both"/>
        <w:rPr>
          <w:rFonts w:hint="eastAsia" w:ascii="Times New Roman" w:hAnsi="Times New Roman" w:eastAsia="方正小标宋简体"/>
          <w:color w:val="000000"/>
          <w:kern w:val="0"/>
          <w:sz w:val="40"/>
          <w:szCs w:val="40"/>
          <w:lang w:val="en-US" w:eastAsia="zh-CN"/>
        </w:rPr>
      </w:pPr>
    </w:p>
    <w:p>
      <w:pPr>
        <w:spacing w:line="590" w:lineRule="exact"/>
        <w:ind w:firstLine="800" w:firstLineChars="200"/>
        <w:jc w:val="center"/>
        <w:rPr>
          <w:rFonts w:ascii="Times New Roman" w:hAnsi="Times New Roman" w:eastAsia="方正小标宋简体"/>
          <w:bCs/>
          <w:color w:val="000000"/>
          <w:kern w:val="0"/>
          <w:sz w:val="40"/>
          <w:szCs w:val="40"/>
        </w:rPr>
      </w:pPr>
      <w:r>
        <w:rPr>
          <w:rFonts w:hint="eastAsia" w:ascii="Times New Roman" w:hAnsi="Times New Roman" w:eastAsia="方正小标宋简体"/>
          <w:bCs/>
          <w:color w:val="000000"/>
          <w:kern w:val="0"/>
          <w:sz w:val="40"/>
          <w:szCs w:val="40"/>
          <w:lang w:val="en-US" w:eastAsia="zh-CN"/>
        </w:rPr>
        <w:t>合水县2021年农村公路养护工程</w:t>
      </w:r>
      <w:r>
        <w:rPr>
          <w:rFonts w:ascii="Times New Roman" w:hAnsi="Times New Roman" w:eastAsia="方正小标宋简体"/>
          <w:bCs/>
          <w:color w:val="000000"/>
          <w:kern w:val="0"/>
          <w:sz w:val="40"/>
          <w:szCs w:val="40"/>
        </w:rPr>
        <w:t>事前</w:t>
      </w:r>
    </w:p>
    <w:p>
      <w:pPr>
        <w:spacing w:line="590" w:lineRule="exact"/>
        <w:ind w:firstLine="800" w:firstLineChars="200"/>
        <w:jc w:val="center"/>
        <w:rPr>
          <w:rFonts w:ascii="Times New Roman" w:hAnsi="Times New Roman" w:eastAsia="方正小标宋简体"/>
          <w:bCs/>
          <w:color w:val="000000"/>
          <w:kern w:val="0"/>
          <w:sz w:val="40"/>
          <w:szCs w:val="40"/>
        </w:rPr>
      </w:pPr>
      <w:r>
        <w:rPr>
          <w:rFonts w:ascii="Times New Roman" w:hAnsi="Times New Roman" w:eastAsia="方正小标宋简体"/>
          <w:bCs/>
          <w:color w:val="000000"/>
          <w:kern w:val="0"/>
          <w:sz w:val="40"/>
          <w:szCs w:val="40"/>
        </w:rPr>
        <w:t>绩效评估报告</w:t>
      </w:r>
    </w:p>
    <w:p>
      <w:pPr>
        <w:spacing w:line="590" w:lineRule="exact"/>
        <w:ind w:firstLine="640" w:firstLineChars="200"/>
        <w:jc w:val="left"/>
        <w:rPr>
          <w:rFonts w:ascii="Times New Roman" w:hAnsi="Times New Roman" w:eastAsia="黑体"/>
          <w:bCs/>
          <w:color w:val="000000"/>
          <w:kern w:val="0"/>
        </w:rPr>
      </w:pPr>
      <w:r>
        <w:rPr>
          <w:rFonts w:ascii="Times New Roman" w:hAnsi="Times New Roman" w:eastAsia="黑体"/>
          <w:bCs/>
          <w:color w:val="000000"/>
          <w:kern w:val="0"/>
          <w:sz w:val="32"/>
          <w:szCs w:val="32"/>
        </w:rPr>
        <w:t>一、评估对象</w:t>
      </w:r>
    </w:p>
    <w:p>
      <w:pPr>
        <w:widowControl/>
        <w:spacing w:line="700" w:lineRule="exact"/>
        <w:ind w:firstLine="640" w:firstLineChars="200"/>
        <w:jc w:val="both"/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项目名称：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合水县2021年农村公路养护工程</w:t>
      </w:r>
    </w:p>
    <w:p>
      <w:pPr>
        <w:widowControl/>
        <w:spacing w:line="700" w:lineRule="exact"/>
        <w:ind w:firstLine="640" w:firstLineChars="200"/>
        <w:jc w:val="both"/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主管预算部门：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合水县交通运输局</w:t>
      </w:r>
    </w:p>
    <w:p>
      <w:pPr>
        <w:widowControl/>
        <w:spacing w:line="700" w:lineRule="exact"/>
        <w:ind w:firstLine="640" w:firstLineChars="200"/>
        <w:jc w:val="both"/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项目绩效目标：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合水县2021年农村公路养护工程</w:t>
      </w:r>
    </w:p>
    <w:p>
      <w:pPr>
        <w:spacing w:line="590" w:lineRule="exact"/>
        <w:ind w:firstLine="640" w:firstLineChars="200"/>
        <w:jc w:val="left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项目资金总额及构成：</w:t>
      </w:r>
    </w:p>
    <w:p>
      <w:pPr>
        <w:spacing w:line="590" w:lineRule="exact"/>
        <w:ind w:firstLine="640" w:firstLineChars="200"/>
        <w:jc w:val="left"/>
        <w:rPr>
          <w:rFonts w:hint="default" w:ascii="Times New Roman" w:hAnsi="Times New Roman" w:eastAsia="仿宋_GB2312"/>
          <w:color w:val="000000"/>
          <w:kern w:val="0"/>
          <w:szCs w:val="21"/>
          <w:lang w:val="en-US" w:eastAsia="zh-CN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其中：申请财政</w:t>
      </w:r>
      <w:bookmarkStart w:id="0" w:name="_GoBack"/>
      <w:bookmarkEnd w:id="0"/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资金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1600.82万元</w:t>
      </w:r>
    </w:p>
    <w:p>
      <w:pPr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项目概况：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合水县2021年农村公路养护工程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经合水县交通运输局合交建字</w:t>
      </w:r>
      <w:r>
        <w:rPr>
          <w:rFonts w:ascii="Arial" w:hAnsi="Arial" w:eastAsia="宋体" w:cs="Arial"/>
          <w:i w:val="0"/>
          <w:iCs w:val="0"/>
          <w:caps w:val="0"/>
          <w:color w:val="222222"/>
          <w:spacing w:val="0"/>
          <w:sz w:val="27"/>
          <w:szCs w:val="27"/>
          <w:shd w:val="clear" w:fill="FFFFFF"/>
        </w:rPr>
        <w:t>〔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2021</w:t>
      </w:r>
      <w:r>
        <w:rPr>
          <w:rFonts w:ascii="Arial" w:hAnsi="Arial" w:eastAsia="宋体" w:cs="Arial"/>
          <w:i w:val="0"/>
          <w:iCs w:val="0"/>
          <w:caps w:val="0"/>
          <w:color w:val="222222"/>
          <w:spacing w:val="0"/>
          <w:sz w:val="27"/>
          <w:szCs w:val="27"/>
          <w:shd w:val="clear" w:fill="FFFFFF"/>
        </w:rPr>
        <w:t>〕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34号文件批准实施，</w:t>
      </w:r>
      <w:r>
        <w:rPr>
          <w:rFonts w:hint="eastAsia" w:ascii="仿宋" w:hAnsi="仿宋" w:eastAsia="仿宋" w:cs="仿宋"/>
          <w:sz w:val="32"/>
          <w:szCs w:val="32"/>
        </w:rPr>
        <w:t>全县农村公路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1367.23</w:t>
      </w:r>
      <w:r>
        <w:rPr>
          <w:rFonts w:hint="eastAsia" w:ascii="仿宋" w:hAnsi="仿宋" w:eastAsia="仿宋" w:cs="仿宋"/>
          <w:sz w:val="32"/>
          <w:szCs w:val="32"/>
        </w:rPr>
        <w:t>公里，计划对全县</w:t>
      </w:r>
      <w:r>
        <w:rPr>
          <w:rFonts w:hint="eastAsia" w:ascii="仿宋" w:hAnsi="仿宋" w:eastAsia="仿宋"/>
          <w:sz w:val="32"/>
          <w:szCs w:val="32"/>
        </w:rPr>
        <w:t>农村公路养护工程</w:t>
      </w:r>
      <w:r>
        <w:rPr>
          <w:rFonts w:hint="eastAsia" w:ascii="仿宋" w:hAnsi="仿宋" w:eastAsia="仿宋" w:cs="仿宋"/>
          <w:sz w:val="32"/>
          <w:szCs w:val="32"/>
        </w:rPr>
        <w:t>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个标段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通过招标单价的方式对今年的公路养护</w:t>
      </w:r>
      <w:r>
        <w:rPr>
          <w:rFonts w:hint="eastAsia" w:ascii="仿宋" w:hAnsi="仿宋" w:eastAsia="仿宋"/>
          <w:sz w:val="32"/>
          <w:szCs w:val="32"/>
        </w:rPr>
        <w:t>及小修保养工程</w:t>
      </w:r>
      <w:r>
        <w:rPr>
          <w:rFonts w:hint="eastAsia" w:ascii="仿宋" w:hAnsi="仿宋" w:eastAsia="仿宋" w:cs="仿宋"/>
          <w:sz w:val="32"/>
          <w:szCs w:val="32"/>
        </w:rPr>
        <w:t>进行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公开</w:t>
      </w:r>
      <w:r>
        <w:rPr>
          <w:rFonts w:hint="eastAsia" w:ascii="仿宋" w:hAnsi="仿宋" w:eastAsia="仿宋" w:cs="仿宋"/>
          <w:sz w:val="32"/>
          <w:szCs w:val="32"/>
        </w:rPr>
        <w:t>招标，确定有资质的专业公司进行维修养护。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</w:p>
    <w:p>
      <w:pPr>
        <w:spacing w:line="590" w:lineRule="exact"/>
        <w:ind w:firstLine="640" w:firstLineChars="200"/>
        <w:jc w:val="left"/>
        <w:rPr>
          <w:rFonts w:ascii="Times New Roman" w:hAnsi="Times New Roman" w:eastAsia="黑体"/>
          <w:bCs/>
          <w:color w:val="000000"/>
          <w:kern w:val="0"/>
          <w:sz w:val="32"/>
          <w:szCs w:val="32"/>
        </w:rPr>
      </w:pPr>
      <w:r>
        <w:rPr>
          <w:rFonts w:ascii="Times New Roman" w:hAnsi="Times New Roman" w:eastAsia="黑体"/>
          <w:bCs/>
          <w:color w:val="000000"/>
          <w:kern w:val="0"/>
          <w:sz w:val="32"/>
          <w:szCs w:val="32"/>
        </w:rPr>
        <w:t>二、事前绩效评估的基本情况</w:t>
      </w:r>
    </w:p>
    <w:p>
      <w:pPr>
        <w:spacing w:line="590" w:lineRule="exact"/>
        <w:ind w:firstLine="640" w:firstLineChars="200"/>
        <w:jc w:val="left"/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（一）评估程序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。</w:t>
      </w:r>
    </w:p>
    <w:p>
      <w:pPr>
        <w:spacing w:line="590" w:lineRule="exact"/>
        <w:ind w:firstLine="640" w:firstLineChars="200"/>
        <w:jc w:val="left"/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事前绩效评估分为事前绩效评估准备、事前绩效评估实施、事前绩效评估报告编制三个阶段。</w:t>
      </w:r>
    </w:p>
    <w:p>
      <w:pPr>
        <w:spacing w:line="590" w:lineRule="exact"/>
        <w:ind w:firstLine="640" w:firstLineChars="200"/>
        <w:jc w:val="left"/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1、事前绩效评估准备阶段</w:t>
      </w:r>
    </w:p>
    <w:p>
      <w:pPr>
        <w:spacing w:line="590" w:lineRule="exact"/>
        <w:ind w:firstLine="640" w:firstLineChars="200"/>
        <w:jc w:val="left"/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组建事前绩效评估工作组。</w:t>
      </w:r>
    </w:p>
    <w:p>
      <w:pPr>
        <w:spacing w:line="590" w:lineRule="exact"/>
        <w:ind w:firstLine="640" w:firstLineChars="200"/>
        <w:jc w:val="left"/>
        <w:rPr>
          <w:rFonts w:hint="default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交通运输局绩效评估小组人员名单：</w:t>
      </w:r>
    </w:p>
    <w:p>
      <w:pPr>
        <w:spacing w:line="590" w:lineRule="exact"/>
        <w:ind w:firstLine="640" w:firstLineChars="200"/>
        <w:jc w:val="left"/>
        <w:rPr>
          <w:rFonts w:hint="default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组长：杨锐龙</w:t>
      </w:r>
    </w:p>
    <w:p>
      <w:pPr>
        <w:spacing w:line="590" w:lineRule="exact"/>
        <w:ind w:firstLine="640" w:firstLineChars="200"/>
        <w:jc w:val="left"/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成员：石道杰、南岳鹏、姬 殷、梁  选、王守迪</w:t>
      </w:r>
    </w:p>
    <w:p>
      <w:pPr>
        <w:spacing w:line="590" w:lineRule="exact"/>
        <w:ind w:firstLine="640" w:firstLineChars="200"/>
        <w:jc w:val="left"/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特聘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专家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刘兴祥</w:t>
      </w:r>
    </w:p>
    <w:p>
      <w:pPr>
        <w:spacing w:line="590" w:lineRule="exact"/>
        <w:ind w:firstLine="640" w:firstLineChars="200"/>
        <w:jc w:val="left"/>
        <w:rPr>
          <w:rFonts w:hint="default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主要职责和任务：评估小组主要任务是对本单位申报的项目进行充分分析，对各项指标进行逐一对照，采取现场检查、翻阅资料，召开评估会议的方式，对项目立项的合理性、投入的经济性、绩效目标合理性、实施方案可行性、资金使用合规性、预算编制准确性进行全方位的评估。</w:t>
      </w:r>
    </w:p>
    <w:p>
      <w:pPr>
        <w:spacing w:line="590" w:lineRule="exact"/>
        <w:ind w:firstLine="640" w:firstLineChars="200"/>
        <w:jc w:val="left"/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制定事前绩效评估方案。方案包括:评估对象概况、评估依据和目的、评估组织和方法、评估内容与重点、必要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性。</w:t>
      </w:r>
    </w:p>
    <w:p>
      <w:pPr>
        <w:spacing w:line="590" w:lineRule="exact"/>
        <w:ind w:firstLine="640" w:firstLineChars="200"/>
        <w:jc w:val="left"/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2、事前绩效评估实施阶段</w:t>
      </w:r>
    </w:p>
    <w:p>
      <w:pPr>
        <w:spacing w:line="590" w:lineRule="exact"/>
        <w:ind w:firstLine="640" w:firstLineChars="200"/>
        <w:jc w:val="left"/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资料收集与审核。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评估组在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全面收集与被评估政策和项目有关的数据和资料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后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，进行审核与分析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认为该项目实施有利于交通发展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。</w:t>
      </w:r>
    </w:p>
    <w:p>
      <w:pPr>
        <w:spacing w:line="590" w:lineRule="exact"/>
        <w:ind w:firstLine="640" w:firstLineChars="200"/>
        <w:jc w:val="left"/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现场与非现场评估。现场评估是指评估组到现场采取勘察、询查、复核等方式,对有关情况进行调查、核实，并对所掌握的有关信息资料进行分类、整理和分析，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总体意见为该项目实施具有可行性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。非现场评估是指评估组在听取相关方汇报或介绍后，对所提交的有关资料进行分类、整理与分析，提出评估意见。</w:t>
      </w:r>
    </w:p>
    <w:p>
      <w:pPr>
        <w:spacing w:line="590" w:lineRule="exact"/>
        <w:ind w:firstLine="640" w:firstLineChars="200"/>
        <w:jc w:val="left"/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绩效评价指标分析情况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/>
        </w:rPr>
        <w:t>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截止绩效评价日，该项目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eastAsia="zh-CN"/>
        </w:rPr>
        <w:t>切实为当地产业运输提供保障，满足沿线群众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val="en-US" w:eastAsia="zh-CN"/>
        </w:rPr>
        <w:t>安全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eastAsia="zh-CN"/>
        </w:rPr>
        <w:t>出行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val="en-US" w:eastAsia="zh-CN"/>
        </w:rPr>
        <w:t>需求，基本公共服务水平显著提升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，助推乡村振兴和路衍经济发展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val="en-US" w:eastAsia="zh-CN"/>
        </w:rPr>
        <w:t>项目无有责投诉。</w:t>
      </w:r>
    </w:p>
    <w:p>
      <w:pPr>
        <w:spacing w:line="590" w:lineRule="exact"/>
        <w:ind w:firstLine="640" w:firstLineChars="200"/>
        <w:jc w:val="left"/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从经济效益评价，该项目的实施将极大地改善我县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/>
        </w:rPr>
        <w:t>交通基础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设施运行条件，对县域交通条件改善显著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。对促进经济发展，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/>
        </w:rPr>
        <w:t>路域环境水平提升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发展，加快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推乡村振兴和路衍经济发展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具有重大意义。</w:t>
      </w:r>
    </w:p>
    <w:p>
      <w:pPr>
        <w:spacing w:line="590" w:lineRule="exact"/>
        <w:ind w:firstLine="640" w:firstLineChars="200"/>
        <w:jc w:val="left"/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从社会效益评价，该项目是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基础性工程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考核重点项目，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/>
        </w:rPr>
        <w:t>保障公路安全畅通，确保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群众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出行安全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，加快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推乡村振兴和路衍经济发展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具有十分重要的作用。</w:t>
      </w:r>
    </w:p>
    <w:p>
      <w:pPr>
        <w:spacing w:line="590" w:lineRule="exact"/>
        <w:ind w:firstLine="640" w:firstLineChars="200"/>
        <w:jc w:val="left"/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从可持续影响评价，该项目对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/>
        </w:rPr>
        <w:t>全县交通运输和经济、社会发展至关重要，保障全县客、货、邮安全畅通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。同时带动路衍经济发展。</w:t>
      </w:r>
    </w:p>
    <w:p>
      <w:pPr>
        <w:spacing w:line="590" w:lineRule="exact"/>
        <w:ind w:firstLine="640" w:firstLineChars="200"/>
        <w:jc w:val="left"/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综合评估。评估组在现场与非现场评估的基础上，选择合适的评估方法，对照评估方案中内容，对政策和项目立项必要性、投入经济性、绩效目标合理性、实施方案可行性、筹资合规性等情况进行综合评判，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认为该项目具有可行性，建议纳入2021年预算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。</w:t>
      </w:r>
    </w:p>
    <w:p>
      <w:pPr>
        <w:numPr>
          <w:ilvl w:val="0"/>
          <w:numId w:val="1"/>
        </w:numPr>
        <w:spacing w:line="590" w:lineRule="exact"/>
        <w:ind w:firstLine="640" w:firstLineChars="200"/>
        <w:jc w:val="left"/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评估思路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。</w:t>
      </w:r>
    </w:p>
    <w:p>
      <w:pPr>
        <w:spacing w:line="590" w:lineRule="exact"/>
        <w:ind w:firstLine="640" w:firstLineChars="200"/>
        <w:jc w:val="left"/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评估工作对比上年项目预算执行情况、核定当年新增费用。</w:t>
      </w:r>
    </w:p>
    <w:p>
      <w:pPr>
        <w:numPr>
          <w:ilvl w:val="0"/>
          <w:numId w:val="1"/>
        </w:numPr>
        <w:spacing w:line="590" w:lineRule="exact"/>
        <w:ind w:left="0" w:leftChars="0" w:firstLine="640" w:firstLineChars="200"/>
        <w:jc w:val="left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评估方式、方法。</w:t>
      </w:r>
    </w:p>
    <w:p>
      <w:pPr>
        <w:spacing w:line="590" w:lineRule="exact"/>
        <w:ind w:firstLine="640" w:firstLineChars="200"/>
        <w:jc w:val="left"/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评估方式：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专家咨询、问卷调查、现场调研、召开座谈会方式。</w:t>
      </w:r>
    </w:p>
    <w:p>
      <w:pPr>
        <w:spacing w:line="590" w:lineRule="exact"/>
        <w:ind w:firstLine="640" w:firstLineChars="200"/>
        <w:jc w:val="left"/>
        <w:rPr>
          <w:rFonts w:ascii="Times New Roman" w:hAnsi="Times New Roman" w:eastAsia="仿宋_GB2312"/>
          <w:color w:val="000000"/>
          <w:kern w:val="0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评估方法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成本效益分析法、对比分析法、因素分析法、公众评判法等。</w:t>
      </w:r>
    </w:p>
    <w:p>
      <w:pPr>
        <w:spacing w:line="590" w:lineRule="exact"/>
        <w:ind w:firstLine="640" w:firstLineChars="200"/>
        <w:jc w:val="left"/>
        <w:rPr>
          <w:rFonts w:ascii="Times New Roman" w:hAnsi="Times New Roman" w:eastAsia="黑体"/>
          <w:bCs/>
          <w:color w:val="000000"/>
          <w:kern w:val="0"/>
          <w:sz w:val="32"/>
          <w:szCs w:val="32"/>
        </w:rPr>
      </w:pPr>
      <w:r>
        <w:rPr>
          <w:rFonts w:ascii="Times New Roman" w:hAnsi="Times New Roman" w:eastAsia="黑体"/>
          <w:bCs/>
          <w:color w:val="000000"/>
          <w:kern w:val="0"/>
          <w:sz w:val="32"/>
          <w:szCs w:val="32"/>
        </w:rPr>
        <w:t>三、评估内容和结论</w:t>
      </w:r>
    </w:p>
    <w:p>
      <w:pPr>
        <w:spacing w:line="590" w:lineRule="exact"/>
        <w:ind w:firstLine="640" w:firstLineChars="200"/>
        <w:jc w:val="left"/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（一）立项必要性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。项目符合《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合水县发展规划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》对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城市管理工作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的相关要求，属财政支持范围。</w:t>
      </w:r>
    </w:p>
    <w:p>
      <w:pPr>
        <w:spacing w:line="590" w:lineRule="exact"/>
        <w:ind w:firstLine="640" w:firstLineChars="200"/>
        <w:jc w:val="left"/>
        <w:rPr>
          <w:rFonts w:hint="eastAsia" w:ascii="Times New Roman" w:hAnsi="Times New Roman" w:eastAsia="仿宋_GB2312"/>
          <w:color w:val="000000"/>
          <w:kern w:val="0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（二）投入经济性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。项目投入成本与预期产出及效果基本匹配，预算测算较为充分，无遗漏项，在原有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管理范围上细化工作标准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，降低项目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运营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成本、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保证资金使用合理有效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。</w:t>
      </w:r>
    </w:p>
    <w:p>
      <w:pPr>
        <w:spacing w:line="590" w:lineRule="exact"/>
        <w:ind w:firstLine="640" w:firstLineChars="200"/>
        <w:jc w:val="left"/>
        <w:rPr>
          <w:rFonts w:hint="eastAsia" w:ascii="Times New Roman" w:hAnsi="Times New Roman" w:eastAsia="仿宋_GB2312"/>
          <w:color w:val="000000"/>
          <w:kern w:val="0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（三）绩效目标合理性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。绩效目标较明确，项目预计解决的问题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完成的工作目标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与我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局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现实需求基本匹配。</w:t>
      </w:r>
    </w:p>
    <w:p>
      <w:pPr>
        <w:spacing w:line="590" w:lineRule="exact"/>
        <w:ind w:firstLine="640" w:firstLineChars="200"/>
        <w:jc w:val="left"/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（四）实施方案可行性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。项目实施计划安排合理，项目工作内容、方法、进度安排较合理，保障措施相对完备。</w:t>
      </w:r>
    </w:p>
    <w:p>
      <w:pPr>
        <w:spacing w:line="590" w:lineRule="exact"/>
        <w:ind w:firstLine="640" w:firstLineChars="200"/>
        <w:jc w:val="left"/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（五）筹资合规性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。资金来源符合相关规定，资金支出方式较合理，风险可控。</w:t>
      </w:r>
    </w:p>
    <w:p>
      <w:pPr>
        <w:spacing w:line="590" w:lineRule="exact"/>
        <w:ind w:firstLine="640" w:firstLineChars="200"/>
        <w:jc w:val="left"/>
        <w:rPr>
          <w:rFonts w:hint="default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（六）预算编制准确性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。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预算编制严格按照上级文件要求，结合我局上年度运行实际编制，预算编制准确。</w:t>
      </w:r>
    </w:p>
    <w:p>
      <w:pPr>
        <w:spacing w:line="590" w:lineRule="exact"/>
        <w:ind w:firstLine="640" w:firstLineChars="200"/>
        <w:jc w:val="left"/>
        <w:rPr>
          <w:rFonts w:hint="default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（七）总体结论。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综合评估结论项目基本可行，预期产出和效果满足我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局公路养护管理工作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需求，建议立项实施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推荐列入2021年预算。</w:t>
      </w:r>
    </w:p>
    <w:p>
      <w:pPr>
        <w:spacing w:line="590" w:lineRule="exact"/>
        <w:ind w:firstLine="640" w:firstLineChars="200"/>
        <w:jc w:val="left"/>
        <w:rPr>
          <w:rFonts w:ascii="Times New Roman" w:hAnsi="Times New Roman" w:eastAsia="黑体"/>
          <w:bCs/>
          <w:color w:val="000000"/>
          <w:kern w:val="0"/>
          <w:sz w:val="32"/>
          <w:szCs w:val="32"/>
        </w:rPr>
      </w:pPr>
      <w:r>
        <w:rPr>
          <w:rFonts w:ascii="Times New Roman" w:hAnsi="Times New Roman" w:eastAsia="黑体"/>
          <w:bCs/>
          <w:color w:val="000000"/>
          <w:kern w:val="0"/>
          <w:sz w:val="32"/>
          <w:szCs w:val="32"/>
        </w:rPr>
        <w:t>四、评估的相关建议</w:t>
      </w:r>
    </w:p>
    <w:p>
      <w:pPr>
        <w:spacing w:line="590" w:lineRule="exact"/>
        <w:ind w:firstLine="640" w:firstLineChars="200"/>
        <w:jc w:val="left"/>
        <w:rPr>
          <w:rFonts w:hint="default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建议对我局的管理职责和范围做详细了解。</w:t>
      </w:r>
    </w:p>
    <w:p>
      <w:pPr>
        <w:spacing w:line="590" w:lineRule="exact"/>
        <w:ind w:firstLine="640" w:firstLineChars="200"/>
        <w:jc w:val="left"/>
        <w:rPr>
          <w:rFonts w:ascii="Times New Roman" w:hAnsi="Times New Roman" w:eastAsia="黑体"/>
          <w:bCs/>
          <w:color w:val="000000"/>
          <w:kern w:val="0"/>
          <w:sz w:val="32"/>
          <w:szCs w:val="32"/>
        </w:rPr>
      </w:pPr>
      <w:r>
        <w:rPr>
          <w:rFonts w:ascii="Times New Roman" w:hAnsi="Times New Roman" w:eastAsia="黑体"/>
          <w:bCs/>
          <w:color w:val="000000"/>
          <w:kern w:val="0"/>
          <w:sz w:val="32"/>
          <w:szCs w:val="32"/>
        </w:rPr>
        <w:t>五、其他需要说明的问题</w:t>
      </w:r>
    </w:p>
    <w:p>
      <w:pPr>
        <w:spacing w:line="590" w:lineRule="exact"/>
        <w:ind w:firstLine="640" w:firstLineChars="200"/>
        <w:jc w:val="left"/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项目计划总投资包含施工费、设计勘察费等与项目建设相关的所有费用，仅为初步概算,具体以实际组织实施支出科目为准。</w:t>
      </w:r>
    </w:p>
    <w:p>
      <w:pPr>
        <w:spacing w:line="590" w:lineRule="exact"/>
        <w:ind w:firstLine="640" w:firstLineChars="200"/>
        <w:jc w:val="left"/>
        <w:rPr>
          <w:rFonts w:ascii="Times New Roman" w:hAnsi="Times New Roman" w:eastAsia="黑体"/>
          <w:bCs/>
          <w:color w:val="000000"/>
          <w:kern w:val="0"/>
          <w:sz w:val="32"/>
          <w:szCs w:val="32"/>
        </w:rPr>
      </w:pPr>
      <w:r>
        <w:rPr>
          <w:rFonts w:ascii="Times New Roman" w:hAnsi="Times New Roman" w:eastAsia="黑体"/>
          <w:bCs/>
          <w:color w:val="000000"/>
          <w:kern w:val="0"/>
          <w:sz w:val="32"/>
          <w:szCs w:val="32"/>
        </w:rPr>
        <w:t>六、评估人员签名</w:t>
      </w:r>
    </w:p>
    <w:p>
      <w:pPr>
        <w:spacing w:line="590" w:lineRule="exact"/>
        <w:ind w:firstLine="640" w:firstLineChars="200"/>
        <w:jc w:val="left"/>
        <w:rPr>
          <w:rFonts w:ascii="Times New Roman" w:hAnsi="Times New Roman" w:eastAsia="黑体"/>
          <w:bCs/>
          <w:color w:val="000000"/>
          <w:kern w:val="0"/>
          <w:sz w:val="32"/>
          <w:szCs w:val="32"/>
        </w:rPr>
      </w:pPr>
      <w:r>
        <w:rPr>
          <w:rFonts w:ascii="Times New Roman" w:hAnsi="Times New Roman" w:eastAsia="黑体"/>
          <w:bCs/>
          <w:color w:val="000000"/>
          <w:kern w:val="0"/>
          <w:sz w:val="32"/>
          <w:szCs w:val="32"/>
        </w:rPr>
        <w:t>七、附件材料</w:t>
      </w:r>
    </w:p>
    <w:p>
      <w:pPr>
        <w:spacing w:line="590" w:lineRule="exact"/>
        <w:ind w:firstLine="640" w:firstLineChars="200"/>
        <w:jc w:val="left"/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1.立项依据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。</w:t>
      </w:r>
    </w:p>
    <w:p>
      <w:pPr>
        <w:spacing w:line="590" w:lineRule="exact"/>
        <w:ind w:firstLine="640" w:firstLineChars="200"/>
        <w:jc w:val="left"/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2.相关政策和部门职能规划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。</w:t>
      </w:r>
    </w:p>
    <w:p>
      <w:pPr>
        <w:spacing w:line="590" w:lineRule="exact"/>
        <w:ind w:firstLine="640" w:firstLineChars="200"/>
        <w:jc w:val="left"/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3.立项调研报告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。</w:t>
      </w:r>
    </w:p>
    <w:p>
      <w:pPr>
        <w:spacing w:line="590" w:lineRule="exact"/>
        <w:ind w:firstLine="640" w:firstLineChars="200"/>
        <w:jc w:val="left"/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4.政策、项目可行性报告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。</w:t>
      </w:r>
    </w:p>
    <w:p>
      <w:pPr>
        <w:spacing w:line="590" w:lineRule="exact"/>
        <w:ind w:firstLine="640" w:firstLineChars="200"/>
        <w:jc w:val="left"/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5.资金筹措方案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。</w:t>
      </w:r>
    </w:p>
    <w:p>
      <w:pPr>
        <w:spacing w:line="590" w:lineRule="exact"/>
        <w:ind w:firstLine="640" w:firstLineChars="200"/>
        <w:jc w:val="left"/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6.政策、项目实施方案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。</w:t>
      </w:r>
    </w:p>
    <w:p>
      <w:pPr>
        <w:spacing w:line="590" w:lineRule="exact"/>
        <w:ind w:firstLine="640" w:firstLineChars="200"/>
        <w:jc w:val="left"/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7.相关业务、财务、财产、内控等保障措施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。</w:t>
      </w:r>
    </w:p>
    <w:p>
      <w:pPr>
        <w:spacing w:line="590" w:lineRule="exact"/>
        <w:ind w:firstLine="640" w:firstLineChars="200"/>
        <w:jc w:val="left"/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8.绩效目标申报表和绩效标准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。</w:t>
      </w:r>
    </w:p>
    <w:p>
      <w:pPr>
        <w:spacing w:line="590" w:lineRule="exact"/>
        <w:ind w:firstLine="640" w:firstLineChars="200"/>
        <w:jc w:val="left"/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9.事前绩效评估专家组评估意见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。</w:t>
      </w:r>
    </w:p>
    <w:p>
      <w:pPr>
        <w:spacing w:line="590" w:lineRule="exact"/>
        <w:ind w:firstLine="640" w:firstLineChars="200"/>
        <w:jc w:val="left"/>
        <w:rPr>
          <w:rFonts w:ascii="Times New Roman" w:hAnsi="Times New Roman" w:eastAsia="仿宋"/>
          <w:b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10.县财政局认为还需补充的其他材料。</w:t>
      </w:r>
    </w:p>
    <w:p/>
    <w:p/>
    <w:p/>
    <w:p/>
    <w:p/>
    <w:p/>
    <w:p/>
    <w:p/>
    <w:p/>
    <w:p/>
    <w:p/>
    <w:p/>
    <w:p>
      <w:pPr>
        <w:widowControl/>
        <w:spacing w:after="120" w:afterLines="50" w:line="600" w:lineRule="exact"/>
        <w:jc w:val="left"/>
        <w:rPr>
          <w:rFonts w:ascii="黑体" w:hAnsi="黑体" w:eastAsia="黑体"/>
          <w:color w:val="000000"/>
          <w:kern w:val="0"/>
          <w:sz w:val="32"/>
          <w:szCs w:val="32"/>
        </w:rPr>
      </w:pPr>
    </w:p>
    <w:p>
      <w:pPr>
        <w:widowControl/>
        <w:spacing w:after="120" w:afterLines="50" w:line="600" w:lineRule="exact"/>
        <w:jc w:val="left"/>
        <w:rPr>
          <w:rFonts w:ascii="黑体" w:hAnsi="黑体" w:eastAsia="黑体"/>
          <w:color w:val="000000"/>
          <w:kern w:val="0"/>
          <w:sz w:val="32"/>
          <w:szCs w:val="32"/>
        </w:rPr>
      </w:pPr>
    </w:p>
    <w:p>
      <w:pPr>
        <w:widowControl/>
        <w:spacing w:after="120" w:afterLines="50" w:line="600" w:lineRule="exact"/>
        <w:jc w:val="left"/>
        <w:rPr>
          <w:rFonts w:ascii="黑体" w:hAnsi="黑体" w:eastAsia="黑体"/>
          <w:color w:val="000000"/>
          <w:kern w:val="0"/>
          <w:sz w:val="32"/>
          <w:szCs w:val="32"/>
        </w:rPr>
      </w:pPr>
    </w:p>
    <w:p>
      <w:pPr>
        <w:widowControl/>
        <w:spacing w:after="120" w:afterLines="50" w:line="600" w:lineRule="exact"/>
        <w:jc w:val="left"/>
        <w:rPr>
          <w:rFonts w:ascii="Times New Roman" w:hAnsi="Times New Roman" w:eastAsia="方正小标宋简体"/>
          <w:color w:val="000000"/>
          <w:kern w:val="0"/>
          <w:sz w:val="40"/>
          <w:szCs w:val="40"/>
        </w:rPr>
      </w:pPr>
      <w:r>
        <w:rPr>
          <w:rFonts w:ascii="黑体" w:hAnsi="黑体" w:eastAsia="黑体"/>
          <w:color w:val="000000"/>
          <w:kern w:val="0"/>
          <w:sz w:val="32"/>
          <w:szCs w:val="32"/>
        </w:rPr>
        <w:t>附1：</w:t>
      </w:r>
    </w:p>
    <w:p>
      <w:pPr>
        <w:widowControl/>
        <w:spacing w:line="700" w:lineRule="exact"/>
        <w:ind w:firstLine="800" w:firstLineChars="200"/>
        <w:jc w:val="center"/>
        <w:rPr>
          <w:rFonts w:hint="eastAsia" w:ascii="Times New Roman" w:hAnsi="Times New Roman" w:eastAsia="方正小标宋简体"/>
          <w:color w:val="000000"/>
          <w:sz w:val="40"/>
          <w:szCs w:val="40"/>
          <w:lang w:val="en-US" w:eastAsia="zh-CN"/>
        </w:rPr>
      </w:pPr>
      <w:r>
        <w:rPr>
          <w:rFonts w:ascii="Times New Roman" w:hAnsi="Times New Roman" w:eastAsia="方正小标宋简体"/>
          <w:color w:val="000000"/>
          <w:kern w:val="0"/>
          <w:sz w:val="40"/>
          <w:szCs w:val="40"/>
        </w:rPr>
        <w:t>事前绩效评估指标及评分表</w:t>
      </w:r>
      <w:r>
        <w:rPr>
          <w:rFonts w:hint="eastAsia" w:ascii="Times New Roman" w:hAnsi="Times New Roman" w:eastAsia="方正小标宋简体"/>
          <w:color w:val="000000"/>
          <w:kern w:val="0"/>
          <w:sz w:val="40"/>
          <w:szCs w:val="40"/>
          <w:lang w:val="en-US" w:eastAsia="zh-CN"/>
        </w:rPr>
        <w:t>(合水县2021年农村公路养护工程）</w:t>
      </w:r>
    </w:p>
    <w:tbl>
      <w:tblPr>
        <w:tblStyle w:val="4"/>
        <w:tblW w:w="9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446"/>
        <w:gridCol w:w="1155"/>
        <w:gridCol w:w="525"/>
        <w:gridCol w:w="709"/>
        <w:gridCol w:w="2410"/>
        <w:gridCol w:w="3096"/>
        <w:gridCol w:w="4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tblHeader/>
          <w:jc w:val="center"/>
        </w:trPr>
        <w:tc>
          <w:tcPr>
            <w:tcW w:w="717" w:type="dxa"/>
            <w:shd w:val="clear" w:color="auto" w:fill="FFFFFF"/>
            <w:noWrap w:val="0"/>
            <w:vAlign w:val="center"/>
          </w:tcPr>
          <w:p>
            <w:pPr>
              <w:widowControl/>
              <w:ind w:left="-63" w:leftChars="-30" w:right="-63" w:rightChars="-30"/>
              <w:jc w:val="center"/>
              <w:rPr>
                <w:rFonts w:ascii="Times New Roman" w:hAnsi="Times New Roman" w:eastAsia="黑体"/>
                <w:color w:val="000000"/>
                <w:spacing w:val="-8"/>
                <w:kern w:val="0"/>
                <w:sz w:val="22"/>
              </w:rPr>
            </w:pPr>
            <w:r>
              <w:rPr>
                <w:rFonts w:ascii="Times New Roman" w:hAnsi="Times New Roman" w:eastAsia="黑体"/>
                <w:color w:val="000000"/>
                <w:spacing w:val="-8"/>
                <w:kern w:val="0"/>
                <w:sz w:val="22"/>
              </w:rPr>
              <w:t>一级</w:t>
            </w:r>
          </w:p>
          <w:p>
            <w:pPr>
              <w:widowControl/>
              <w:ind w:left="-63" w:leftChars="-30" w:right="-63" w:rightChars="-30"/>
              <w:jc w:val="center"/>
              <w:rPr>
                <w:rFonts w:ascii="Times New Roman" w:hAnsi="Times New Roman" w:eastAsia="黑体"/>
                <w:color w:val="000000"/>
                <w:spacing w:val="-8"/>
                <w:kern w:val="0"/>
                <w:sz w:val="22"/>
              </w:rPr>
            </w:pPr>
            <w:r>
              <w:rPr>
                <w:rFonts w:ascii="Times New Roman" w:hAnsi="Times New Roman" w:eastAsia="黑体"/>
                <w:color w:val="000000"/>
                <w:spacing w:val="-8"/>
                <w:kern w:val="0"/>
                <w:sz w:val="22"/>
              </w:rPr>
              <w:t>指标</w:t>
            </w:r>
          </w:p>
        </w:tc>
        <w:tc>
          <w:tcPr>
            <w:tcW w:w="446" w:type="dxa"/>
            <w:tcBorders>
              <w:left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ind w:left="-63" w:leftChars="-30" w:right="-63" w:rightChars="-30"/>
              <w:jc w:val="center"/>
              <w:rPr>
                <w:rFonts w:ascii="Times New Roman" w:hAnsi="Times New Roman" w:eastAsia="黑体"/>
                <w:color w:val="000000"/>
                <w:spacing w:val="-8"/>
                <w:kern w:val="0"/>
                <w:sz w:val="22"/>
              </w:rPr>
            </w:pPr>
            <w:r>
              <w:rPr>
                <w:rFonts w:ascii="Times New Roman" w:hAnsi="Times New Roman" w:eastAsia="黑体"/>
                <w:color w:val="000000"/>
                <w:spacing w:val="-8"/>
                <w:kern w:val="0"/>
                <w:sz w:val="22"/>
              </w:rPr>
              <w:t>分值</w:t>
            </w:r>
          </w:p>
        </w:tc>
        <w:tc>
          <w:tcPr>
            <w:tcW w:w="1155" w:type="dxa"/>
            <w:tcBorders>
              <w:left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ind w:left="-63" w:leftChars="-30" w:right="-63" w:rightChars="-30"/>
              <w:jc w:val="center"/>
              <w:rPr>
                <w:rFonts w:ascii="Times New Roman" w:hAnsi="Times New Roman" w:eastAsia="黑体"/>
                <w:color w:val="000000"/>
                <w:spacing w:val="-8"/>
                <w:kern w:val="0"/>
                <w:sz w:val="22"/>
              </w:rPr>
            </w:pPr>
            <w:r>
              <w:rPr>
                <w:rFonts w:ascii="Times New Roman" w:hAnsi="Times New Roman" w:eastAsia="黑体"/>
                <w:color w:val="000000"/>
                <w:spacing w:val="-8"/>
                <w:kern w:val="0"/>
                <w:sz w:val="22"/>
              </w:rPr>
              <w:t>二级指标</w:t>
            </w:r>
          </w:p>
        </w:tc>
        <w:tc>
          <w:tcPr>
            <w:tcW w:w="525" w:type="dxa"/>
            <w:tcBorders>
              <w:left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ind w:left="-63" w:leftChars="-30" w:right="-63" w:rightChars="-30"/>
              <w:jc w:val="center"/>
              <w:rPr>
                <w:rFonts w:ascii="Times New Roman" w:hAnsi="Times New Roman" w:eastAsia="黑体"/>
                <w:color w:val="000000"/>
                <w:spacing w:val="-8"/>
                <w:kern w:val="0"/>
                <w:sz w:val="22"/>
              </w:rPr>
            </w:pPr>
            <w:r>
              <w:rPr>
                <w:rFonts w:ascii="Times New Roman" w:hAnsi="Times New Roman" w:eastAsia="黑体"/>
                <w:color w:val="000000"/>
                <w:spacing w:val="-8"/>
                <w:kern w:val="0"/>
                <w:sz w:val="22"/>
              </w:rPr>
              <w:t>分值</w:t>
            </w:r>
          </w:p>
        </w:tc>
        <w:tc>
          <w:tcPr>
            <w:tcW w:w="709" w:type="dxa"/>
            <w:tcBorders>
              <w:left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ind w:left="-63" w:leftChars="-30" w:right="-63" w:rightChars="-30"/>
              <w:jc w:val="center"/>
              <w:rPr>
                <w:rFonts w:ascii="Times New Roman" w:hAnsi="Times New Roman" w:eastAsia="黑体"/>
                <w:color w:val="000000"/>
                <w:spacing w:val="-8"/>
                <w:kern w:val="0"/>
                <w:sz w:val="22"/>
              </w:rPr>
            </w:pPr>
            <w:r>
              <w:rPr>
                <w:rFonts w:ascii="Times New Roman" w:hAnsi="Times New Roman" w:eastAsia="黑体"/>
                <w:color w:val="000000"/>
                <w:spacing w:val="-8"/>
                <w:kern w:val="0"/>
                <w:sz w:val="22"/>
              </w:rPr>
              <w:t>目标值</w:t>
            </w:r>
          </w:p>
        </w:tc>
        <w:tc>
          <w:tcPr>
            <w:tcW w:w="2410" w:type="dxa"/>
            <w:tcBorders>
              <w:left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ind w:left="-63" w:leftChars="-30" w:right="-63" w:rightChars="-30"/>
              <w:jc w:val="center"/>
              <w:rPr>
                <w:rFonts w:ascii="Times New Roman" w:hAnsi="Times New Roman" w:eastAsia="黑体"/>
                <w:color w:val="000000"/>
                <w:spacing w:val="-8"/>
                <w:kern w:val="0"/>
                <w:sz w:val="22"/>
              </w:rPr>
            </w:pPr>
            <w:r>
              <w:rPr>
                <w:rFonts w:ascii="Times New Roman" w:hAnsi="Times New Roman" w:eastAsia="黑体"/>
                <w:color w:val="000000"/>
                <w:spacing w:val="-8"/>
                <w:kern w:val="0"/>
                <w:sz w:val="22"/>
              </w:rPr>
              <w:t>评估要素</w:t>
            </w:r>
          </w:p>
        </w:tc>
        <w:tc>
          <w:tcPr>
            <w:tcW w:w="3096" w:type="dxa"/>
            <w:tcBorders>
              <w:left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ind w:left="-63" w:leftChars="-30" w:right="-63" w:rightChars="-30"/>
              <w:jc w:val="center"/>
              <w:rPr>
                <w:rFonts w:ascii="Times New Roman" w:hAnsi="Times New Roman" w:eastAsia="黑体"/>
                <w:color w:val="000000"/>
                <w:spacing w:val="-8"/>
                <w:kern w:val="0"/>
                <w:sz w:val="22"/>
              </w:rPr>
            </w:pPr>
            <w:r>
              <w:rPr>
                <w:rFonts w:ascii="Times New Roman" w:hAnsi="Times New Roman" w:eastAsia="黑体"/>
                <w:color w:val="000000"/>
                <w:spacing w:val="-8"/>
                <w:kern w:val="0"/>
                <w:sz w:val="22"/>
              </w:rPr>
              <w:t>评分标准</w:t>
            </w:r>
          </w:p>
        </w:tc>
        <w:tc>
          <w:tcPr>
            <w:tcW w:w="464" w:type="dxa"/>
            <w:tcBorders>
              <w:left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ind w:left="-63" w:leftChars="-30" w:right="-63" w:rightChars="-30"/>
              <w:jc w:val="center"/>
              <w:rPr>
                <w:rFonts w:ascii="Times New Roman" w:hAnsi="Times New Roman" w:eastAsia="黑体"/>
                <w:color w:val="000000"/>
                <w:spacing w:val="-8"/>
                <w:kern w:val="0"/>
                <w:sz w:val="22"/>
              </w:rPr>
            </w:pPr>
            <w:r>
              <w:rPr>
                <w:rFonts w:ascii="Times New Roman" w:hAnsi="Times New Roman" w:eastAsia="黑体"/>
                <w:color w:val="000000"/>
                <w:spacing w:val="-8"/>
                <w:kern w:val="0"/>
                <w:sz w:val="22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717" w:type="dxa"/>
            <w:vMerge w:val="restart"/>
            <w:tcBorders>
              <w:top w:val="nil"/>
            </w:tcBorders>
            <w:noWrap w:val="0"/>
            <w:vAlign w:val="center"/>
          </w:tcPr>
          <w:p>
            <w:pPr>
              <w:widowControl/>
              <w:ind w:left="-63" w:leftChars="-30" w:right="-63" w:rightChars="-3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spacing w:val="-8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spacing w:val="-8"/>
                <w:kern w:val="0"/>
                <w:sz w:val="22"/>
              </w:rPr>
              <w:t>立项必要性</w:t>
            </w:r>
          </w:p>
        </w:tc>
        <w:tc>
          <w:tcPr>
            <w:tcW w:w="446" w:type="dxa"/>
            <w:vMerge w:val="restart"/>
            <w:tcBorders>
              <w:top w:val="nil"/>
              <w:lef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25</w:t>
            </w:r>
          </w:p>
        </w:tc>
        <w:tc>
          <w:tcPr>
            <w:tcW w:w="1155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42" w:leftChars="-20" w:right="-42" w:rightChars="-20"/>
              <w:jc w:val="center"/>
              <w:rPr>
                <w:rFonts w:ascii="Times New Roman" w:hAnsi="Times New Roman" w:eastAsia="仿宋_GB2312"/>
                <w:color w:val="000000"/>
                <w:spacing w:val="-12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spacing w:val="-12"/>
                <w:kern w:val="0"/>
                <w:sz w:val="22"/>
              </w:rPr>
              <w:t>政策相关性</w:t>
            </w:r>
          </w:p>
        </w:tc>
        <w:tc>
          <w:tcPr>
            <w:tcW w:w="525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6</w:t>
            </w:r>
          </w:p>
        </w:tc>
        <w:tc>
          <w:tcPr>
            <w:tcW w:w="709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相关</w:t>
            </w:r>
          </w:p>
        </w:tc>
        <w:tc>
          <w:tcPr>
            <w:tcW w:w="2410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①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与国家政策和规划相关；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②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与我县行业发展规划相关。</w:t>
            </w:r>
          </w:p>
        </w:tc>
        <w:tc>
          <w:tcPr>
            <w:tcW w:w="3096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满足评价要素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①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得指标分值的50%；满足评价要素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②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得指标分值的50%，否则不得分。</w:t>
            </w:r>
          </w:p>
        </w:tc>
        <w:tc>
          <w:tcPr>
            <w:tcW w:w="464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717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widowControl/>
              <w:ind w:left="-63" w:leftChars="-30" w:right="-63" w:rightChars="-30"/>
              <w:jc w:val="left"/>
              <w:rPr>
                <w:rFonts w:ascii="Times New Roman" w:hAnsi="Times New Roman" w:eastAsia="仿宋_GB2312"/>
                <w:b/>
                <w:bCs/>
                <w:color w:val="000000"/>
                <w:spacing w:val="-8"/>
                <w:kern w:val="0"/>
                <w:sz w:val="22"/>
              </w:rPr>
            </w:pPr>
          </w:p>
        </w:tc>
        <w:tc>
          <w:tcPr>
            <w:tcW w:w="446" w:type="dxa"/>
            <w:vMerge w:val="continue"/>
            <w:tcBorders>
              <w:top w:val="nil"/>
              <w:lef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</w:p>
        </w:tc>
        <w:tc>
          <w:tcPr>
            <w:tcW w:w="1155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42" w:leftChars="-20" w:right="-42" w:rightChars="-20"/>
              <w:jc w:val="center"/>
              <w:rPr>
                <w:rFonts w:ascii="Times New Roman" w:hAnsi="Times New Roman" w:eastAsia="仿宋_GB2312"/>
                <w:color w:val="000000"/>
                <w:spacing w:val="-12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spacing w:val="-12"/>
                <w:kern w:val="0"/>
                <w:sz w:val="22"/>
              </w:rPr>
              <w:t>职能相关性</w:t>
            </w:r>
          </w:p>
        </w:tc>
        <w:tc>
          <w:tcPr>
            <w:tcW w:w="525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3</w:t>
            </w:r>
          </w:p>
        </w:tc>
        <w:tc>
          <w:tcPr>
            <w:tcW w:w="709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相关</w:t>
            </w:r>
          </w:p>
        </w:tc>
        <w:tc>
          <w:tcPr>
            <w:tcW w:w="2410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与主管部门职能、规划及年度重点工作相关。</w:t>
            </w:r>
          </w:p>
        </w:tc>
        <w:tc>
          <w:tcPr>
            <w:tcW w:w="3096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满足评价要素得全部指标分值，否则不得分。</w:t>
            </w:r>
          </w:p>
        </w:tc>
        <w:tc>
          <w:tcPr>
            <w:tcW w:w="464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  <w:jc w:val="center"/>
        </w:trPr>
        <w:tc>
          <w:tcPr>
            <w:tcW w:w="717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widowControl/>
              <w:ind w:left="-63" w:leftChars="-30" w:right="-63" w:rightChars="-30"/>
              <w:jc w:val="left"/>
              <w:rPr>
                <w:rFonts w:ascii="Times New Roman" w:hAnsi="Times New Roman" w:eastAsia="仿宋_GB2312"/>
                <w:b/>
                <w:bCs/>
                <w:color w:val="000000"/>
                <w:spacing w:val="-8"/>
                <w:kern w:val="0"/>
                <w:sz w:val="22"/>
              </w:rPr>
            </w:pPr>
          </w:p>
        </w:tc>
        <w:tc>
          <w:tcPr>
            <w:tcW w:w="446" w:type="dxa"/>
            <w:vMerge w:val="continue"/>
            <w:tcBorders>
              <w:top w:val="nil"/>
              <w:lef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</w:p>
        </w:tc>
        <w:tc>
          <w:tcPr>
            <w:tcW w:w="1155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42" w:leftChars="-20" w:right="-42" w:rightChars="-20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spacing w:val="-12"/>
                <w:kern w:val="0"/>
                <w:sz w:val="22"/>
              </w:rPr>
              <w:t>需求相关性</w:t>
            </w:r>
          </w:p>
        </w:tc>
        <w:tc>
          <w:tcPr>
            <w:tcW w:w="525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8</w:t>
            </w:r>
          </w:p>
        </w:tc>
        <w:tc>
          <w:tcPr>
            <w:tcW w:w="709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相关</w:t>
            </w:r>
          </w:p>
        </w:tc>
        <w:tc>
          <w:tcPr>
            <w:tcW w:w="2410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仿宋_GB2312"/>
                <w:color w:val="000000"/>
                <w:spacing w:val="-8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-8"/>
                <w:kern w:val="0"/>
                <w:sz w:val="22"/>
              </w:rPr>
              <w:t>①</w:t>
            </w:r>
            <w:r>
              <w:rPr>
                <w:rFonts w:ascii="Times New Roman" w:hAnsi="Times New Roman" w:eastAsia="仿宋_GB2312"/>
                <w:color w:val="000000"/>
                <w:spacing w:val="-8"/>
                <w:kern w:val="0"/>
                <w:sz w:val="22"/>
              </w:rPr>
              <w:t>项目具有迫切的现实需求；</w:t>
            </w:r>
            <w:r>
              <w:rPr>
                <w:rFonts w:ascii="Times New Roman" w:hAnsi="Times New Roman"/>
                <w:color w:val="000000"/>
                <w:spacing w:val="-8"/>
                <w:kern w:val="0"/>
                <w:sz w:val="22"/>
              </w:rPr>
              <w:t>②</w:t>
            </w:r>
            <w:r>
              <w:rPr>
                <w:rFonts w:ascii="Times New Roman" w:hAnsi="Times New Roman" w:eastAsia="仿宋_GB2312"/>
                <w:color w:val="000000"/>
                <w:spacing w:val="-8"/>
                <w:kern w:val="0"/>
                <w:sz w:val="22"/>
              </w:rPr>
              <w:t>项目不具有替代性；</w:t>
            </w:r>
            <w:r>
              <w:rPr>
                <w:rFonts w:ascii="Times New Roman" w:hAnsi="Times New Roman"/>
                <w:color w:val="000000"/>
                <w:spacing w:val="-8"/>
                <w:kern w:val="0"/>
                <w:sz w:val="22"/>
              </w:rPr>
              <w:t>③</w:t>
            </w:r>
            <w:r>
              <w:rPr>
                <w:rFonts w:ascii="Times New Roman" w:hAnsi="Times New Roman" w:eastAsia="仿宋_GB2312"/>
                <w:color w:val="000000"/>
                <w:spacing w:val="-8"/>
                <w:kern w:val="0"/>
                <w:sz w:val="22"/>
              </w:rPr>
              <w:t>项目有确定的服务对象或受益对象。</w:t>
            </w:r>
          </w:p>
        </w:tc>
        <w:tc>
          <w:tcPr>
            <w:tcW w:w="3096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满足评价要素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①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得指标分值的40%；满足评价要素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②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得指标分值的30% ；满足评价要素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③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得指标分值的30%。</w:t>
            </w:r>
          </w:p>
        </w:tc>
        <w:tc>
          <w:tcPr>
            <w:tcW w:w="464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atLeast"/>
          <w:jc w:val="center"/>
        </w:trPr>
        <w:tc>
          <w:tcPr>
            <w:tcW w:w="717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widowControl/>
              <w:ind w:left="-63" w:leftChars="-30" w:right="-63" w:rightChars="-30"/>
              <w:jc w:val="left"/>
              <w:rPr>
                <w:rFonts w:ascii="Times New Roman" w:hAnsi="Times New Roman" w:eastAsia="仿宋_GB2312"/>
                <w:b/>
                <w:bCs/>
                <w:color w:val="000000"/>
                <w:spacing w:val="-8"/>
                <w:kern w:val="0"/>
                <w:sz w:val="22"/>
              </w:rPr>
            </w:pPr>
          </w:p>
        </w:tc>
        <w:tc>
          <w:tcPr>
            <w:tcW w:w="446" w:type="dxa"/>
            <w:vMerge w:val="continue"/>
            <w:tcBorders>
              <w:top w:val="nil"/>
              <w:lef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</w:p>
        </w:tc>
        <w:tc>
          <w:tcPr>
            <w:tcW w:w="1155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财政投入相关性</w:t>
            </w:r>
          </w:p>
        </w:tc>
        <w:tc>
          <w:tcPr>
            <w:tcW w:w="525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8</w:t>
            </w:r>
          </w:p>
        </w:tc>
        <w:tc>
          <w:tcPr>
            <w:tcW w:w="709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相关</w:t>
            </w:r>
          </w:p>
        </w:tc>
        <w:tc>
          <w:tcPr>
            <w:tcW w:w="2410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①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项目具有公共性，属于公共财政支持范围（</w:t>
            </w: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2"/>
              </w:rPr>
              <w:t>此项为否决性核心指标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）；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②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属于县级支出责任（</w:t>
            </w: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2"/>
              </w:rPr>
              <w:t>此项为否决性核心指标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）。</w:t>
            </w:r>
          </w:p>
        </w:tc>
        <w:tc>
          <w:tcPr>
            <w:tcW w:w="3096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满足评价要素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①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得指标分值的50%，否则</w:t>
            </w: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2"/>
              </w:rPr>
              <w:t>评估结论直接为“不予支持”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；满足评价要素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②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得指标分值的50%，否则</w:t>
            </w: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2"/>
              </w:rPr>
              <w:t>评估结论直接为“不予支持”。</w:t>
            </w:r>
          </w:p>
        </w:tc>
        <w:tc>
          <w:tcPr>
            <w:tcW w:w="464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717" w:type="dxa"/>
            <w:vMerge w:val="restart"/>
            <w:tcBorders>
              <w:top w:val="nil"/>
            </w:tcBorders>
            <w:noWrap w:val="0"/>
            <w:vAlign w:val="center"/>
          </w:tcPr>
          <w:p>
            <w:pPr>
              <w:widowControl/>
              <w:ind w:left="-63" w:leftChars="-30" w:right="-63" w:rightChars="-3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spacing w:val="-8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spacing w:val="-8"/>
                <w:kern w:val="0"/>
                <w:sz w:val="22"/>
              </w:rPr>
              <w:t>投入经济性</w:t>
            </w:r>
          </w:p>
        </w:tc>
        <w:tc>
          <w:tcPr>
            <w:tcW w:w="446" w:type="dxa"/>
            <w:vMerge w:val="restart"/>
            <w:tcBorders>
              <w:top w:val="nil"/>
              <w:left w:val="nil"/>
            </w:tcBorders>
            <w:noWrap w:val="0"/>
            <w:vAlign w:val="center"/>
          </w:tcPr>
          <w:p>
            <w:pPr>
              <w:widowControl/>
              <w:ind w:left="-42" w:leftChars="-20" w:right="-42" w:rightChars="-20"/>
              <w:jc w:val="center"/>
              <w:rPr>
                <w:rFonts w:ascii="Times New Roman" w:hAnsi="Times New Roman" w:eastAsia="仿宋_GB2312"/>
                <w:color w:val="000000"/>
                <w:spacing w:val="-12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spacing w:val="-12"/>
                <w:kern w:val="0"/>
                <w:sz w:val="22"/>
              </w:rPr>
              <w:t>20</w:t>
            </w:r>
          </w:p>
        </w:tc>
        <w:tc>
          <w:tcPr>
            <w:tcW w:w="1155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42" w:leftChars="-20" w:right="-42" w:rightChars="-20"/>
              <w:jc w:val="center"/>
              <w:rPr>
                <w:rFonts w:ascii="Times New Roman" w:hAnsi="Times New Roman" w:eastAsia="仿宋_GB2312"/>
                <w:color w:val="000000"/>
                <w:spacing w:val="-12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spacing w:val="-12"/>
                <w:kern w:val="0"/>
                <w:sz w:val="22"/>
              </w:rPr>
              <w:t>投入产出合理性</w:t>
            </w:r>
          </w:p>
        </w:tc>
        <w:tc>
          <w:tcPr>
            <w:tcW w:w="525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8</w:t>
            </w:r>
          </w:p>
        </w:tc>
        <w:tc>
          <w:tcPr>
            <w:tcW w:w="709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合理</w:t>
            </w:r>
          </w:p>
        </w:tc>
        <w:tc>
          <w:tcPr>
            <w:tcW w:w="2410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 xml:space="preserve">投入产出比科学合理，符合投入最小化、产出最大化预期。 </w:t>
            </w:r>
          </w:p>
        </w:tc>
        <w:tc>
          <w:tcPr>
            <w:tcW w:w="3096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按照满足评价要素程度相应得分。</w:t>
            </w:r>
          </w:p>
        </w:tc>
        <w:tc>
          <w:tcPr>
            <w:tcW w:w="464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717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widowControl/>
              <w:ind w:left="-63" w:leftChars="-30" w:right="-63" w:rightChars="-30"/>
              <w:jc w:val="left"/>
              <w:rPr>
                <w:rFonts w:ascii="Times New Roman" w:hAnsi="Times New Roman" w:eastAsia="仿宋_GB2312"/>
                <w:b/>
                <w:bCs/>
                <w:color w:val="000000"/>
                <w:spacing w:val="-8"/>
                <w:kern w:val="0"/>
                <w:sz w:val="22"/>
              </w:rPr>
            </w:pPr>
          </w:p>
        </w:tc>
        <w:tc>
          <w:tcPr>
            <w:tcW w:w="446" w:type="dxa"/>
            <w:vMerge w:val="continue"/>
            <w:tcBorders>
              <w:top w:val="nil"/>
              <w:left w:val="nil"/>
            </w:tcBorders>
            <w:noWrap w:val="0"/>
            <w:vAlign w:val="center"/>
          </w:tcPr>
          <w:p>
            <w:pPr>
              <w:widowControl/>
              <w:ind w:left="-42" w:leftChars="-20" w:right="-42" w:rightChars="-20"/>
              <w:jc w:val="center"/>
              <w:rPr>
                <w:rFonts w:ascii="Times New Roman" w:hAnsi="Times New Roman" w:eastAsia="仿宋_GB2312"/>
                <w:color w:val="000000"/>
                <w:spacing w:val="-12"/>
                <w:kern w:val="0"/>
                <w:sz w:val="22"/>
              </w:rPr>
            </w:pPr>
          </w:p>
        </w:tc>
        <w:tc>
          <w:tcPr>
            <w:tcW w:w="1155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42" w:leftChars="-20" w:right="-42" w:rightChars="-20"/>
              <w:jc w:val="center"/>
              <w:rPr>
                <w:rFonts w:ascii="Times New Roman" w:hAnsi="Times New Roman" w:eastAsia="仿宋_GB2312"/>
                <w:color w:val="000000"/>
                <w:spacing w:val="-12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spacing w:val="-12"/>
                <w:kern w:val="0"/>
                <w:sz w:val="22"/>
              </w:rPr>
              <w:t>成本效益相关性</w:t>
            </w:r>
          </w:p>
        </w:tc>
        <w:tc>
          <w:tcPr>
            <w:tcW w:w="525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8</w:t>
            </w:r>
          </w:p>
        </w:tc>
        <w:tc>
          <w:tcPr>
            <w:tcW w:w="709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相关</w:t>
            </w:r>
          </w:p>
        </w:tc>
        <w:tc>
          <w:tcPr>
            <w:tcW w:w="2410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项目投入成本与预期效益高度相关，符合成本最小化、效益最大化预期。</w:t>
            </w:r>
          </w:p>
        </w:tc>
        <w:tc>
          <w:tcPr>
            <w:tcW w:w="3096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按照满足评价要素程度相应得分。</w:t>
            </w:r>
          </w:p>
        </w:tc>
        <w:tc>
          <w:tcPr>
            <w:tcW w:w="464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717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widowControl/>
              <w:ind w:left="-63" w:leftChars="-30" w:right="-63" w:rightChars="-30"/>
              <w:jc w:val="left"/>
              <w:rPr>
                <w:rFonts w:ascii="Times New Roman" w:hAnsi="Times New Roman" w:eastAsia="仿宋_GB2312"/>
                <w:b/>
                <w:bCs/>
                <w:color w:val="000000"/>
                <w:spacing w:val="-8"/>
                <w:kern w:val="0"/>
                <w:sz w:val="22"/>
              </w:rPr>
            </w:pPr>
          </w:p>
        </w:tc>
        <w:tc>
          <w:tcPr>
            <w:tcW w:w="446" w:type="dxa"/>
            <w:vMerge w:val="continue"/>
            <w:tcBorders>
              <w:top w:val="nil"/>
              <w:left w:val="nil"/>
            </w:tcBorders>
            <w:noWrap w:val="0"/>
            <w:vAlign w:val="center"/>
          </w:tcPr>
          <w:p>
            <w:pPr>
              <w:widowControl/>
              <w:ind w:left="-42" w:leftChars="-20" w:right="-42" w:rightChars="-20"/>
              <w:jc w:val="center"/>
              <w:rPr>
                <w:rFonts w:ascii="Times New Roman" w:hAnsi="Times New Roman" w:eastAsia="仿宋_GB2312"/>
                <w:color w:val="000000"/>
                <w:spacing w:val="-12"/>
                <w:kern w:val="0"/>
                <w:sz w:val="22"/>
              </w:rPr>
            </w:pPr>
          </w:p>
        </w:tc>
        <w:tc>
          <w:tcPr>
            <w:tcW w:w="1155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42" w:leftChars="-20" w:right="-42" w:rightChars="-20"/>
              <w:jc w:val="center"/>
              <w:rPr>
                <w:rFonts w:ascii="Times New Roman" w:hAnsi="Times New Roman" w:eastAsia="仿宋_GB2312"/>
                <w:color w:val="000000"/>
                <w:spacing w:val="-12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spacing w:val="-12"/>
                <w:kern w:val="0"/>
                <w:sz w:val="22"/>
              </w:rPr>
              <w:t>成本控制措施有效性</w:t>
            </w:r>
          </w:p>
        </w:tc>
        <w:tc>
          <w:tcPr>
            <w:tcW w:w="525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4</w:t>
            </w:r>
          </w:p>
        </w:tc>
        <w:tc>
          <w:tcPr>
            <w:tcW w:w="709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有效</w:t>
            </w:r>
          </w:p>
        </w:tc>
        <w:tc>
          <w:tcPr>
            <w:tcW w:w="2410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①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成本测算科学合理；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②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成本控制制度健全且措施有效。</w:t>
            </w:r>
          </w:p>
        </w:tc>
        <w:tc>
          <w:tcPr>
            <w:tcW w:w="3096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满足评价要素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①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得指标分值的50%；满足评价要素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②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得指标分值的50%，否则不得分。</w:t>
            </w:r>
          </w:p>
        </w:tc>
        <w:tc>
          <w:tcPr>
            <w:tcW w:w="464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6" w:hRule="atLeast"/>
          <w:jc w:val="center"/>
        </w:trPr>
        <w:tc>
          <w:tcPr>
            <w:tcW w:w="717" w:type="dxa"/>
            <w:vMerge w:val="restart"/>
            <w:tcBorders>
              <w:top w:val="nil"/>
            </w:tcBorders>
            <w:noWrap w:val="0"/>
            <w:vAlign w:val="center"/>
          </w:tcPr>
          <w:p>
            <w:pPr>
              <w:widowControl/>
              <w:ind w:left="-63" w:leftChars="-30" w:right="-63" w:rightChars="-3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spacing w:val="-8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spacing w:val="-8"/>
                <w:kern w:val="0"/>
                <w:sz w:val="22"/>
              </w:rPr>
              <w:t>绩效</w:t>
            </w:r>
          </w:p>
          <w:p>
            <w:pPr>
              <w:widowControl/>
              <w:ind w:left="-63" w:leftChars="-30" w:right="-63" w:rightChars="-3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spacing w:val="-8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spacing w:val="-8"/>
                <w:kern w:val="0"/>
                <w:sz w:val="22"/>
              </w:rPr>
              <w:t>目标合理性</w:t>
            </w:r>
          </w:p>
        </w:tc>
        <w:tc>
          <w:tcPr>
            <w:tcW w:w="446" w:type="dxa"/>
            <w:vMerge w:val="restart"/>
            <w:tcBorders>
              <w:top w:val="nil"/>
              <w:lef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20</w:t>
            </w:r>
          </w:p>
        </w:tc>
        <w:tc>
          <w:tcPr>
            <w:tcW w:w="1155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42" w:leftChars="-20" w:right="-42" w:rightChars="-20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spacing w:val="-12"/>
                <w:kern w:val="0"/>
                <w:sz w:val="22"/>
              </w:rPr>
              <w:t>绩效目标明确合理性</w:t>
            </w:r>
          </w:p>
        </w:tc>
        <w:tc>
          <w:tcPr>
            <w:tcW w:w="525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10</w:t>
            </w:r>
          </w:p>
        </w:tc>
        <w:tc>
          <w:tcPr>
            <w:tcW w:w="709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明确合理</w:t>
            </w:r>
          </w:p>
        </w:tc>
        <w:tc>
          <w:tcPr>
            <w:tcW w:w="2410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①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是否设定绩效目标（</w:t>
            </w: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2"/>
              </w:rPr>
              <w:t>此项为否决性核心指标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）；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②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与部门长期规划目标、年度工作目标一致；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③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项目受益群体定位准确；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④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 xml:space="preserve">绩效目标与项目实施内容高度相关。 </w:t>
            </w:r>
          </w:p>
        </w:tc>
        <w:tc>
          <w:tcPr>
            <w:tcW w:w="3096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满足评价要素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①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得指标分值的25%，否则</w:t>
            </w: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2"/>
              </w:rPr>
              <w:t>评估结论直接为“不予支持”；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满足评价要素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②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得指标分值的25%；满足评价要素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③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得指标分值的25%；满足评价要素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④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得指标分值的25%。</w:t>
            </w:r>
          </w:p>
        </w:tc>
        <w:tc>
          <w:tcPr>
            <w:tcW w:w="464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1" w:hRule="atLeast"/>
          <w:jc w:val="center"/>
        </w:trPr>
        <w:tc>
          <w:tcPr>
            <w:tcW w:w="717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widowControl/>
              <w:ind w:left="-63" w:leftChars="-30" w:right="-63" w:rightChars="-30"/>
              <w:jc w:val="left"/>
              <w:rPr>
                <w:rFonts w:ascii="Times New Roman" w:hAnsi="Times New Roman" w:eastAsia="仿宋_GB2312"/>
                <w:b/>
                <w:bCs/>
                <w:color w:val="000000"/>
                <w:spacing w:val="-8"/>
                <w:kern w:val="0"/>
                <w:sz w:val="22"/>
              </w:rPr>
            </w:pPr>
          </w:p>
        </w:tc>
        <w:tc>
          <w:tcPr>
            <w:tcW w:w="446" w:type="dxa"/>
            <w:vMerge w:val="continue"/>
            <w:tcBorders>
              <w:top w:val="nil"/>
              <w:lef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</w:p>
        </w:tc>
        <w:tc>
          <w:tcPr>
            <w:tcW w:w="1155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绩效指标细化量化程度</w:t>
            </w:r>
          </w:p>
        </w:tc>
        <w:tc>
          <w:tcPr>
            <w:tcW w:w="525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10</w:t>
            </w:r>
          </w:p>
        </w:tc>
        <w:tc>
          <w:tcPr>
            <w:tcW w:w="709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细化量化</w:t>
            </w:r>
          </w:p>
        </w:tc>
        <w:tc>
          <w:tcPr>
            <w:tcW w:w="2410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将项目绩效目标细化量化为具体的绩效指标，包括产出指标和效果指标且符合相关原则，即指标是明确的、可衡量的、可实现的、相关的、具有时限的。</w:t>
            </w:r>
          </w:p>
        </w:tc>
        <w:tc>
          <w:tcPr>
            <w:tcW w:w="3096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指标设置满足明确性，得指标分值的20%；指标设置满足可衡量性，得指标分值的20%；指标设置满足可实现性，得指标分值的20%；指标设置满足相关性，得指标分值的20%；指标设置满足时限，得指标分值的20%。</w:t>
            </w:r>
          </w:p>
        </w:tc>
        <w:tc>
          <w:tcPr>
            <w:tcW w:w="464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717" w:type="dxa"/>
            <w:vMerge w:val="restart"/>
            <w:tcBorders>
              <w:top w:val="nil"/>
            </w:tcBorders>
            <w:noWrap w:val="0"/>
            <w:vAlign w:val="center"/>
          </w:tcPr>
          <w:p>
            <w:pPr>
              <w:widowControl/>
              <w:ind w:left="-63" w:leftChars="-30" w:right="-63" w:rightChars="-3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spacing w:val="-8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spacing w:val="-8"/>
                <w:kern w:val="0"/>
                <w:sz w:val="22"/>
              </w:rPr>
              <w:t>实施</w:t>
            </w:r>
          </w:p>
          <w:p>
            <w:pPr>
              <w:widowControl/>
              <w:ind w:left="-63" w:leftChars="-30" w:right="-63" w:rightChars="-3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spacing w:val="-8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spacing w:val="-8"/>
                <w:kern w:val="0"/>
                <w:sz w:val="22"/>
              </w:rPr>
              <w:t>方案可行性</w:t>
            </w:r>
          </w:p>
        </w:tc>
        <w:tc>
          <w:tcPr>
            <w:tcW w:w="446" w:type="dxa"/>
            <w:vMerge w:val="restart"/>
            <w:tcBorders>
              <w:top w:val="nil"/>
              <w:lef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15</w:t>
            </w:r>
          </w:p>
        </w:tc>
        <w:tc>
          <w:tcPr>
            <w:tcW w:w="1155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实施方案完备性</w:t>
            </w:r>
          </w:p>
        </w:tc>
        <w:tc>
          <w:tcPr>
            <w:tcW w:w="525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2</w:t>
            </w:r>
          </w:p>
        </w:tc>
        <w:tc>
          <w:tcPr>
            <w:tcW w:w="709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完备</w:t>
            </w:r>
          </w:p>
        </w:tc>
        <w:tc>
          <w:tcPr>
            <w:tcW w:w="2410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①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项目实施方案详实完备；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②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项目实施内容明确具体。</w:t>
            </w:r>
          </w:p>
        </w:tc>
        <w:tc>
          <w:tcPr>
            <w:tcW w:w="3096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满足评价要素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①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得指标分值的50%；满足评价要素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②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得指标分值的50%，否则不得分。</w:t>
            </w:r>
          </w:p>
        </w:tc>
        <w:tc>
          <w:tcPr>
            <w:tcW w:w="464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717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widowControl/>
              <w:ind w:left="-63" w:leftChars="-30" w:right="-63" w:rightChars="-30"/>
              <w:jc w:val="left"/>
              <w:rPr>
                <w:rFonts w:ascii="Times New Roman" w:hAnsi="Times New Roman" w:eastAsia="仿宋_GB2312"/>
                <w:b/>
                <w:bCs/>
                <w:color w:val="000000"/>
                <w:spacing w:val="-8"/>
                <w:kern w:val="0"/>
                <w:sz w:val="22"/>
              </w:rPr>
            </w:pPr>
          </w:p>
        </w:tc>
        <w:tc>
          <w:tcPr>
            <w:tcW w:w="446" w:type="dxa"/>
            <w:vMerge w:val="continue"/>
            <w:tcBorders>
              <w:top w:val="nil"/>
              <w:lef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</w:p>
        </w:tc>
        <w:tc>
          <w:tcPr>
            <w:tcW w:w="1155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项目管理规范性</w:t>
            </w:r>
          </w:p>
        </w:tc>
        <w:tc>
          <w:tcPr>
            <w:tcW w:w="525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4</w:t>
            </w:r>
          </w:p>
        </w:tc>
        <w:tc>
          <w:tcPr>
            <w:tcW w:w="709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规范</w:t>
            </w:r>
          </w:p>
        </w:tc>
        <w:tc>
          <w:tcPr>
            <w:tcW w:w="2410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①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项目设立、退出有明确的时限；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②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项目清理、退出、调整有明确的时限和步骤。</w:t>
            </w:r>
          </w:p>
        </w:tc>
        <w:tc>
          <w:tcPr>
            <w:tcW w:w="3096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满足评价要素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①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得指标分值的50%；满足评价要素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②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得指标分值的50%，否则不得分。</w:t>
            </w:r>
          </w:p>
        </w:tc>
        <w:tc>
          <w:tcPr>
            <w:tcW w:w="464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  <w:jc w:val="center"/>
        </w:trPr>
        <w:tc>
          <w:tcPr>
            <w:tcW w:w="717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widowControl/>
              <w:ind w:left="-63" w:leftChars="-30" w:right="-63" w:rightChars="-30"/>
              <w:jc w:val="left"/>
              <w:rPr>
                <w:rFonts w:ascii="Times New Roman" w:hAnsi="Times New Roman" w:eastAsia="仿宋_GB2312"/>
                <w:b/>
                <w:bCs/>
                <w:color w:val="000000"/>
                <w:spacing w:val="-8"/>
                <w:kern w:val="0"/>
                <w:sz w:val="22"/>
              </w:rPr>
            </w:pPr>
          </w:p>
        </w:tc>
        <w:tc>
          <w:tcPr>
            <w:tcW w:w="446" w:type="dxa"/>
            <w:vMerge w:val="continue"/>
            <w:tcBorders>
              <w:top w:val="nil"/>
              <w:lef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</w:p>
        </w:tc>
        <w:tc>
          <w:tcPr>
            <w:tcW w:w="1155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项目管理机构健全有效性</w:t>
            </w:r>
          </w:p>
        </w:tc>
        <w:tc>
          <w:tcPr>
            <w:tcW w:w="525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2</w:t>
            </w:r>
          </w:p>
        </w:tc>
        <w:tc>
          <w:tcPr>
            <w:tcW w:w="709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健全有效</w:t>
            </w:r>
          </w:p>
        </w:tc>
        <w:tc>
          <w:tcPr>
            <w:tcW w:w="2410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①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项目的管理机构健全；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②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管理机构职责分工明确；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③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项目人员、设施、物资等基础保障条件完备。</w:t>
            </w:r>
          </w:p>
        </w:tc>
        <w:tc>
          <w:tcPr>
            <w:tcW w:w="3096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满足评价要素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①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得指标分值的20%；满足评价要素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②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得指标分值的30%；满足评价要素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③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得指标分值的50%，否则不得分。</w:t>
            </w:r>
          </w:p>
        </w:tc>
        <w:tc>
          <w:tcPr>
            <w:tcW w:w="464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0" w:hRule="atLeast"/>
          <w:jc w:val="center"/>
        </w:trPr>
        <w:tc>
          <w:tcPr>
            <w:tcW w:w="717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widowControl/>
              <w:ind w:left="-63" w:leftChars="-30" w:right="-63" w:rightChars="-30"/>
              <w:jc w:val="left"/>
              <w:rPr>
                <w:rFonts w:ascii="Times New Roman" w:hAnsi="Times New Roman" w:eastAsia="仿宋_GB2312"/>
                <w:b/>
                <w:bCs/>
                <w:color w:val="000000"/>
                <w:spacing w:val="-8"/>
                <w:kern w:val="0"/>
                <w:sz w:val="22"/>
              </w:rPr>
            </w:pPr>
          </w:p>
        </w:tc>
        <w:tc>
          <w:tcPr>
            <w:tcW w:w="446" w:type="dxa"/>
            <w:vMerge w:val="continue"/>
            <w:tcBorders>
              <w:top w:val="nil"/>
              <w:lef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</w:p>
        </w:tc>
        <w:tc>
          <w:tcPr>
            <w:tcW w:w="1155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ind w:left="-42" w:leftChars="-20" w:right="-42" w:rightChars="-20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spacing w:val="-12"/>
                <w:kern w:val="0"/>
                <w:sz w:val="22"/>
              </w:rPr>
              <w:t>项目实施计划可行性</w:t>
            </w:r>
          </w:p>
        </w:tc>
        <w:tc>
          <w:tcPr>
            <w:tcW w:w="525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5</w:t>
            </w:r>
          </w:p>
        </w:tc>
        <w:tc>
          <w:tcPr>
            <w:tcW w:w="709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可行</w:t>
            </w:r>
          </w:p>
        </w:tc>
        <w:tc>
          <w:tcPr>
            <w:tcW w:w="2410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①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项目实施计划进度节点明确且安排合理；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②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项目实施计划与资金使用计划匹配；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③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实施计划符合全生命周期管理的要求。</w:t>
            </w:r>
          </w:p>
        </w:tc>
        <w:tc>
          <w:tcPr>
            <w:tcW w:w="3096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满足评价要素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①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得指标分值的40%；满足评价要素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②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得指标分值的30%；满足评价要素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③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得指标分值的30%，否则不得分。</w:t>
            </w:r>
          </w:p>
        </w:tc>
        <w:tc>
          <w:tcPr>
            <w:tcW w:w="464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717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widowControl/>
              <w:ind w:left="-63" w:leftChars="-30" w:right="-63" w:rightChars="-30"/>
              <w:jc w:val="left"/>
              <w:rPr>
                <w:rFonts w:ascii="Times New Roman" w:hAnsi="Times New Roman" w:eastAsia="仿宋_GB2312"/>
                <w:b/>
                <w:bCs/>
                <w:color w:val="000000"/>
                <w:spacing w:val="-8"/>
                <w:kern w:val="0"/>
                <w:sz w:val="22"/>
              </w:rPr>
            </w:pPr>
          </w:p>
        </w:tc>
        <w:tc>
          <w:tcPr>
            <w:tcW w:w="446" w:type="dxa"/>
            <w:vMerge w:val="continue"/>
            <w:tcBorders>
              <w:top w:val="nil"/>
              <w:lef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</w:p>
        </w:tc>
        <w:tc>
          <w:tcPr>
            <w:tcW w:w="1155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ind w:left="-42" w:leftChars="-20" w:right="-42" w:rightChars="-20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spacing w:val="-12"/>
                <w:kern w:val="0"/>
                <w:sz w:val="22"/>
              </w:rPr>
              <w:t>项目管理制度健全性</w:t>
            </w:r>
          </w:p>
        </w:tc>
        <w:tc>
          <w:tcPr>
            <w:tcW w:w="525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2</w:t>
            </w:r>
          </w:p>
        </w:tc>
        <w:tc>
          <w:tcPr>
            <w:tcW w:w="709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健全</w:t>
            </w:r>
          </w:p>
        </w:tc>
        <w:tc>
          <w:tcPr>
            <w:tcW w:w="2410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保障</w:t>
            </w:r>
            <w:r>
              <w:rPr>
                <w:rFonts w:ascii="Times New Roman" w:hAnsi="Times New Roman" w:eastAsia="仿宋_GB2312"/>
                <w:color w:val="000000"/>
                <w:spacing w:val="-6"/>
                <w:kern w:val="0"/>
                <w:sz w:val="22"/>
              </w:rPr>
              <w:t>项目实施的相关管理制度健全、措施有效。</w:t>
            </w:r>
          </w:p>
        </w:tc>
        <w:tc>
          <w:tcPr>
            <w:tcW w:w="3096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满足评价要素得分，否则不得分。</w:t>
            </w:r>
          </w:p>
        </w:tc>
        <w:tc>
          <w:tcPr>
            <w:tcW w:w="464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717" w:type="dxa"/>
            <w:vMerge w:val="restart"/>
            <w:tcBorders>
              <w:top w:val="nil"/>
            </w:tcBorders>
            <w:noWrap w:val="0"/>
            <w:vAlign w:val="center"/>
          </w:tcPr>
          <w:p>
            <w:pPr>
              <w:widowControl/>
              <w:ind w:left="-63" w:leftChars="-30" w:right="-63" w:rightChars="-3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spacing w:val="-8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spacing w:val="-8"/>
                <w:kern w:val="0"/>
                <w:sz w:val="22"/>
              </w:rPr>
              <w:t>筹资合规性</w:t>
            </w:r>
          </w:p>
        </w:tc>
        <w:tc>
          <w:tcPr>
            <w:tcW w:w="446" w:type="dxa"/>
            <w:vMerge w:val="restart"/>
            <w:tcBorders>
              <w:top w:val="nil"/>
              <w:lef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15</w:t>
            </w:r>
          </w:p>
        </w:tc>
        <w:tc>
          <w:tcPr>
            <w:tcW w:w="1155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筹资来源合规性</w:t>
            </w:r>
          </w:p>
        </w:tc>
        <w:tc>
          <w:tcPr>
            <w:tcW w:w="525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5</w:t>
            </w:r>
          </w:p>
        </w:tc>
        <w:tc>
          <w:tcPr>
            <w:tcW w:w="709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合规</w:t>
            </w:r>
          </w:p>
        </w:tc>
        <w:tc>
          <w:tcPr>
            <w:tcW w:w="2410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①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资金筹措渠道及方式合法合规；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②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 xml:space="preserve">资金投入来源结构合理、真实可靠。 </w:t>
            </w:r>
          </w:p>
        </w:tc>
        <w:tc>
          <w:tcPr>
            <w:tcW w:w="3096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满足评价要素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①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得指标分值的60%；满足评价要素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②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得指标分值的40%。</w:t>
            </w:r>
          </w:p>
        </w:tc>
        <w:tc>
          <w:tcPr>
            <w:tcW w:w="464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  <w:jc w:val="center"/>
        </w:trPr>
        <w:tc>
          <w:tcPr>
            <w:tcW w:w="717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widowControl/>
              <w:ind w:left="-63" w:leftChars="-30" w:right="-63" w:rightChars="-30"/>
              <w:jc w:val="left"/>
              <w:rPr>
                <w:rFonts w:ascii="Times New Roman" w:hAnsi="Times New Roman" w:eastAsia="仿宋_GB2312"/>
                <w:b/>
                <w:bCs/>
                <w:color w:val="000000"/>
                <w:spacing w:val="-8"/>
                <w:kern w:val="0"/>
                <w:sz w:val="22"/>
              </w:rPr>
            </w:pPr>
          </w:p>
        </w:tc>
        <w:tc>
          <w:tcPr>
            <w:tcW w:w="446" w:type="dxa"/>
            <w:vMerge w:val="continue"/>
            <w:tcBorders>
              <w:top w:val="nil"/>
              <w:lef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</w:p>
        </w:tc>
        <w:tc>
          <w:tcPr>
            <w:tcW w:w="1155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ind w:left="-42" w:leftChars="-20" w:right="-42" w:rightChars="-20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spacing w:val="-12"/>
                <w:kern w:val="0"/>
                <w:sz w:val="22"/>
              </w:rPr>
              <w:t>财政投入能力风险性</w:t>
            </w:r>
          </w:p>
        </w:tc>
        <w:tc>
          <w:tcPr>
            <w:tcW w:w="525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5</w:t>
            </w:r>
          </w:p>
        </w:tc>
        <w:tc>
          <w:tcPr>
            <w:tcW w:w="709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风险低</w:t>
            </w:r>
          </w:p>
        </w:tc>
        <w:tc>
          <w:tcPr>
            <w:tcW w:w="2410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①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项目投入规模适当；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②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申请预算在财政可承受能力范围内。</w:t>
            </w:r>
          </w:p>
        </w:tc>
        <w:tc>
          <w:tcPr>
            <w:tcW w:w="3096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满足评价要素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①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得指标分值的50%；满足评价要素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②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得指标分值的50%。</w:t>
            </w:r>
          </w:p>
        </w:tc>
        <w:tc>
          <w:tcPr>
            <w:tcW w:w="464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  <w:jc w:val="center"/>
        </w:trPr>
        <w:tc>
          <w:tcPr>
            <w:tcW w:w="717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widowControl/>
              <w:ind w:left="-63" w:leftChars="-30" w:right="-63" w:rightChars="-30"/>
              <w:jc w:val="left"/>
              <w:rPr>
                <w:rFonts w:ascii="Times New Roman" w:hAnsi="Times New Roman" w:eastAsia="仿宋_GB2312"/>
                <w:b/>
                <w:bCs/>
                <w:color w:val="000000"/>
                <w:spacing w:val="-8"/>
                <w:kern w:val="0"/>
                <w:sz w:val="22"/>
              </w:rPr>
            </w:pPr>
          </w:p>
        </w:tc>
        <w:tc>
          <w:tcPr>
            <w:tcW w:w="446" w:type="dxa"/>
            <w:vMerge w:val="continue"/>
            <w:tcBorders>
              <w:top w:val="nil"/>
              <w:lef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</w:p>
        </w:tc>
        <w:tc>
          <w:tcPr>
            <w:tcW w:w="1155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筹资风险可控性</w:t>
            </w:r>
          </w:p>
        </w:tc>
        <w:tc>
          <w:tcPr>
            <w:tcW w:w="525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5</w:t>
            </w:r>
          </w:p>
        </w:tc>
        <w:tc>
          <w:tcPr>
            <w:tcW w:w="709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可控</w:t>
            </w:r>
          </w:p>
        </w:tc>
        <w:tc>
          <w:tcPr>
            <w:tcW w:w="2410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①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对筹资风险认识全面；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②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针对预期风险制定相应的应对措施；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③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应对措施可行且有效。</w:t>
            </w:r>
          </w:p>
        </w:tc>
        <w:tc>
          <w:tcPr>
            <w:tcW w:w="3096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满足评</w:t>
            </w:r>
            <w:r>
              <w:rPr>
                <w:rFonts w:ascii="Times New Roman" w:hAnsi="Times New Roman" w:eastAsia="仿宋_GB2312"/>
                <w:color w:val="000000"/>
                <w:spacing w:val="-4"/>
                <w:kern w:val="0"/>
                <w:sz w:val="22"/>
              </w:rPr>
              <w:t>价要素</w:t>
            </w:r>
            <w:r>
              <w:rPr>
                <w:rFonts w:ascii="Times New Roman" w:hAnsi="Times New Roman"/>
                <w:color w:val="000000"/>
                <w:spacing w:val="-4"/>
                <w:kern w:val="0"/>
                <w:sz w:val="22"/>
              </w:rPr>
              <w:t>①</w:t>
            </w:r>
            <w:r>
              <w:rPr>
                <w:rFonts w:ascii="Times New Roman" w:hAnsi="Times New Roman" w:eastAsia="仿宋_GB2312"/>
                <w:color w:val="000000"/>
                <w:spacing w:val="-4"/>
                <w:kern w:val="0"/>
                <w:sz w:val="22"/>
              </w:rPr>
              <w:t>得指标分值的40%；满足评价要素</w:t>
            </w:r>
            <w:r>
              <w:rPr>
                <w:rFonts w:ascii="Times New Roman" w:hAnsi="Times New Roman"/>
                <w:color w:val="000000"/>
                <w:spacing w:val="-4"/>
                <w:kern w:val="0"/>
                <w:sz w:val="22"/>
              </w:rPr>
              <w:t>②</w:t>
            </w:r>
            <w:r>
              <w:rPr>
                <w:rFonts w:ascii="Times New Roman" w:hAnsi="Times New Roman" w:eastAsia="仿宋_GB2312"/>
                <w:color w:val="000000"/>
                <w:spacing w:val="-4"/>
                <w:kern w:val="0"/>
                <w:sz w:val="22"/>
              </w:rPr>
              <w:t>得指标分值的30%；满足评价要素</w:t>
            </w:r>
            <w:r>
              <w:rPr>
                <w:rFonts w:ascii="Times New Roman" w:hAnsi="Times New Roman"/>
                <w:color w:val="000000"/>
                <w:spacing w:val="-4"/>
                <w:kern w:val="0"/>
                <w:sz w:val="22"/>
              </w:rPr>
              <w:t>③</w:t>
            </w:r>
            <w:r>
              <w:rPr>
                <w:rFonts w:ascii="Times New Roman" w:hAnsi="Times New Roman" w:eastAsia="仿宋_GB2312"/>
                <w:color w:val="000000"/>
                <w:spacing w:val="-4"/>
                <w:kern w:val="0"/>
                <w:sz w:val="22"/>
              </w:rPr>
              <w:t>得指标分值的30%，否则不得分。</w:t>
            </w:r>
          </w:p>
        </w:tc>
        <w:tc>
          <w:tcPr>
            <w:tcW w:w="464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  <w:jc w:val="center"/>
        </w:trPr>
        <w:tc>
          <w:tcPr>
            <w:tcW w:w="717" w:type="dxa"/>
            <w:noWrap w:val="0"/>
            <w:vAlign w:val="center"/>
          </w:tcPr>
          <w:p>
            <w:pPr>
              <w:widowControl/>
              <w:ind w:left="-63" w:leftChars="-30" w:right="-63" w:rightChars="-3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spacing w:val="-8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spacing w:val="-8"/>
                <w:kern w:val="0"/>
                <w:sz w:val="22"/>
              </w:rPr>
              <w:t>预算</w:t>
            </w:r>
          </w:p>
          <w:p>
            <w:pPr>
              <w:widowControl/>
              <w:ind w:left="-63" w:leftChars="-30" w:right="-63" w:rightChars="-3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spacing w:val="-8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spacing w:val="-8"/>
                <w:kern w:val="0"/>
                <w:sz w:val="22"/>
              </w:rPr>
              <w:t>编制准确性</w:t>
            </w:r>
          </w:p>
        </w:tc>
        <w:tc>
          <w:tcPr>
            <w:tcW w:w="446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5</w:t>
            </w:r>
          </w:p>
        </w:tc>
        <w:tc>
          <w:tcPr>
            <w:tcW w:w="1155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预算编制准确性</w:t>
            </w:r>
          </w:p>
        </w:tc>
        <w:tc>
          <w:tcPr>
            <w:tcW w:w="525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5</w:t>
            </w:r>
          </w:p>
        </w:tc>
        <w:tc>
          <w:tcPr>
            <w:tcW w:w="709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科学合理</w:t>
            </w:r>
          </w:p>
        </w:tc>
        <w:tc>
          <w:tcPr>
            <w:tcW w:w="2410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①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预算编制真实完整；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②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预算编制内容科学合理、明确细化（与绩效目标、实施方案紧密衔接）；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③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预算标准依据充分、测算准确。</w:t>
            </w:r>
          </w:p>
        </w:tc>
        <w:tc>
          <w:tcPr>
            <w:tcW w:w="3096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满足评价要素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①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得指标分值的40%；满足评价要素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②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得指标分值的30%；满足评价要素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③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得指标分值的30%。</w:t>
            </w:r>
          </w:p>
        </w:tc>
        <w:tc>
          <w:tcPr>
            <w:tcW w:w="464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717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446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2"/>
              </w:rPr>
              <w:t>100</w:t>
            </w:r>
          </w:p>
        </w:tc>
        <w:tc>
          <w:tcPr>
            <w:tcW w:w="1155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2"/>
              </w:rPr>
              <w:t>—</w:t>
            </w:r>
          </w:p>
        </w:tc>
        <w:tc>
          <w:tcPr>
            <w:tcW w:w="525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2"/>
              </w:rPr>
              <w:t>100</w:t>
            </w:r>
          </w:p>
        </w:tc>
        <w:tc>
          <w:tcPr>
            <w:tcW w:w="709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2"/>
              </w:rPr>
              <w:t>—</w:t>
            </w:r>
          </w:p>
        </w:tc>
        <w:tc>
          <w:tcPr>
            <w:tcW w:w="2410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2"/>
              </w:rPr>
              <w:t>—</w:t>
            </w:r>
          </w:p>
        </w:tc>
        <w:tc>
          <w:tcPr>
            <w:tcW w:w="3096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2"/>
              </w:rPr>
              <w:t>—</w:t>
            </w:r>
          </w:p>
        </w:tc>
        <w:tc>
          <w:tcPr>
            <w:tcW w:w="464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2"/>
              </w:rPr>
              <w:t>100</w:t>
            </w:r>
          </w:p>
        </w:tc>
      </w:tr>
    </w:tbl>
    <w:p>
      <w:pPr>
        <w:widowControl/>
        <w:spacing w:line="720" w:lineRule="auto"/>
        <w:jc w:val="center"/>
        <w:rPr>
          <w:rFonts w:hint="eastAsia" w:ascii="宋体" w:hAnsi="宋体" w:eastAsia="宋体" w:cs="宋体"/>
          <w:b/>
          <w:bCs w:val="0"/>
          <w:color w:val="000000"/>
          <w:kern w:val="0"/>
          <w:sz w:val="56"/>
          <w:szCs w:val="56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hint="default" w:eastAsia="宋体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79F2D57"/>
    <w:multiLevelType w:val="singleLevel"/>
    <w:tmpl w:val="B79F2D57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5MzQyZmIyNjhmOWM4ZDkwYjEwYmYzMThhN2U1MmQifQ=="/>
  </w:docVars>
  <w:rsids>
    <w:rsidRoot w:val="00000000"/>
    <w:rsid w:val="061738E8"/>
    <w:rsid w:val="17C1793A"/>
    <w:rsid w:val="1F66354C"/>
    <w:rsid w:val="212F6972"/>
    <w:rsid w:val="21D544E9"/>
    <w:rsid w:val="28D61B44"/>
    <w:rsid w:val="40890388"/>
    <w:rsid w:val="41FB05ED"/>
    <w:rsid w:val="4C245B5C"/>
    <w:rsid w:val="561D018C"/>
    <w:rsid w:val="596546FA"/>
    <w:rsid w:val="61587D6F"/>
    <w:rsid w:val="63E443CA"/>
    <w:rsid w:val="6EDC48EF"/>
    <w:rsid w:val="701614BB"/>
    <w:rsid w:val="70AD3CF1"/>
    <w:rsid w:val="75252C0E"/>
    <w:rsid w:val="759E3249"/>
    <w:rsid w:val="77AF2DA4"/>
    <w:rsid w:val="78D5254F"/>
    <w:rsid w:val="79A75753"/>
    <w:rsid w:val="7D164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rPr>
      <w:rFonts w:ascii="宋体" w:hAnsi="宋体" w:cs="宋体"/>
      <w:sz w:val="16"/>
      <w:szCs w:val="16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3683</Words>
  <Characters>3831</Characters>
  <Lines>0</Lines>
  <Paragraphs>0</Paragraphs>
  <TotalTime>0</TotalTime>
  <ScaleCrop>false</ScaleCrop>
  <LinksUpToDate>false</LinksUpToDate>
  <CharactersWithSpaces>3840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2023-05-31T07:56:00Z</dcterms:created>
  <dc:creator>Administrator</dc:creator>
  <cp:lastModifiedBy>lenovo</cp:lastModifiedBy>
  <dcterms:modified xsi:type="dcterms:W3CDTF">2023-06-22T03:27:57Z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C1940CA84E9E40CE984A49A3FCCA1288_12</vt:lpwstr>
  </property>
</Properties>
</file>