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auto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52"/>
          <w:szCs w:val="52"/>
          <w:lang w:val="en-US" w:eastAsia="zh-CN"/>
        </w:rPr>
        <w:t>S318线黄陵至郿岘公路郭家胡同至合水段改建工程事前绩效评估报告</w:t>
      </w:r>
    </w:p>
    <w:p>
      <w:pPr>
        <w:widowControl/>
        <w:spacing w:line="720" w:lineRule="auto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52"/>
          <w:szCs w:val="52"/>
          <w:lang w:val="en-US" w:eastAsia="zh-CN"/>
        </w:rPr>
        <w:t>2020年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52"/>
          <w:szCs w:val="52"/>
          <w:lang w:val="en-US" w:eastAsia="zh-CN"/>
        </w:rPr>
        <w:t>度</w:t>
      </w:r>
    </w:p>
    <w:p>
      <w:pPr>
        <w:widowControl/>
        <w:tabs>
          <w:tab w:val="left" w:pos="5783"/>
        </w:tabs>
        <w:spacing w:line="700" w:lineRule="exact"/>
        <w:jc w:val="left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  <w:tab/>
      </w:r>
    </w:p>
    <w:p>
      <w:pPr>
        <w:widowControl/>
        <w:tabs>
          <w:tab w:val="left" w:pos="5783"/>
        </w:tabs>
        <w:spacing w:line="700" w:lineRule="exact"/>
        <w:jc w:val="left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tabs>
          <w:tab w:val="left" w:pos="5783"/>
        </w:tabs>
        <w:spacing w:line="700" w:lineRule="exact"/>
        <w:jc w:val="left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spacing w:line="700" w:lineRule="exact"/>
        <w:ind w:left="3595" w:leftChars="855" w:hanging="1800" w:hangingChars="500"/>
        <w:jc w:val="both"/>
        <w:rPr>
          <w:rFonts w:hint="eastAsia" w:ascii="楷体" w:hAnsi="楷体" w:eastAsia="楷体" w:cs="楷体"/>
          <w:b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lang w:val="en-US" w:eastAsia="zh-CN"/>
        </w:rPr>
        <w:t>项目名称：</w:t>
      </w:r>
      <w:r>
        <w:rPr>
          <w:rFonts w:hint="eastAsia" w:ascii="楷体" w:hAnsi="楷体" w:eastAsia="楷体" w:cs="楷体"/>
          <w:b/>
          <w:bCs w:val="0"/>
          <w:color w:val="000000"/>
          <w:kern w:val="0"/>
          <w:sz w:val="36"/>
          <w:szCs w:val="36"/>
          <w:lang w:val="en-US" w:eastAsia="zh-CN"/>
        </w:rPr>
        <w:t>S318线黄陵至郿岘公路郭家胡同至合水段改建工程</w:t>
      </w:r>
    </w:p>
    <w:p>
      <w:pPr>
        <w:widowControl/>
        <w:spacing w:line="700" w:lineRule="exact"/>
        <w:ind w:firstLine="1800" w:firstLineChars="500"/>
        <w:jc w:val="both"/>
        <w:rPr>
          <w:rFonts w:hint="eastAsia" w:ascii="楷体" w:hAnsi="楷体" w:eastAsia="楷体" w:cs="楷体"/>
          <w:b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lang w:val="en-US" w:eastAsia="zh-CN"/>
        </w:rPr>
        <w:t>项目单位：</w:t>
      </w:r>
      <w:r>
        <w:rPr>
          <w:rFonts w:hint="eastAsia" w:ascii="楷体" w:hAnsi="楷体" w:eastAsia="楷体" w:cs="楷体"/>
          <w:b/>
          <w:bCs w:val="0"/>
          <w:color w:val="000000"/>
          <w:kern w:val="0"/>
          <w:sz w:val="36"/>
          <w:szCs w:val="36"/>
          <w:lang w:val="en-US" w:eastAsia="zh-CN"/>
        </w:rPr>
        <w:t>合水县公路局</w:t>
      </w:r>
    </w:p>
    <w:p>
      <w:pPr>
        <w:widowControl/>
        <w:spacing w:line="700" w:lineRule="exact"/>
        <w:ind w:firstLine="1800" w:firstLineChars="500"/>
        <w:jc w:val="both"/>
        <w:rPr>
          <w:rFonts w:hint="eastAsia" w:ascii="楷体" w:hAnsi="楷体" w:eastAsia="楷体" w:cs="楷体"/>
          <w:b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lang w:val="en-US" w:eastAsia="zh-CN"/>
        </w:rPr>
        <w:t>主管部门：</w:t>
      </w:r>
      <w:r>
        <w:rPr>
          <w:rFonts w:hint="eastAsia" w:ascii="楷体" w:hAnsi="楷体" w:eastAsia="楷体" w:cs="楷体"/>
          <w:b/>
          <w:bCs w:val="0"/>
          <w:color w:val="000000"/>
          <w:kern w:val="0"/>
          <w:sz w:val="36"/>
          <w:szCs w:val="36"/>
          <w:lang w:val="en-US" w:eastAsia="zh-CN"/>
        </w:rPr>
        <w:t>合水县交通运输局</w:t>
      </w:r>
    </w:p>
    <w:p>
      <w:pPr>
        <w:widowControl/>
        <w:spacing w:line="700" w:lineRule="exact"/>
        <w:ind w:firstLine="442" w:firstLineChars="100"/>
        <w:jc w:val="both"/>
        <w:rPr>
          <w:rFonts w:hint="eastAsia" w:ascii="楷体" w:hAnsi="楷体" w:eastAsia="楷体" w:cs="楷体"/>
          <w:b/>
          <w:bCs w:val="0"/>
          <w:color w:val="000000"/>
          <w:kern w:val="0"/>
          <w:sz w:val="44"/>
          <w:szCs w:val="44"/>
          <w:lang w:val="en-US" w:eastAsia="zh-CN"/>
        </w:rPr>
      </w:pP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  <w:lang w:val="en-US" w:eastAsia="zh-CN"/>
        </w:rPr>
        <w:t>2020年5月</w:t>
      </w: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  <w:sectPr>
          <w:footerReference r:id="rId3" w:type="default"/>
          <w:pgSz w:w="11906" w:h="16838"/>
          <w:pgMar w:top="1440" w:right="1800" w:bottom="1440" w:left="1633" w:header="851" w:footer="992" w:gutter="0"/>
          <w:pgNumType w:fmt="decimal" w:start="0"/>
          <w:cols w:space="425" w:num="1"/>
          <w:docGrid w:type="lines" w:linePitch="312" w:charSpace="0"/>
        </w:sectPr>
      </w:pPr>
    </w:p>
    <w:p>
      <w:pPr>
        <w:spacing w:line="590" w:lineRule="exact"/>
        <w:jc w:val="both"/>
        <w:rPr>
          <w:rFonts w:hint="eastAsia" w:ascii="Times New Roman" w:hAnsi="Times New Roman" w:eastAsia="方正小标宋简体"/>
          <w:color w:val="000000"/>
          <w:kern w:val="0"/>
          <w:sz w:val="40"/>
          <w:szCs w:val="40"/>
          <w:lang w:val="en-US" w:eastAsia="zh-CN"/>
        </w:rPr>
      </w:pPr>
    </w:p>
    <w:p>
      <w:pPr>
        <w:spacing w:line="590" w:lineRule="exact"/>
        <w:ind w:firstLine="800" w:firstLineChars="200"/>
        <w:jc w:val="center"/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  <w:lang w:val="en-US" w:eastAsia="zh-CN"/>
        </w:rPr>
        <w:t>S318线黄陵至郿岘公路郭家胡同至合水段改建工程</w:t>
      </w:r>
      <w:r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  <w:t>事前绩效评估报告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一、评估对象</w:t>
      </w:r>
    </w:p>
    <w:p>
      <w:pPr>
        <w:spacing w:line="59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项目名称：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  <w:t>S318线黄陵至郿岘公路郭家胡同至合水段改建工程</w:t>
      </w:r>
    </w:p>
    <w:p>
      <w:pPr>
        <w:widowControl/>
        <w:spacing w:line="70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主管预算部门：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合水县交通运输局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b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项目绩效目标：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  <w:t>S318线黄陵至郿岘公路郭家胡同至合水段改建工程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项目资金总额及构成：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Cs w:val="21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其中：申请财政资金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9400000元</w:t>
      </w:r>
    </w:p>
    <w:p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项目概况：</w:t>
      </w:r>
      <w:r>
        <w:rPr>
          <w:rFonts w:hint="eastAsia" w:ascii="仿宋" w:hAnsi="仿宋" w:eastAsia="仿宋"/>
          <w:sz w:val="32"/>
          <w:szCs w:val="32"/>
          <w:lang w:eastAsia="zh-CN"/>
        </w:rPr>
        <w:t>S318线黄陵至郿岘公路郭家胡同至合水段改建工程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经庆阳市发展和改革委员会庆市发改（2016）353号文件批准立项，庆阳市交通运输局庆市交发（2017）117号文件批准施工图设计，路线全长26.322</w:t>
      </w:r>
      <w:r>
        <w:rPr>
          <w:rFonts w:hint="eastAsia" w:ascii="仿宋" w:hAnsi="仿宋" w:eastAsia="仿宋"/>
          <w:sz w:val="32"/>
          <w:szCs w:val="32"/>
        </w:rPr>
        <w:t>公里 ，</w:t>
      </w:r>
      <w:r>
        <w:rPr>
          <w:rFonts w:hint="eastAsia" w:ascii="Calibri" w:hAnsi="Calibri" w:eastAsia="仿宋_GB2312" w:cs="Times New Roman"/>
          <w:b w:val="0"/>
          <w:sz w:val="32"/>
          <w:szCs w:val="32"/>
          <w:lang w:val="en-US" w:eastAsia="zh-CN"/>
        </w:rPr>
        <w:t>建设标准采用三级公路技术标准，设计时速为30公里/小时，路基宽度8.5米，路面宽度8米，路面结构为3厘米厚细粒式沥青混凝土上面层（AM-13）+4厘米厚中粒式沥青碎石下面层（AM-16）+18厘米厚5%</w:t>
      </w:r>
      <w:bookmarkStart w:id="0" w:name="OLE_LINK2"/>
      <w:r>
        <w:rPr>
          <w:rFonts w:hint="eastAsia" w:ascii="Calibri" w:hAnsi="Calibri" w:eastAsia="仿宋_GB2312" w:cs="Times New Roman"/>
          <w:b w:val="0"/>
          <w:sz w:val="32"/>
          <w:szCs w:val="32"/>
          <w:lang w:val="en-US" w:eastAsia="zh-CN"/>
        </w:rPr>
        <w:t>水泥稳定砂砾基层</w:t>
      </w:r>
      <w:bookmarkEnd w:id="0"/>
      <w:r>
        <w:rPr>
          <w:rFonts w:hint="eastAsia" w:ascii="Calibri" w:hAnsi="Calibri" w:eastAsia="仿宋_GB2312" w:cs="Times New Roman"/>
          <w:b w:val="0"/>
          <w:sz w:val="32"/>
          <w:szCs w:val="32"/>
          <w:lang w:val="en-US" w:eastAsia="zh-CN"/>
        </w:rPr>
        <w:t>+18厘米厚3.5%水泥稳定砂砾底基层+15厘米厚8%灰土垫层，停车视距≥30米，最小曲线半径35米，最大纵坡7.9%，涵洞设计荷载：公路-</w:t>
      </w:r>
      <w:r>
        <w:rPr>
          <w:rFonts w:hint="eastAsia" w:ascii="Calibri" w:hAnsi="Calibri" w:eastAsia="仿宋_GB2312" w:cs="Times New Roman"/>
          <w:b w:val="0"/>
          <w:sz w:val="32"/>
          <w:szCs w:val="32"/>
          <w:lang w:val="en-US" w:eastAsia="zh-CN"/>
        </w:rPr>
        <w:fldChar w:fldCharType="begin"/>
      </w:r>
      <w:r>
        <w:rPr>
          <w:rFonts w:hint="eastAsia" w:ascii="Calibri" w:hAnsi="Calibri" w:eastAsia="仿宋_GB2312" w:cs="Times New Roman"/>
          <w:b w:val="0"/>
          <w:sz w:val="32"/>
          <w:szCs w:val="32"/>
          <w:lang w:val="en-US" w:eastAsia="zh-CN"/>
        </w:rPr>
        <w:instrText xml:space="preserve"> = 1 \* ROMAN \* MERGEFORMAT </w:instrText>
      </w:r>
      <w:r>
        <w:rPr>
          <w:rFonts w:hint="eastAsia" w:ascii="Calibri" w:hAnsi="Calibri" w:eastAsia="仿宋_GB2312" w:cs="Times New Roman"/>
          <w:b w:val="0"/>
          <w:sz w:val="32"/>
          <w:szCs w:val="32"/>
          <w:lang w:val="en-US" w:eastAsia="zh-CN"/>
        </w:rPr>
        <w:fldChar w:fldCharType="separate"/>
      </w:r>
      <w:r>
        <w:rPr>
          <w:rFonts w:hint="eastAsia" w:ascii="Calibri" w:hAnsi="Calibri" w:eastAsia="仿宋_GB2312" w:cs="Times New Roman"/>
          <w:b w:val="0"/>
          <w:sz w:val="32"/>
          <w:szCs w:val="32"/>
          <w:lang w:val="en-US" w:eastAsia="zh-CN"/>
        </w:rPr>
        <w:t>I</w:t>
      </w:r>
      <w:r>
        <w:rPr>
          <w:rFonts w:hint="eastAsia" w:ascii="Calibri" w:hAnsi="Calibri" w:eastAsia="仿宋_GB2312" w:cs="Times New Roman"/>
          <w:b w:val="0"/>
          <w:sz w:val="32"/>
          <w:szCs w:val="32"/>
          <w:lang w:val="en-US" w:eastAsia="zh-CN"/>
        </w:rPr>
        <w:fldChar w:fldCharType="end"/>
      </w:r>
      <w:r>
        <w:rPr>
          <w:rFonts w:hint="eastAsia" w:ascii="Calibri" w:hAnsi="Calibri" w:eastAsia="仿宋_GB2312" w:cs="Times New Roman"/>
          <w:b w:val="0"/>
          <w:sz w:val="32"/>
          <w:szCs w:val="32"/>
          <w:lang w:val="en-US" w:eastAsia="zh-CN"/>
        </w:rPr>
        <w:t>级，设计洪水频率1/25。</w:t>
      </w:r>
      <w:r>
        <w:rPr>
          <w:rFonts w:hint="eastAsia" w:ascii="仿宋" w:hAnsi="仿宋" w:eastAsia="仿宋"/>
          <w:sz w:val="32"/>
          <w:szCs w:val="32"/>
        </w:rPr>
        <w:t>项目总投资</w:t>
      </w: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val="en-US" w:eastAsia="zh-CN" w:bidi="ar-SA"/>
        </w:rPr>
        <w:t>11371.38</w:t>
      </w:r>
      <w:r>
        <w:rPr>
          <w:rFonts w:hint="eastAsia" w:ascii="仿宋" w:hAnsi="仿宋" w:eastAsia="仿宋"/>
          <w:sz w:val="32"/>
          <w:szCs w:val="32"/>
        </w:rPr>
        <w:t>万元。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二、事前绩效评估的基本情况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（一）评估程序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事前绩效评估分为事前绩效评估准备、事前绩效评估实施、事前绩效评估报告编制三个阶段。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1、事前绩效评估准备阶段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组建事前绩效评估工作组。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交通运输局绩效评估小组人员名单：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组长：杨锐龙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成员：李明、南岳鹏、姬 殷、梁  选、王守迪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特聘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专家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刘兴祥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主要职责和任务：评估小组主要任务是对本单位申报的项目进行充分分析，对各项指标进行逐一对照，采取现场检查、翻阅资料，召开评估会议的方式，对项目立项的合理性、投入的经济性、绩效目标合理性、实施方案可行性、资金使用合规性、预算编制准确性进行全方位的评估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制定事前绩效评估方案。方案包括:评估对象概况、评估依据和目的、评估组织和方法、评估内容与重点、必要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性。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2、事前绩效评估实施阶段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资料收集与审核。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评估组在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全面收集与被评估政策和项目有关的数据和资料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，进行审核与分析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认为该项目实施有利于交通发展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现场与非现场评估。现场评估是指评估组到现场采取勘察、询查、复核等方式,对有关情况进行调查、核实，并对所掌握的有关信息资料进行分类、整理和分析，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总体意见为该项目实施具有可行性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。非现场评估是指评估组在听取相关方汇报或介绍后，对所提交的有关资料进行分类、整理与分析，提出评估意见。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绩效评价指标分析情况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截止绩效评价日，该项目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切实为当地产业运输提供保障，满足沿线群众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安全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出行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需求，基本公共服务水平显著提升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，助推乡村振兴和路衍经济发展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项目无有责投诉。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从经济效益评价，该项目的实施将极大地改善我县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交通基础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设施运行条件，对县域交通条件改善显著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。对促进经济发展，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路域环境水平提升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发展，加快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推乡村振兴和路衍经济发展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具有重大意义。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从社会效益评价，该项目是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基础性工程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考核重点项目，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保障公路安全畅通，确保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群众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出行安全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，加快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推乡村振兴和路衍经济发展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具有十分重要的作用。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从可持续影响评价，该项目对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全县交通运输和经济、社会发展至关重要，保障全县客、货、邮安全畅通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。同时带动路衍经济发展。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综合评估。评估组在现场与非现场评估的基础上，选择合适的评估方法，对照评估方案中内容，对政策和项目立项必要性、投入经济性、绩效目标合理性、实施方案可行性、筹资合规性等情况进行综合评判，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认为该项目具有可行性，建议纳入2020年预算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numPr>
          <w:ilvl w:val="0"/>
          <w:numId w:val="1"/>
        </w:num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评估思路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评估工作对比上年项目预算执行情况、核定当年新增费用。</w:t>
      </w:r>
    </w:p>
    <w:p>
      <w:pPr>
        <w:numPr>
          <w:ilvl w:val="0"/>
          <w:numId w:val="1"/>
        </w:numPr>
        <w:spacing w:line="590" w:lineRule="exact"/>
        <w:ind w:left="0" w:leftChars="0"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评估方式、方法。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评估方式：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专家咨询、问卷调查、现场调研、召开座谈会方式。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评估方法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成本效益分析法、对比分析法、因素分析法、公众评判法等。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三、评估内容和结论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（一）立项必要性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。项目符合《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合水县发展规划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》对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城市管理工作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的相关要求，属财政支持范围。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（二）投入经济性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。项目投入成本与预期产出及效果基本匹配，预算测算较为充分，无遗漏项，在原有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管理范围上细化工作标准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，降低项目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运营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成本、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保证资金使用合理有效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（三）绩效目标合理性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。绩效目标较明确，项目预计解决的问题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完成的工作目标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与我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局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现实需求基本匹配。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（四）实施方案可行性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。项目实施计划安排合理，项目工作内容、方法、进度安排较合理，保障措施相对完备。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（五）筹资合规性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。资金来源符合相关规定，资金支出方式较合理，风险可控。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（六）预算编制准确性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预算编制严格按照上级文件要求，结合我局上年度运行实际编制，预算编制准确。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（七）总体结论。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综合评估结论项目基本可行，预期产出和效果满足我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局公路建设管理工作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需求，建议立项实施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推荐列入2020年预算。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四、评估的相关建议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建议对我局的管理职责和范围做详细了解。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五、其他需要说明的问题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项目计划总投资包含施工费、设计勘察费等与项目建设相关的所有费用，仅为初步概算,具体以实际组织实施支出科目为准。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六、评估人员签名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七、附件材料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1.立项依据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2.相关政策和部门职能规划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3.立项调研报告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4.政策、项目可行性报告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5.资金筹措方案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6.政策、项目实施方案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7.相关业务、财务、财产、内控等保障措施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8.绩效目标申报表和绩效标准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9.事前绩效评估专家组评估意见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10.县财政局认为还需补充的其他材料。</w:t>
      </w:r>
    </w:p>
    <w:p/>
    <w:p/>
    <w:p/>
    <w:p/>
    <w:p/>
    <w:p/>
    <w:p/>
    <w:p>
      <w:pPr>
        <w:widowControl/>
        <w:spacing w:after="120" w:afterLines="50" w:line="600" w:lineRule="exact"/>
        <w:jc w:val="left"/>
        <w:rPr>
          <w:rFonts w:ascii="Times New Roman" w:hAnsi="Times New Roman" w:eastAsia="方正小标宋简体"/>
          <w:color w:val="000000"/>
          <w:kern w:val="0"/>
          <w:sz w:val="40"/>
          <w:szCs w:val="40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附1：</w:t>
      </w:r>
    </w:p>
    <w:p>
      <w:pPr>
        <w:widowControl/>
        <w:spacing w:after="120" w:afterLines="50" w:line="600" w:lineRule="exact"/>
        <w:jc w:val="center"/>
        <w:rPr>
          <w:rFonts w:hint="eastAsia" w:ascii="Times New Roman" w:hAnsi="Times New Roman" w:eastAsia="方正小标宋简体"/>
          <w:color w:val="000000"/>
          <w:sz w:val="40"/>
          <w:szCs w:val="40"/>
          <w:lang w:val="en-US" w:eastAsia="zh-CN"/>
        </w:rPr>
      </w:pPr>
      <w:r>
        <w:rPr>
          <w:rFonts w:ascii="Times New Roman" w:hAnsi="Times New Roman" w:eastAsia="方正小标宋简体"/>
          <w:color w:val="000000"/>
          <w:kern w:val="0"/>
          <w:sz w:val="40"/>
          <w:szCs w:val="40"/>
        </w:rPr>
        <w:t>事前绩效评估指标及评分表</w:t>
      </w:r>
      <w:r>
        <w:rPr>
          <w:rFonts w:hint="eastAsia" w:ascii="Times New Roman" w:hAnsi="Times New Roman" w:eastAsia="方正小标宋简体"/>
          <w:color w:val="000000"/>
          <w:kern w:val="0"/>
          <w:sz w:val="40"/>
          <w:szCs w:val="40"/>
          <w:lang w:val="en-US" w:eastAsia="zh-CN"/>
        </w:rPr>
        <w:t>(S318线黄陵至郿岘公路郭家胡同至合水段改建工程）</w:t>
      </w:r>
    </w:p>
    <w:tbl>
      <w:tblPr>
        <w:tblStyle w:val="4"/>
        <w:tblW w:w="9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446"/>
        <w:gridCol w:w="1155"/>
        <w:gridCol w:w="525"/>
        <w:gridCol w:w="709"/>
        <w:gridCol w:w="2410"/>
        <w:gridCol w:w="3096"/>
        <w:gridCol w:w="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tblHeader/>
          <w:jc w:val="center"/>
        </w:trPr>
        <w:tc>
          <w:tcPr>
            <w:tcW w:w="717" w:type="dxa"/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一级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指标</w:t>
            </w:r>
          </w:p>
        </w:tc>
        <w:tc>
          <w:tcPr>
            <w:tcW w:w="446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分值</w:t>
            </w:r>
          </w:p>
        </w:tc>
        <w:tc>
          <w:tcPr>
            <w:tcW w:w="1155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二级指标</w:t>
            </w:r>
          </w:p>
        </w:tc>
        <w:tc>
          <w:tcPr>
            <w:tcW w:w="525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分值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目标值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评估要素</w:t>
            </w:r>
          </w:p>
        </w:tc>
        <w:tc>
          <w:tcPr>
            <w:tcW w:w="3096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评分标准</w:t>
            </w:r>
          </w:p>
        </w:tc>
        <w:tc>
          <w:tcPr>
            <w:tcW w:w="464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立项必要性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政策相关性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6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与国家政策和规划相关；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与我县行业发展规划相关。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职能相关性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与主管部门职能、规划及年度重点工作相关。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满足评价要素得全部指标分值，否则不得分。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需求相关性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8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spacing w:val="-8"/>
                <w:kern w:val="0"/>
                <w:sz w:val="22"/>
              </w:rPr>
              <w:t>项目具有迫切的现实需求；</w:t>
            </w:r>
            <w:r>
              <w:rPr>
                <w:rFonts w:ascii="Times New Roman" w:hAnsi="Times New Roman"/>
                <w:color w:val="000000"/>
                <w:spacing w:val="-8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spacing w:val="-8"/>
                <w:kern w:val="0"/>
                <w:sz w:val="22"/>
              </w:rPr>
              <w:t>项目不具有替代性；</w:t>
            </w:r>
            <w:r>
              <w:rPr>
                <w:rFonts w:ascii="Times New Roman" w:hAnsi="Times New Roman"/>
                <w:color w:val="000000"/>
                <w:spacing w:val="-8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spacing w:val="-8"/>
                <w:kern w:val="0"/>
                <w:sz w:val="22"/>
              </w:rPr>
              <w:t>项目有确定的服务对象或受益对象。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得指标分值的40%；满足评价要素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 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财政投入相关性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项目具有公共性，属于公共财政支持范围（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此项为否决性核心指标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）；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属于县级支出责任（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此项为否决性核心指标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）。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评估结论直接为“不予支持”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评估结论直接为“不予支持”。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投入经济性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20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投入产出合理性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合理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 xml:space="preserve">投入产出比科学合理，符合投入最小化、产出最大化预期。 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按照满足评价要素程度相应得分。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成本效益相关性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项目投入成本与预期效益高度相关，符合成本最小化、效益最大化预期。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按照满足评价要素程度相应得分。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成本控制措施有效性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4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有效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成本测算科学合理；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成本控制制度健全且措施有效。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绩效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目标合理性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绩效目标明确合理性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明确合理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是否设定绩效目标（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此项为否决性核心指标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）；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与部门长期规划目标、年度工作目标一致；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项目受益群体定位准确；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④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 xml:space="preserve">绩效目标与项目实施内容高度相关。 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得指标分值的25%，否则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评估结论直接为“不予支持”；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得指标分值的25%；满足评价要素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得指标分值的25%；满足评价要素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④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得指标分值的25%。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绩效指标细化量化程度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细化量化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将项目绩效目标细化量化为具体的绩效指标，包括产出指标和效果指标且符合相关原则，即指标是明确的、可衡量的、可实现的、相关的、具有时限的。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指标设置满足明确性，得指标分值的20%；指标设置满足可衡量性，得指标分值的20%；指标设置满足可实现性，得指标分值的20%；指标设置满足相关性，得指标分值的20%；指标设置满足时限，得指标分值的20%。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实施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方案可行性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实施方案完备性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完备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项目实施方案详实完备；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项目实施内容明确具体。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项目管理规范性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4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规范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项目设立、退出有明确的时限；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项目清理、退出、调整有明确的时限和步骤。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项目管理机构健全有效性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健全有效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项目的管理机构健全；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管理机构职责分工明确；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项目人员、设施、物资等基础保障条件完备。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项目实施计划可行性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可行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项目实施计划进度节点明确且安排合理；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项目实施计划与资金使用计划匹配；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实施计划符合全生命周期管理的要求。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得指标分值的40%；满足评价要素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项目管理制度健全性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健全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保障</w:t>
            </w:r>
            <w:r>
              <w:rPr>
                <w:rFonts w:ascii="Times New Roman" w:hAnsi="Times New Roman" w:eastAsia="仿宋_GB2312"/>
                <w:color w:val="000000"/>
                <w:spacing w:val="-6"/>
                <w:kern w:val="0"/>
                <w:sz w:val="22"/>
              </w:rPr>
              <w:t>项目实施的相关管理制度健全、措施有效。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满足评价要素得分，否则不得分。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筹资合规性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筹资来源合规性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合规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资金筹措渠道及方式合法合规；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 xml:space="preserve">资金投入来源结构合理、真实可靠。 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得指标分值的60%；满足评价要素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得指标分值的40%。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财政投入能力风险性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风险低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项目投入规模适当；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申请预算在财政可承受能力范围内。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筹资风险可控性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可控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对筹资风险认识全面；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针对预期风险制定相应的应对措施；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应对措施可行且有效。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</w:t>
            </w:r>
            <w:r>
              <w:rPr>
                <w:rFonts w:ascii="Times New Roman" w:hAnsi="Times New Roman" w:eastAsia="仿宋_GB2312"/>
                <w:color w:val="000000"/>
                <w:spacing w:val="-4"/>
                <w:kern w:val="0"/>
                <w:sz w:val="22"/>
              </w:rPr>
              <w:t>价要素</w:t>
            </w:r>
            <w:r>
              <w:rPr>
                <w:rFonts w:ascii="Times New Roman" w:hAnsi="Times New Roman"/>
                <w:color w:val="000000"/>
                <w:spacing w:val="-4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spacing w:val="-4"/>
                <w:kern w:val="0"/>
                <w:sz w:val="22"/>
              </w:rPr>
              <w:t>得指标分值的40%；满足评价要素</w:t>
            </w:r>
            <w:r>
              <w:rPr>
                <w:rFonts w:ascii="Times New Roman" w:hAnsi="Times New Roman"/>
                <w:color w:val="000000"/>
                <w:spacing w:val="-4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spacing w:val="-4"/>
                <w:kern w:val="0"/>
                <w:sz w:val="22"/>
              </w:rPr>
              <w:t>得指标分值的30%；满足评价要素</w:t>
            </w:r>
            <w:r>
              <w:rPr>
                <w:rFonts w:ascii="Times New Roman" w:hAnsi="Times New Roman"/>
                <w:color w:val="000000"/>
                <w:spacing w:val="-4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spacing w:val="-4"/>
                <w:kern w:val="0"/>
                <w:sz w:val="22"/>
              </w:rPr>
              <w:t>得指标分值的30%，否则不得分。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预算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编制准确性</w:t>
            </w:r>
          </w:p>
        </w:tc>
        <w:tc>
          <w:tcPr>
            <w:tcW w:w="44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预算编制准确性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科学合理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预算编制真实完整；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预算编制内容科学合理、明确细化（与绩效目标、实施方案紧密衔接）；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预算标准依据充分、测算准确。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得指标分值的40%；满足评价要素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44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100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—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100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—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—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—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100</w:t>
            </w:r>
          </w:p>
        </w:tc>
      </w:tr>
    </w:tbl>
    <w:p>
      <w:pPr>
        <w:widowControl/>
        <w:spacing w:line="720" w:lineRule="auto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56"/>
          <w:szCs w:val="5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9F2D57"/>
    <w:multiLevelType w:val="singleLevel"/>
    <w:tmpl w:val="B79F2D5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MzQyZmIyNjhmOWM4ZDkwYjEwYmYzMThhN2U1MmQifQ=="/>
  </w:docVars>
  <w:rsids>
    <w:rsidRoot w:val="00000000"/>
    <w:rsid w:val="03E8476A"/>
    <w:rsid w:val="15952E08"/>
    <w:rsid w:val="17C1793A"/>
    <w:rsid w:val="1BCB29BD"/>
    <w:rsid w:val="212F6972"/>
    <w:rsid w:val="26CB5E5B"/>
    <w:rsid w:val="28D61B44"/>
    <w:rsid w:val="386A4682"/>
    <w:rsid w:val="3D237088"/>
    <w:rsid w:val="40890388"/>
    <w:rsid w:val="41FB05ED"/>
    <w:rsid w:val="44522527"/>
    <w:rsid w:val="4C245B5C"/>
    <w:rsid w:val="561D018C"/>
    <w:rsid w:val="596546FA"/>
    <w:rsid w:val="61587D6F"/>
    <w:rsid w:val="63375273"/>
    <w:rsid w:val="66FD24E6"/>
    <w:rsid w:val="6EDC48EF"/>
    <w:rsid w:val="701614BB"/>
    <w:rsid w:val="70AD3CF1"/>
    <w:rsid w:val="75252C0E"/>
    <w:rsid w:val="759E3249"/>
    <w:rsid w:val="76866A50"/>
    <w:rsid w:val="77AF2DA4"/>
    <w:rsid w:val="79391802"/>
    <w:rsid w:val="7C996E99"/>
    <w:rsid w:val="7D16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宋体" w:hAnsi="宋体" w:cs="宋体"/>
      <w:sz w:val="16"/>
      <w:szCs w:val="16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3869</Words>
  <Characters>4065</Characters>
  <Lines>0</Lines>
  <Paragraphs>0</Paragraphs>
  <TotalTime>1</TotalTime>
  <ScaleCrop>false</ScaleCrop>
  <LinksUpToDate>false</LinksUpToDate>
  <CharactersWithSpaces>4075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2023-05-31T07:56:00Z</dcterms:created>
  <dc:creator>Administrator</dc:creator>
  <cp:lastModifiedBy>lenovo</cp:lastModifiedBy>
  <dcterms:modified xsi:type="dcterms:W3CDTF">2023-06-22T03:33:56Z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C1940CA84E9E40CE984A49A3FCCA1288_12</vt:lpwstr>
  </property>
</Properties>
</file>