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left="880" w:hanging="880" w:hangingChars="200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color w:val="000000"/>
          <w:sz w:val="44"/>
          <w:szCs w:val="44"/>
          <w:lang w:eastAsia="zh-CN"/>
        </w:rPr>
        <w:t>合水县乐蟠初级中学</w:t>
      </w:r>
      <w:r>
        <w:rPr>
          <w:rFonts w:hint="eastAsia" w:ascii="仿宋" w:hAnsi="仿宋" w:eastAsia="仿宋" w:cs="仿宋"/>
          <w:color w:val="000000"/>
          <w:sz w:val="44"/>
          <w:szCs w:val="44"/>
        </w:rPr>
        <w:t>实验楼、宿舍楼维修及多媒体报告厅装修</w:t>
      </w:r>
      <w:r>
        <w:rPr>
          <w:rFonts w:hint="eastAsia" w:ascii="仿宋" w:hAnsi="仿宋" w:eastAsia="仿宋" w:cs="仿宋"/>
          <w:color w:val="000000"/>
          <w:sz w:val="44"/>
          <w:szCs w:val="44"/>
          <w:lang w:eastAsia="zh-CN"/>
        </w:rPr>
        <w:t>项目评估报告</w:t>
      </w:r>
    </w:p>
    <w:p>
      <w:pPr>
        <w:pStyle w:val="2"/>
        <w:spacing w:line="60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一、项目基本情况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合水县乐蟠初级中学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实验楼、宿舍楼维修及多媒体报告厅装修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项目。</w:t>
      </w:r>
    </w:p>
    <w:p>
      <w:pPr>
        <w:pStyle w:val="2"/>
        <w:adjustRightInd w:val="0"/>
        <w:spacing w:line="62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（二）项目依据。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依据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合水县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年县政府会议纪要要求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县财政安排乐蟠初级中学实验楼、宿舍楼维修项目及多媒体报告厅装修项目支出共计481万元。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（二）项目预算安排及使用情况。县财政年初预算安排202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合水县乐蟠初级中学项目支出481万元。其中实验楼、宿舍楼维修项目支出54.38万元，多媒体报告厅装修项目426.62万元。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资金来源为县财政全额拨款。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二、项目绩效目标</w:t>
      </w:r>
    </w:p>
    <w:p>
      <w:pPr>
        <w:pStyle w:val="2"/>
        <w:numPr>
          <w:ilvl w:val="0"/>
          <w:numId w:val="0"/>
        </w:numPr>
        <w:adjustRightInd w:val="0"/>
        <w:spacing w:line="62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确保项目正常实施，从根本上解决学校办公设施不足的问题，保证学校工作正常运转、完成教育教学活动和其他日常工作任务等。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三、评价基本情况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目的。完成县委、县政府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县教科局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下达的各项工作任务。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事前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评估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对象。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成立项目评估小组，确定评估工作人员，明确评估责任和任务，制定评估方案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实施阶段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、资料收集与审核：全面收集合水县乐蟠初级中学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实验楼、宿舍楼维修及多媒体报告厅装修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项目有关的数据及资料，并进行审核与分析。</w:t>
      </w:r>
    </w:p>
    <w:p>
      <w:pPr>
        <w:pStyle w:val="2"/>
        <w:spacing w:line="60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、开展现场与非现场评估：评估小组到现场勘察、询查、复核，对有关情况进行调查、核实，并对提供的有关数据和资料进行分类、整理与分析，提出评估意见。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、综合评估：通过召开教师代表座谈会、邀请专家、技术管理和财务等相关参与事前评估工作，结合现场调研，查看政策和项目实施现场的方式，对相关问题进行集中讨论交流，征询意见，提出评估意见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（四）报告阶段。根据评估情况出具事前评估报告。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四、评估结论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1、立项的必要性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提高学校教育教学质量和水平，推进基本教育均等化，完善办学标准，办人民满意的高教育教学质量。</w:t>
      </w:r>
    </w:p>
    <w:p>
      <w:pPr>
        <w:pStyle w:val="2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项目可行性</w:t>
      </w:r>
    </w:p>
    <w:p>
      <w:pPr>
        <w:pStyle w:val="2"/>
        <w:numPr>
          <w:ilvl w:val="0"/>
          <w:numId w:val="0"/>
        </w:numPr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项目建成后，教学条件将得到明显改善，师生生活和工作积极性将得到进一步提高。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绩效目标合理性</w:t>
      </w:r>
    </w:p>
    <w:p>
      <w:pPr>
        <w:pStyle w:val="2"/>
        <w:numPr>
          <w:ilvl w:val="0"/>
          <w:numId w:val="0"/>
        </w:numPr>
        <w:spacing w:line="60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绩效目标明确，与项目预计解决的问题，现实需求基本匹配。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项目建设方案基本可行，建设内容、可行性、进度安排较合理，保障措施相对完备。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预算编制准确性 </w:t>
      </w:r>
    </w:p>
    <w:p>
      <w:pPr>
        <w:pStyle w:val="2"/>
        <w:numPr>
          <w:ilvl w:val="0"/>
          <w:numId w:val="0"/>
        </w:numPr>
        <w:spacing w:line="60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预算编制准确，预算编制委托第三方审核预算。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总体结论</w:t>
      </w:r>
    </w:p>
    <w:p>
      <w:pPr>
        <w:pStyle w:val="2"/>
        <w:numPr>
          <w:ilvl w:val="0"/>
          <w:numId w:val="0"/>
        </w:numPr>
        <w:spacing w:line="60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项目基本可行，建议调整完善后立项实施。</w:t>
      </w:r>
    </w:p>
    <w:p>
      <w:pPr>
        <w:pStyle w:val="2"/>
        <w:numPr>
          <w:ilvl w:val="0"/>
          <w:numId w:val="2"/>
        </w:numPr>
        <w:tabs>
          <w:tab w:val="left" w:pos="378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评估的相关建议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进一步明确绩效目标，细化、量化相关指标。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细化工作内容，完善工作手段，调整工作部署和进度安排。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细化完善项目预算。</w:t>
      </w:r>
    </w:p>
    <w:p>
      <w:pPr>
        <w:pStyle w:val="2"/>
        <w:numPr>
          <w:ilvl w:val="0"/>
          <w:numId w:val="0"/>
        </w:numPr>
        <w:spacing w:line="60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</w:t>
      </w:r>
    </w:p>
    <w:p>
      <w:pPr>
        <w:spacing w:line="680" w:lineRule="exact"/>
        <w:ind w:right="4"/>
        <w:jc w:val="center"/>
        <w:rPr>
          <w:rFonts w:ascii="Times New Roman" w:hAnsi="Times New Roman" w:eastAsia="方正小标宋简体"/>
          <w:bCs/>
          <w:color w:val="000000"/>
          <w:sz w:val="40"/>
          <w:szCs w:val="40"/>
        </w:rPr>
      </w:pPr>
    </w:p>
    <w:p>
      <w:pPr>
        <w:pStyle w:val="2"/>
        <w:widowControl w:val="0"/>
        <w:numPr>
          <w:ilvl w:val="0"/>
          <w:numId w:val="0"/>
        </w:numPr>
        <w:spacing w:line="600" w:lineRule="exact"/>
        <w:jc w:val="both"/>
        <w:rPr>
          <w:rFonts w:hint="eastAsia" w:ascii="Times New Roman" w:hAnsi="Times New Roman" w:eastAsia="黑体" w:cs="Times New Roman"/>
          <w:color w:val="C00000"/>
          <w:sz w:val="36"/>
          <w:szCs w:val="36"/>
          <w:lang w:val="en-US" w:eastAsia="zh-CN"/>
        </w:rPr>
      </w:pPr>
    </w:p>
    <w:p>
      <w:pPr>
        <w:spacing w:line="62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62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1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1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6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D5C49"/>
    <w:multiLevelType w:val="singleLevel"/>
    <w:tmpl w:val="AADD5C49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1">
    <w:nsid w:val="FC28A277"/>
    <w:multiLevelType w:val="singleLevel"/>
    <w:tmpl w:val="FC28A277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DC72DBE"/>
    <w:multiLevelType w:val="singleLevel"/>
    <w:tmpl w:val="2DC72DB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TkwZmUyOTU2NWJiOGFkNjA2NjkwYzk5M2FjYzQifQ=="/>
  </w:docVars>
  <w:rsids>
    <w:rsidRoot w:val="00000000"/>
    <w:rsid w:val="04542778"/>
    <w:rsid w:val="06803D03"/>
    <w:rsid w:val="0B011C59"/>
    <w:rsid w:val="2F1F738C"/>
    <w:rsid w:val="65C1701C"/>
    <w:rsid w:val="76B9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926</Words>
  <Characters>948</Characters>
  <Lines>0</Lines>
  <Paragraphs>0</Paragraphs>
  <TotalTime>2</TotalTime>
  <ScaleCrop>false</ScaleCrop>
  <LinksUpToDate>false</LinksUpToDate>
  <CharactersWithSpaces>960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Allyes</cp:lastModifiedBy>
  <dcterms:modified xsi:type="dcterms:W3CDTF">2023-06-23T12:12:59Z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EB13E7E5D01C4F4CA31C96EC13FF733C_12</vt:lpwstr>
  </property>
</Properties>
</file>