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</w:rPr>
      </w:pPr>
    </w:p>
    <w:p>
      <w:pPr>
        <w:widowControl/>
        <w:spacing w:line="700" w:lineRule="exact"/>
        <w:jc w:val="center"/>
        <w:rPr>
          <w:rFonts w:hint="eastAsia" w:ascii="仿宋" w:hAnsi="仿宋" w:eastAsia="仿宋"/>
          <w:b/>
          <w:bCs/>
          <w:sz w:val="44"/>
          <w:szCs w:val="48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8"/>
          <w:lang w:eastAsia="zh-CN"/>
        </w:rPr>
        <w:t>合水县肖咀乡中心小学</w:t>
      </w:r>
      <w:r>
        <w:rPr>
          <w:rFonts w:hint="eastAsia" w:ascii="仿宋" w:hAnsi="仿宋" w:eastAsia="仿宋"/>
          <w:b/>
          <w:bCs/>
          <w:sz w:val="44"/>
          <w:szCs w:val="48"/>
          <w:lang w:val="en-US" w:eastAsia="zh-CN"/>
        </w:rPr>
        <w:t>空气源热泵供热系统</w:t>
      </w:r>
      <w:r>
        <w:rPr>
          <w:rFonts w:hint="eastAsia" w:ascii="仿宋" w:hAnsi="仿宋" w:eastAsia="仿宋"/>
          <w:b/>
          <w:bCs/>
          <w:sz w:val="44"/>
          <w:szCs w:val="48"/>
        </w:rPr>
        <w:t>设施购置</w:t>
      </w:r>
      <w:r>
        <w:rPr>
          <w:rFonts w:ascii="仿宋" w:hAnsi="仿宋" w:eastAsia="仿宋"/>
          <w:b/>
          <w:bCs/>
          <w:sz w:val="44"/>
          <w:szCs w:val="48"/>
        </w:rPr>
        <w:t>项目</w:t>
      </w:r>
      <w:r>
        <w:rPr>
          <w:rFonts w:hint="eastAsia" w:ascii="仿宋" w:hAnsi="仿宋" w:eastAsia="仿宋"/>
          <w:b/>
          <w:bCs/>
          <w:sz w:val="44"/>
          <w:szCs w:val="48"/>
          <w:lang w:eastAsia="zh-CN"/>
        </w:rPr>
        <w:t>事前绩效评估报告</w:t>
      </w:r>
    </w:p>
    <w:p>
      <w:pPr>
        <w:jc w:val="center"/>
        <w:rPr>
          <w:rFonts w:ascii="仿宋" w:hAnsi="仿宋" w:eastAsia="仿宋"/>
          <w:b/>
          <w:bCs/>
          <w:sz w:val="44"/>
          <w:szCs w:val="48"/>
        </w:rPr>
      </w:pPr>
    </w:p>
    <w:p/>
    <w:p/>
    <w:p/>
    <w:p/>
    <w:p/>
    <w:p/>
    <w:p/>
    <w:p/>
    <w:p/>
    <w:p/>
    <w:p/>
    <w:p/>
    <w:p>
      <w:pPr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</w:rPr>
      </w:pPr>
    </w:p>
    <w:p>
      <w:pPr>
        <w:rPr>
          <w:rFonts w:hint="eastAsia" w:ascii="仿宋" w:hAnsi="仿宋" w:eastAsia="仿宋"/>
          <w:b/>
          <w:bCs/>
          <w:sz w:val="44"/>
          <w:szCs w:val="4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项目名称：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空气源热泵供热系统</w:t>
      </w:r>
      <w:r>
        <w:rPr>
          <w:rFonts w:hint="eastAsia" w:ascii="仿宋" w:hAnsi="仿宋" w:eastAsia="仿宋"/>
          <w:b/>
          <w:bCs/>
          <w:sz w:val="32"/>
          <w:szCs w:val="32"/>
        </w:rPr>
        <w:t>设施购置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项目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采购单位：合水县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合水县肖咀乡中心小学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</w:t>
      </w:r>
      <w:r>
        <w:rPr>
          <w:rFonts w:ascii="仿宋" w:hAnsi="仿宋" w:eastAsia="仿宋"/>
          <w:b/>
          <w:bCs/>
          <w:sz w:val="30"/>
          <w:szCs w:val="30"/>
        </w:rPr>
        <w:t xml:space="preserve"> 、项目基本情况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（一）概况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1、项目立项的背景和目的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为响应国家环保及节能政策，结合我校实际情况，通过走访及群众代表座谈等多种形式调查研究项目实施的可行性，申请采购量子能智能供热系统。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2、项目预算资金来源及使用情况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1）项目预算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合水县政府采购计划备案表中采购项目预算为112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86万</w:t>
      </w:r>
      <w:r>
        <w:rPr>
          <w:rFonts w:ascii="仿宋" w:hAnsi="仿宋" w:eastAsia="仿宋"/>
          <w:sz w:val="30"/>
          <w:szCs w:val="30"/>
        </w:rPr>
        <w:t>元。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2）资金来源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财政性资金。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3）预算资金使用情况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空气源热泵供热系统</w:t>
      </w:r>
      <w:r>
        <w:rPr>
          <w:rFonts w:hint="eastAsia" w:ascii="仿宋" w:hAnsi="仿宋" w:eastAsia="仿宋"/>
          <w:sz w:val="30"/>
          <w:szCs w:val="30"/>
        </w:rPr>
        <w:t>设施购置</w:t>
      </w:r>
      <w:r>
        <w:rPr>
          <w:rFonts w:ascii="仿宋" w:hAnsi="仿宋" w:eastAsia="仿宋"/>
          <w:sz w:val="30"/>
          <w:szCs w:val="30"/>
        </w:rPr>
        <w:t>预算</w:t>
      </w:r>
      <w:r>
        <w:rPr>
          <w:rFonts w:hint="eastAsia" w:ascii="仿宋" w:hAnsi="仿宋" w:eastAsia="仿宋"/>
          <w:sz w:val="30"/>
          <w:szCs w:val="30"/>
        </w:rPr>
        <w:t>112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86万</w:t>
      </w:r>
      <w:r>
        <w:rPr>
          <w:rFonts w:ascii="仿宋" w:hAnsi="仿宋" w:eastAsia="仿宋"/>
          <w:sz w:val="30"/>
          <w:szCs w:val="30"/>
        </w:rPr>
        <w:t>元，</w:t>
      </w:r>
      <w:r>
        <w:rPr>
          <w:rFonts w:hint="eastAsia" w:ascii="仿宋" w:hAnsi="仿宋" w:eastAsia="仿宋"/>
          <w:sz w:val="30"/>
          <w:szCs w:val="30"/>
          <w:lang w:eastAsia="zh-CN"/>
        </w:rPr>
        <w:t>采购代理机构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甘肃汇江项目管理咨询有限公司</w:t>
      </w:r>
      <w:r>
        <w:rPr>
          <w:rFonts w:ascii="仿宋" w:hAnsi="仿宋" w:eastAsia="仿宋"/>
          <w:sz w:val="30"/>
          <w:szCs w:val="30"/>
        </w:rPr>
        <w:t>于20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</w:t>
      </w:r>
      <w:r>
        <w:rPr>
          <w:rFonts w:ascii="仿宋" w:hAnsi="仿宋" w:eastAsia="仿宋"/>
          <w:sz w:val="30"/>
          <w:szCs w:val="30"/>
        </w:rPr>
        <w:t>年12月8日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采购银川艾尼工业科技开发股份有限公司</w:t>
      </w:r>
      <w:r>
        <w:rPr>
          <w:rFonts w:ascii="仿宋" w:hAnsi="仿宋" w:eastAsia="仿宋"/>
          <w:sz w:val="30"/>
          <w:szCs w:val="30"/>
        </w:rPr>
        <w:t>签订采购合同，合同金额为</w:t>
      </w:r>
      <w:r>
        <w:rPr>
          <w:rFonts w:hint="eastAsia" w:ascii="仿宋" w:hAnsi="仿宋" w:eastAsia="仿宋"/>
          <w:sz w:val="30"/>
          <w:szCs w:val="30"/>
        </w:rPr>
        <w:t>112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86万</w:t>
      </w:r>
      <w:r>
        <w:rPr>
          <w:rFonts w:ascii="仿宋" w:hAnsi="仿宋" w:eastAsia="仿宋"/>
          <w:sz w:val="30"/>
          <w:szCs w:val="30"/>
        </w:rPr>
        <w:t>元。</w:t>
      </w:r>
      <w:r>
        <w:rPr>
          <w:rFonts w:hint="eastAsia" w:ascii="仿宋" w:hAnsi="仿宋" w:eastAsia="仿宋"/>
          <w:sz w:val="30"/>
          <w:szCs w:val="30"/>
        </w:rPr>
        <w:t>以前年度支出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49.46</w:t>
      </w:r>
      <w:r>
        <w:rPr>
          <w:rFonts w:hint="eastAsia" w:ascii="仿宋" w:hAnsi="仿宋" w:eastAsia="仿宋"/>
          <w:sz w:val="30"/>
          <w:szCs w:val="30"/>
        </w:rPr>
        <w:t>元，</w:t>
      </w:r>
      <w:r>
        <w:rPr>
          <w:rFonts w:ascii="仿宋" w:hAnsi="仿宋" w:eastAsia="仿宋"/>
          <w:sz w:val="30"/>
          <w:szCs w:val="30"/>
        </w:rPr>
        <w:t>2020年6月</w:t>
      </w:r>
      <w:r>
        <w:rPr>
          <w:rFonts w:hint="eastAsia" w:ascii="仿宋" w:hAnsi="仿宋" w:eastAsia="仿宋"/>
          <w:sz w:val="30"/>
          <w:szCs w:val="30"/>
        </w:rPr>
        <w:t>国库集中</w:t>
      </w:r>
      <w:r>
        <w:rPr>
          <w:rFonts w:ascii="仿宋" w:hAnsi="仿宋" w:eastAsia="仿宋"/>
          <w:sz w:val="30"/>
          <w:szCs w:val="30"/>
        </w:rPr>
        <w:t>支付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63.4</w:t>
      </w:r>
      <w:r>
        <w:rPr>
          <w:rFonts w:hint="eastAsia" w:ascii="仿宋" w:hAnsi="仿宋" w:eastAsia="仿宋"/>
          <w:sz w:val="30"/>
          <w:szCs w:val="30"/>
        </w:rPr>
        <w:t>万</w:t>
      </w:r>
      <w:r>
        <w:rPr>
          <w:rFonts w:ascii="仿宋" w:hAnsi="仿宋" w:eastAsia="仿宋"/>
          <w:sz w:val="30"/>
          <w:szCs w:val="30"/>
        </w:rPr>
        <w:t>元。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3、项目实施内容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空气源热泵供热系统1</w:t>
      </w:r>
      <w:r>
        <w:rPr>
          <w:rFonts w:hint="eastAsia" w:ascii="仿宋" w:hAnsi="仿宋" w:eastAsia="仿宋"/>
          <w:sz w:val="30"/>
          <w:szCs w:val="30"/>
        </w:rPr>
        <w:t>套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含60P空气源供热机组1台，50P空气源供热机组3台，共两套供热循环；变电设备1套；室外管道改造440米；室内管道改造及暖气片安装329平方米；设备间2个</w:t>
      </w:r>
      <w:r>
        <w:rPr>
          <w:rFonts w:hint="eastAsia" w:ascii="仿宋" w:hAnsi="仿宋" w:eastAsia="仿宋"/>
          <w:sz w:val="30"/>
          <w:szCs w:val="30"/>
          <w:lang w:eastAsia="zh-CN"/>
        </w:rPr>
        <w:t>）（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详见合同附表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4、项目的组织及采购流程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1）项目组织结构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本项目由采购单位合水县</w:t>
      </w: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</w:rPr>
        <w:t>负责实施。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2）采购流程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本项目采用公开招标方式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（二）项目绩效目标</w:t>
      </w:r>
    </w:p>
    <w:p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1、绩效总目标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采购合水县</w:t>
      </w: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</w:rPr>
        <w:t>供热设施绩效评价。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二、绩效评价工作情况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（一）绩效评价目的及评价依据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1、评价目的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通过本次绩效评价，全面摸排合水县</w:t>
      </w: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</w:rPr>
        <w:t>供热设施的实施情况，评价政府采购法律法规和相关政策、制度的执行情况，政府采购活动的专业性、效率性、公开性、公平性和公正性，政府采购结果的需求相关性、经济性、效益性和有效性，政府采购当事人和服务对象满意度，政府采购当事人诚实信用情况。并总结项目取得的成果及存在问题，提高财政资金的使用质量与效率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2、评价依据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1）《中央部门预算绩效运行监控管理暂行办法》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2）《关于印发《项目支出绩效评价管理办法》的通知》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3）《关于印发《财政支出（项目支出）绩效评价操作指引(试行)》的通知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4）《</w:t>
      </w:r>
      <w:r>
        <w:rPr>
          <w:rFonts w:hint="eastAsia" w:ascii="仿宋" w:hAnsi="仿宋" w:eastAsia="仿宋"/>
          <w:sz w:val="30"/>
          <w:szCs w:val="30"/>
        </w:rPr>
        <w:t>合水县</w:t>
      </w:r>
      <w:r>
        <w:rPr>
          <w:rFonts w:ascii="仿宋" w:hAnsi="仿宋" w:eastAsia="仿宋"/>
          <w:sz w:val="30"/>
          <w:szCs w:val="30"/>
        </w:rPr>
        <w:t>预算绩效管理暂行办法》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5）《中华人民共和国招标投标法》和《中华人民共和国招标投标法实施条例》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6）《中华人民共和国政府采购法》、《中华人民共和国政府采购法实施条例》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7）《中华人民共和国财政部令第87号--政府采购货物和服务招标投标管理办法》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8）《合水县级政府采购项目绩效评价暂行办法》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9）《财政部关于做好政府采购信息公开工作的通知》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（二）绩效评价工作方案制定过程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1、前期调研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通过查阅资料了解项目的基本情况，包括项目实施背景、计划实施内容、组织实施流程、项目验收等，并收集招标文件、采购计划备案表、采购合同、验收报告等相关文件资料。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2、研究文件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对项目概况初步了解后，组织项目评价小组成员对收集到的文件资料进行研读，并查阅与项目实施密切相关的规章制度、文件规定，力求获取对项目全方位的了解。根据县财政局的要求，结合项目特点，形成项目评价的总体思路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3、工作方案</w:t>
      </w:r>
      <w:r>
        <w:rPr>
          <w:rFonts w:hint="eastAsia" w:ascii="仿宋" w:hAnsi="仿宋" w:eastAsia="仿宋"/>
          <w:b/>
          <w:bCs/>
          <w:sz w:val="30"/>
          <w:szCs w:val="30"/>
        </w:rPr>
        <w:t>制定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根据前期调研结果和对相关文件资料的研读，结合项目计划实施内容，形成方案初稿，并就方案的可行性、合理性向项目主管部门征求意见，根据反馈意见修改后形成最终的项目绩效评价方案。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（三）绩效评价原则、评价方法等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1、绩效评价原则</w:t>
      </w:r>
    </w:p>
    <w:p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1）科学规范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绩效评价注重财政支出的经济性、效率性和有效性，严格执行规定的程序，采用定量与定性分析相结合的方法。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2）公正公开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绩效评价客观、公正，标准统一、资料可靠，依法公开并接受监督。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3）绩效相关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绩效评价针对具体支出及其产出绩效进行，评价结果清晰反映支出和产出绩效之间的紧密对应关系。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2、评价方法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本项目进行绩效评价时采用比较法、公众评判法等方法。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（1）</w:t>
      </w:r>
      <w:r>
        <w:rPr>
          <w:rFonts w:ascii="仿宋" w:hAnsi="仿宋" w:eastAsia="仿宋"/>
          <w:b/>
          <w:bCs/>
          <w:sz w:val="30"/>
          <w:szCs w:val="30"/>
        </w:rPr>
        <w:t>比较法：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充分运用项目采购计划备案资料、国家、</w:t>
      </w:r>
      <w:r>
        <w:rPr>
          <w:rFonts w:hint="eastAsia" w:ascii="仿宋" w:hAnsi="仿宋" w:eastAsia="仿宋"/>
          <w:sz w:val="30"/>
          <w:szCs w:val="30"/>
        </w:rPr>
        <w:t>甘肃省</w:t>
      </w:r>
      <w:r>
        <w:rPr>
          <w:rFonts w:ascii="仿宋" w:hAnsi="仿宋" w:eastAsia="仿宋"/>
          <w:sz w:val="30"/>
          <w:szCs w:val="30"/>
        </w:rPr>
        <w:t>、合水县发布的有关政府采购的各项法律法规，对比项目实际情况，找出差异与不足，对项目的各项绩效目标进行分析与评价。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（2）</w:t>
      </w:r>
      <w:r>
        <w:rPr>
          <w:rFonts w:ascii="仿宋" w:hAnsi="仿宋" w:eastAsia="仿宋"/>
          <w:b/>
          <w:bCs/>
          <w:sz w:val="30"/>
          <w:szCs w:val="30"/>
        </w:rPr>
        <w:t>公众评判法：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通过开展较为广泛的公众问卷调查，对项目产生的效果进行评判，以评价绩效目标实现程度。</w:t>
      </w:r>
      <w:r>
        <w:rPr>
          <w:rFonts w:hint="eastAsia" w:ascii="仿宋" w:hAnsi="仿宋" w:eastAsia="仿宋"/>
          <w:sz w:val="30"/>
          <w:szCs w:val="30"/>
        </w:rPr>
        <w:t>通过</w:t>
      </w:r>
      <w:r>
        <w:rPr>
          <w:rFonts w:ascii="仿宋" w:hAnsi="仿宋" w:eastAsia="仿宋"/>
          <w:sz w:val="30"/>
          <w:szCs w:val="30"/>
        </w:rPr>
        <w:t>访谈和调研，从不同角度了解项目实施的产出和效果。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（3）</w:t>
      </w:r>
      <w:r>
        <w:rPr>
          <w:rFonts w:ascii="仿宋" w:hAnsi="仿宋" w:eastAsia="仿宋"/>
          <w:b/>
          <w:bCs/>
          <w:sz w:val="30"/>
          <w:szCs w:val="30"/>
        </w:rPr>
        <w:t>因素分析法：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综合分析影响绩效目标实现、实施效果的内外因素，评价绩效目标实现程度。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4）其他评价方法。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3、数据收集与绩效评价实施过程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价小组在工作方案指导下，开展绩效评价工作。广泛收集项目资料并分析项目情况，采用会议讨论与问卷调查相结合的方法收集一手数据，通过对资料分析、研究、总结，对指标体系评分，得出项目取得的成绩，指出项目存在的问题，提出相关建议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1）资料收集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绩效评价组以绩效评价指标体系要求为基础进行资料收集，收集了项目实施过程中的各项资料，包括预算编制、采购计划、采购需求、项目备案资料、招标公告、合同文件、质量验收记录等。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2）问卷调查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为更进一步了解项目实施的各项情况，我们开展师生访谈与问卷调查方案，发放问卷</w:t>
      </w:r>
      <w:r>
        <w:rPr>
          <w:rFonts w:ascii="仿宋" w:hAnsi="仿宋" w:eastAsia="仿宋"/>
          <w:sz w:val="30"/>
          <w:szCs w:val="30"/>
        </w:rPr>
        <w:t>30份，回收有效问卷30份。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3）分析研究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按照制定的绩效评价指标体系，根据以上收集的资料、访谈与问卷调查等，对各项绩效评价指标进行分析与评价。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4）归纳总结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在充分调研、分析的基础上，对项目取得的成效与经验、项目存在的问题进行归纳总结，并提出相关建议。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ascii="仿宋" w:hAnsi="仿宋" w:eastAsia="仿宋"/>
          <w:b/>
          <w:bCs/>
          <w:sz w:val="30"/>
          <w:szCs w:val="30"/>
        </w:rPr>
        <w:t>5）形成报告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在资料收集、问卷调查、分析研究、归纳总结的基础上，编制报告初稿，并小组会议的意见对报告进行修改，形成绩效评价最终报告。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三、评价结论和绩效分析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（一）评价结论</w:t>
      </w:r>
    </w:p>
    <w:p>
      <w:pPr>
        <w:ind w:firstLine="600" w:firstLineChars="200"/>
        <w:rPr>
          <w:rFonts w:ascii="仿宋" w:hAnsi="仿宋" w:eastAsia="仿宋"/>
          <w:snapToGrid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本次评价在资料查阅、现场调研、问卷调查基础上，对</w:t>
      </w:r>
      <w:r>
        <w:rPr>
          <w:rFonts w:ascii="仿宋" w:hAnsi="仿宋" w:eastAsia="仿宋"/>
          <w:sz w:val="30"/>
          <w:szCs w:val="30"/>
        </w:rPr>
        <w:t>2020年合水县</w:t>
      </w: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</w:rPr>
        <w:t>供热设施</w:t>
      </w:r>
      <w:r>
        <w:rPr>
          <w:rFonts w:ascii="仿宋" w:hAnsi="仿宋" w:eastAsia="仿宋"/>
          <w:sz w:val="30"/>
          <w:szCs w:val="30"/>
        </w:rPr>
        <w:t>项目绩效进行逐项打分、客观评价，最终评分结果：总得分为94分。</w:t>
      </w:r>
      <w:r>
        <w:rPr>
          <w:rFonts w:hint="eastAsia" w:ascii="仿宋" w:hAnsi="仿宋" w:eastAsia="仿宋"/>
          <w:snapToGrid w:val="0"/>
          <w:sz w:val="30"/>
          <w:szCs w:val="30"/>
        </w:rPr>
        <w:t>项目各部分权重和绩效分值如下表1：</w:t>
      </w:r>
    </w:p>
    <w:p>
      <w:pPr>
        <w:ind w:firstLine="2409" w:firstLineChars="8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napToGrid w:val="0"/>
          <w:sz w:val="30"/>
          <w:szCs w:val="30"/>
        </w:rPr>
        <w:t>表1：项目绩效评分汇总表</w:t>
      </w:r>
    </w:p>
    <w:tbl>
      <w:tblPr>
        <w:tblStyle w:val="11"/>
        <w:tblpPr w:leftFromText="180" w:rightFromText="180" w:vertAnchor="text" w:horzAnchor="page" w:tblpXSpec="center" w:tblpY="43"/>
        <w:tblOverlap w:val="never"/>
        <w:tblW w:w="52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558"/>
        <w:gridCol w:w="1587"/>
        <w:gridCol w:w="1485"/>
        <w:gridCol w:w="1539"/>
        <w:gridCol w:w="1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Calibri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  <w:t>指标</w:t>
            </w:r>
          </w:p>
        </w:tc>
        <w:tc>
          <w:tcPr>
            <w:tcW w:w="9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  <w:t>A.经济性指标</w:t>
            </w:r>
          </w:p>
        </w:tc>
        <w:tc>
          <w:tcPr>
            <w:tcW w:w="9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  <w:t>B.效率性指标</w:t>
            </w:r>
          </w:p>
        </w:tc>
        <w:tc>
          <w:tcPr>
            <w:tcW w:w="8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6"/>
                <w:kern w:val="0"/>
                <w:sz w:val="30"/>
                <w:szCs w:val="30"/>
                <w14:ligatures w14:val="none"/>
              </w:rPr>
              <w:t>C.</w:t>
            </w:r>
            <w:r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  <w:t>有效性指标</w:t>
            </w:r>
          </w:p>
        </w:tc>
        <w:tc>
          <w:tcPr>
            <w:tcW w:w="8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  <w:t>D.公平性指标</w:t>
            </w:r>
          </w:p>
        </w:tc>
        <w:tc>
          <w:tcPr>
            <w:tcW w:w="7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4"/>
                <w:kern w:val="0"/>
                <w:sz w:val="30"/>
                <w:szCs w:val="30"/>
                <w14:ligatures w14:val="none"/>
              </w:rPr>
              <w:t>合计分</w:t>
            </w:r>
            <w:r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16"/>
                <w:kern w:val="0"/>
                <w:sz w:val="30"/>
                <w:szCs w:val="30"/>
                <w14:ligatures w14:val="none"/>
              </w:rPr>
              <w:t>权</w:t>
            </w:r>
            <w:r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  <w:t>重</w:t>
            </w:r>
          </w:p>
        </w:tc>
        <w:tc>
          <w:tcPr>
            <w:tcW w:w="9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pacing w:val="-24"/>
                <w:w w:val="96"/>
                <w:kern w:val="0"/>
                <w:sz w:val="30"/>
                <w:szCs w:val="30"/>
                <w14:ligatures w14:val="none"/>
              </w:rPr>
              <w:t>14</w:t>
            </w:r>
          </w:p>
        </w:tc>
        <w:tc>
          <w:tcPr>
            <w:tcW w:w="9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30"/>
                <w:szCs w:val="30"/>
                <w14:ligatures w14:val="none"/>
              </w:rPr>
              <w:t>20</w:t>
            </w:r>
          </w:p>
        </w:tc>
        <w:tc>
          <w:tcPr>
            <w:tcW w:w="8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34</w:t>
            </w:r>
          </w:p>
        </w:tc>
        <w:tc>
          <w:tcPr>
            <w:tcW w:w="8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spacing w:val="-8"/>
                <w:kern w:val="0"/>
                <w:sz w:val="30"/>
                <w:szCs w:val="30"/>
                <w14:ligatures w14:val="none"/>
              </w:rPr>
              <w:t>32</w:t>
            </w:r>
          </w:p>
        </w:tc>
        <w:tc>
          <w:tcPr>
            <w:tcW w:w="7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pacing w:val="-8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spacing w:val="-8"/>
                <w:kern w:val="0"/>
                <w:sz w:val="30"/>
                <w:szCs w:val="30"/>
                <w14:ligatures w14:val="none"/>
              </w:rPr>
              <w:t>10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12"/>
                <w:kern w:val="0"/>
                <w:sz w:val="30"/>
                <w:szCs w:val="30"/>
                <w14:ligatures w14:val="none"/>
              </w:rPr>
              <w:t>分</w:t>
            </w:r>
            <w:r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  <w:t>值</w:t>
            </w:r>
          </w:p>
        </w:tc>
        <w:tc>
          <w:tcPr>
            <w:tcW w:w="9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10</w:t>
            </w:r>
          </w:p>
        </w:tc>
        <w:tc>
          <w:tcPr>
            <w:tcW w:w="9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20</w:t>
            </w:r>
          </w:p>
        </w:tc>
        <w:tc>
          <w:tcPr>
            <w:tcW w:w="8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32</w:t>
            </w:r>
          </w:p>
        </w:tc>
        <w:tc>
          <w:tcPr>
            <w:tcW w:w="8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32</w:t>
            </w:r>
          </w:p>
        </w:tc>
        <w:tc>
          <w:tcPr>
            <w:tcW w:w="7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pacing w:val="-3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spacing w:val="-3"/>
                <w:kern w:val="0"/>
                <w:sz w:val="30"/>
                <w:szCs w:val="30"/>
                <w14:ligatures w14:val="none"/>
              </w:rPr>
              <w:t>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6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Calibri"/>
                <w:spacing w:val="-6"/>
                <w:kern w:val="0"/>
                <w:sz w:val="30"/>
                <w:szCs w:val="30"/>
                <w14:ligatures w14:val="none"/>
              </w:rPr>
              <w:t>得分</w:t>
            </w:r>
            <w:r>
              <w:rPr>
                <w:rFonts w:hint="eastAsia" w:ascii="仿宋" w:hAnsi="仿宋" w:eastAsia="仿宋" w:cs="Calibri"/>
                <w:kern w:val="0"/>
                <w:sz w:val="30"/>
                <w:szCs w:val="30"/>
                <w14:ligatures w14:val="none"/>
              </w:rPr>
              <w:t>率</w:t>
            </w:r>
          </w:p>
        </w:tc>
        <w:tc>
          <w:tcPr>
            <w:tcW w:w="9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71.43%</w:t>
            </w:r>
          </w:p>
        </w:tc>
        <w:tc>
          <w:tcPr>
            <w:tcW w:w="9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100%</w:t>
            </w:r>
          </w:p>
        </w:tc>
        <w:tc>
          <w:tcPr>
            <w:tcW w:w="8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94.12%</w:t>
            </w:r>
          </w:p>
        </w:tc>
        <w:tc>
          <w:tcPr>
            <w:tcW w:w="8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100%</w:t>
            </w:r>
          </w:p>
        </w:tc>
        <w:tc>
          <w:tcPr>
            <w:tcW w:w="7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pacing w:val="-3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14:ligatures w14:val="none"/>
              </w:rPr>
              <w:t>94%</w:t>
            </w:r>
          </w:p>
        </w:tc>
      </w:tr>
    </w:tbl>
    <w:p>
      <w:pPr>
        <w:ind w:firstLine="440" w:firstLineChars="200"/>
        <w:rPr>
          <w:rFonts w:ascii="仿宋" w:hAnsi="仿宋" w:eastAsia="仿宋"/>
          <w:sz w:val="22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对照《合水县政府采购项目绩效评价暂行办法》文件中《政府采购项目绩效评价结果直接划分为“差”情形》，本项目不存在表2</w:t>
      </w:r>
      <w:r>
        <w:rPr>
          <w:rFonts w:ascii="仿宋" w:hAnsi="仿宋" w:eastAsia="仿宋"/>
          <w:sz w:val="30"/>
          <w:szCs w:val="30"/>
        </w:rPr>
        <w:t>所列的指标内容情形。</w:t>
      </w:r>
    </w:p>
    <w:p>
      <w:pPr>
        <w:spacing w:line="52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>表2：政府采购项目绩效评价结果直接划分为“差”情形表</w:t>
      </w:r>
    </w:p>
    <w:tbl>
      <w:tblPr>
        <w:tblStyle w:val="6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序号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招标（采购）文件对供应商设置指定品牌、地域限制，以及在采购需求中的技术、服务等要求指向特定供应商、特定产品。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2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招标（采购）文件对供应商设置注册资本、资产总额、营业收入等限制条款。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3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标（采购）文件规定外地企业在本市有固定服务场所。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4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招标（采购）文件规定供应商必须在本地区设有研发、综合加工场所。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5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未在指定媒体上发布采购信息公告。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6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未发布中标（成交）结果公告。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7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未发布采购信息更正公告。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8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highlight w:val="lightGray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未按规定期限发布采购信息更正公告。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9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未按规定期限发布延长开标时间的变更公告。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10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未按规定抽取评审专家。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11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未按规定组建评标委员会、谈判小组或者询价小组，或者未按规定为评审工作提供必要条件、影响评审工作正常进行的。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both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12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未依法确定中标（成交）供应商。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13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公开招标项目化整为零或者以其他任何方式规避公开招标。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14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达到公开招标数额标准的货物和服务项目，公开招标转非招标方式未经市财政局批准。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15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采购进口产品未获得市财政局核准。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16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擅自提高采购标准。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17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中标（成交）通知书发出后无正当理由不与中标（成交）供应商签订采购合同。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18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未按招标（采购）文件和中标（成交）供应商的投标（报价）文件确定的事项签订政府采购合同。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19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法律法规规定的应处以行政处罚的其他情形。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ind w:firstLine="390" w:firstLineChars="13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bidi="ar"/>
                <w14:ligatures w14:val="none"/>
              </w:rPr>
              <w:t>注:政府采购项目存在以上情形之一的，绩效评价评价结果为:差</w:t>
            </w:r>
          </w:p>
        </w:tc>
      </w:tr>
    </w:tbl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（二）具体绩效分析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1、经济性指标类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经济性指标类包括预算编制、资金效益和采购需要三方面内容</w:t>
      </w:r>
      <w:r>
        <w:rPr>
          <w:rFonts w:ascii="仿宋" w:hAnsi="仿宋" w:eastAsia="仿宋"/>
          <w:sz w:val="30"/>
          <w:szCs w:val="30"/>
        </w:rPr>
        <w:t>。权重分为14分，实际得分10分，得分率71.43%。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2、效率性指标类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效率性指标类包括采购计划备案、单项实施计划执行和采购执行效率三方面内容</w:t>
      </w:r>
      <w:r>
        <w:rPr>
          <w:rFonts w:ascii="仿宋" w:hAnsi="仿宋" w:eastAsia="仿宋"/>
          <w:sz w:val="30"/>
          <w:szCs w:val="30"/>
        </w:rPr>
        <w:t>。权重分为20分，实际得分20分，得分率100%。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3、有效性指标类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有效性指标类包括政府采购合同、项目验收、政策功能和满意度调查四方面内容</w:t>
      </w:r>
      <w:r>
        <w:rPr>
          <w:rFonts w:ascii="仿宋" w:hAnsi="仿宋" w:eastAsia="仿宋"/>
          <w:sz w:val="30"/>
          <w:szCs w:val="30"/>
        </w:rPr>
        <w:t>。权重分为34分，实际得分32分，得分率94.12%。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4、公平性指标类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公平性指标类包括资格条件、评审办法、采购文件和信息公开四方面内容</w:t>
      </w:r>
      <w:r>
        <w:rPr>
          <w:rFonts w:ascii="仿宋" w:hAnsi="仿宋" w:eastAsia="仿宋"/>
          <w:sz w:val="30"/>
          <w:szCs w:val="30"/>
        </w:rPr>
        <w:t>。权重分为32分，实际得分32分，得分率100%。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四、存在的问题和建议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（一）存在的问题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（二）改进措施和建议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无。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五、其他需说明的问题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本绩效评价报告仅供合水县财政局开展“合水县</w:t>
      </w:r>
      <w:r>
        <w:rPr>
          <w:rFonts w:hint="eastAsia" w:ascii="仿宋" w:hAnsi="仿宋" w:eastAsia="仿宋"/>
          <w:sz w:val="30"/>
          <w:szCs w:val="30"/>
          <w:lang w:eastAsia="zh-CN"/>
        </w:rPr>
        <w:t>合水县肖咀乡中心小学</w:t>
      </w:r>
      <w:r>
        <w:rPr>
          <w:rFonts w:hint="eastAsia" w:ascii="仿宋" w:hAnsi="仿宋" w:eastAsia="仿宋"/>
          <w:sz w:val="30"/>
          <w:szCs w:val="30"/>
        </w:rPr>
        <w:t>供热设施</w:t>
      </w:r>
      <w:r>
        <w:rPr>
          <w:rFonts w:ascii="仿宋" w:hAnsi="仿宋" w:eastAsia="仿宋"/>
          <w:sz w:val="30"/>
          <w:szCs w:val="30"/>
        </w:rPr>
        <w:t>”绩效评价相关工作使用，不作他用。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ODlhNDIzNzBmODU2NGVmNWVhOTNiZGU0NTg2NjYifQ=="/>
  </w:docVars>
  <w:rsids>
    <w:rsidRoot w:val="00A73F0E"/>
    <w:rsid w:val="00020E69"/>
    <w:rsid w:val="000D5A8F"/>
    <w:rsid w:val="00274210"/>
    <w:rsid w:val="0032694F"/>
    <w:rsid w:val="003B33CA"/>
    <w:rsid w:val="006427C0"/>
    <w:rsid w:val="006C5994"/>
    <w:rsid w:val="006E56FD"/>
    <w:rsid w:val="00A73F0E"/>
    <w:rsid w:val="00CF238D"/>
    <w:rsid w:val="02713BA1"/>
    <w:rsid w:val="066F58A4"/>
    <w:rsid w:val="633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39"/>
    <w:pPr>
      <w:widowControl/>
      <w:tabs>
        <w:tab w:val="right" w:leader="dot" w:pos="8659"/>
      </w:tabs>
      <w:kinsoku w:val="0"/>
      <w:autoSpaceDE w:val="0"/>
      <w:autoSpaceDN w:val="0"/>
      <w:adjustRightInd w:val="0"/>
      <w:snapToGrid w:val="0"/>
      <w:spacing w:line="360" w:lineRule="auto"/>
      <w:jc w:val="left"/>
    </w:pPr>
    <w:rPr>
      <w:rFonts w:ascii="Arial" w:hAnsi="Arial" w:cs="Arial"/>
      <w:color w:val="000000"/>
      <w:kern w:val="0"/>
      <w:szCs w:val="21"/>
      <w14:ligatures w14:val="none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00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table" w:customStyle="1" w:styleId="11">
    <w:name w:val="Table Normal"/>
    <w:semiHidden/>
    <w:qFormat/>
    <w:uiPriority w:val="0"/>
    <w:rPr>
      <w:rFonts w:ascii="Calibri" w:hAnsi="Calibri" w:eastAsia="宋体" w:cs="Calibri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7"/>
    <w:uiPriority w:val="0"/>
    <w:rPr>
      <w:rFonts w:hint="default" w:ascii="Arial" w:hAnsi="Arial" w:eastAsia="宋体" w:cs="Arial"/>
      <w:b/>
      <w:bCs/>
      <w:kern w:val="2"/>
      <w:sz w:val="4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3305</Words>
  <Characters>3412</Characters>
  <Lines>25</Lines>
  <Paragraphs>7</Paragraphs>
  <TotalTime>3</TotalTime>
  <ScaleCrop>false</ScaleCrop>
  <LinksUpToDate>false</LinksUpToDate>
  <CharactersWithSpaces>3420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2023-06-23T10:28:00Z</dcterms:created>
  <dc:creator>Administrator</dc:creator>
  <cp:lastModifiedBy>﹌晴天</cp:lastModifiedBy>
  <dcterms:modified xsi:type="dcterms:W3CDTF">2023-06-24T03:26:38Z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1B8DAD22505B4E108D8B24F297120B82_12</vt:lpwstr>
  </property>
</Properties>
</file>