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000000"/>
          <w:spacing w:val="14"/>
          <w:w w:val="96"/>
          <w:kern w:val="0"/>
          <w:sz w:val="32"/>
          <w:szCs w:val="32"/>
        </w:rPr>
      </w:pPr>
    </w:p>
    <w:p>
      <w:pPr>
        <w:pStyle w:val="9"/>
        <w:keepNext w:val="0"/>
        <w:keepLines w:val="0"/>
        <w:pageBreakBefore w:val="0"/>
        <w:kinsoku/>
        <w:wordWrap/>
        <w:overflowPunct/>
        <w:topLinePunct w:val="0"/>
        <w:bidi w:val="0"/>
        <w:adjustRightInd/>
        <w:snapToGrid/>
        <w:spacing w:line="240" w:lineRule="auto"/>
        <w:rPr>
          <w:rFonts w:hint="eastAsia" w:ascii="仿宋" w:hAnsi="仿宋" w:eastAsia="仿宋" w:cs="仿宋"/>
          <w:color w:val="000000"/>
          <w:spacing w:val="14"/>
          <w:w w:val="96"/>
          <w:kern w:val="0"/>
          <w:sz w:val="32"/>
          <w:szCs w:val="32"/>
        </w:rPr>
      </w:pPr>
    </w:p>
    <w:p>
      <w:pPr>
        <w:pStyle w:val="9"/>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000000"/>
          <w:spacing w:val="14"/>
          <w:w w:val="96"/>
          <w:kern w:val="0"/>
          <w:sz w:val="72"/>
          <w:szCs w:val="72"/>
        </w:rPr>
      </w:pPr>
    </w:p>
    <w:p>
      <w:pPr>
        <w:pStyle w:val="9"/>
        <w:keepNext w:val="0"/>
        <w:keepLines w:val="0"/>
        <w:pageBreakBefore w:val="0"/>
        <w:kinsoku/>
        <w:wordWrap/>
        <w:overflowPunct/>
        <w:topLinePunct w:val="0"/>
        <w:bidi w:val="0"/>
        <w:adjustRightInd/>
        <w:snapToGrid/>
        <w:spacing w:line="240" w:lineRule="auto"/>
        <w:jc w:val="center"/>
        <w:rPr>
          <w:rFonts w:hint="eastAsia" w:ascii="仿宋" w:hAnsi="仿宋" w:eastAsia="仿宋" w:cs="仿宋"/>
          <w:sz w:val="56"/>
          <w:szCs w:val="56"/>
        </w:rPr>
      </w:pPr>
      <w:r>
        <w:rPr>
          <w:rFonts w:hint="eastAsia" w:ascii="黑体" w:hAnsi="黑体" w:eastAsia="黑体" w:cs="黑体"/>
          <w:color w:val="000000"/>
          <w:spacing w:val="14"/>
          <w:w w:val="96"/>
          <w:kern w:val="0"/>
          <w:sz w:val="56"/>
          <w:szCs w:val="56"/>
        </w:rPr>
        <w:t>202</w:t>
      </w:r>
      <w:r>
        <w:rPr>
          <w:rFonts w:hint="eastAsia" w:ascii="黑体" w:hAnsi="黑体" w:eastAsia="MS Mincho" w:cs="黑体"/>
          <w:color w:val="000000"/>
          <w:spacing w:val="14"/>
          <w:w w:val="96"/>
          <w:kern w:val="0"/>
          <w:sz w:val="56"/>
          <w:szCs w:val="56"/>
          <w:lang w:val="en-US" w:eastAsia="ja-JP"/>
        </w:rPr>
        <w:t>1</w:t>
      </w:r>
      <w:r>
        <w:rPr>
          <w:rFonts w:hint="eastAsia" w:ascii="黑体" w:hAnsi="黑体" w:eastAsia="黑体" w:cs="黑体"/>
          <w:color w:val="000000"/>
          <w:spacing w:val="14"/>
          <w:w w:val="96"/>
          <w:kern w:val="0"/>
          <w:sz w:val="56"/>
          <w:szCs w:val="56"/>
        </w:rPr>
        <w:t>年</w:t>
      </w:r>
      <w:r>
        <w:rPr>
          <w:rFonts w:hint="eastAsia" w:ascii="黑体" w:hAnsi="黑体" w:eastAsia="黑体" w:cs="黑体"/>
          <w:color w:val="000000"/>
          <w:kern w:val="0"/>
          <w:sz w:val="56"/>
          <w:szCs w:val="56"/>
        </w:rPr>
        <w:t>项</w:t>
      </w:r>
      <w:r>
        <w:rPr>
          <w:rFonts w:hint="eastAsia" w:ascii="黑体" w:hAnsi="黑体" w:eastAsia="黑体" w:cs="黑体"/>
          <w:color w:val="000000"/>
          <w:w w:val="3"/>
          <w:kern w:val="0"/>
          <w:sz w:val="56"/>
          <w:szCs w:val="56"/>
        </w:rPr>
        <w:t xml:space="preserve"> </w:t>
      </w:r>
      <w:r>
        <w:rPr>
          <w:rFonts w:hint="eastAsia" w:ascii="黑体" w:hAnsi="黑体" w:eastAsia="黑体" w:cs="黑体"/>
          <w:color w:val="000000"/>
          <w:spacing w:val="14"/>
          <w:w w:val="96"/>
          <w:kern w:val="0"/>
          <w:sz w:val="56"/>
          <w:szCs w:val="56"/>
        </w:rPr>
        <w:t>目</w:t>
      </w:r>
      <w:r>
        <w:rPr>
          <w:rFonts w:hint="eastAsia" w:ascii="黑体" w:hAnsi="黑体" w:eastAsia="黑体" w:cs="黑体"/>
          <w:color w:val="000000"/>
          <w:spacing w:val="-13"/>
          <w:kern w:val="0"/>
          <w:sz w:val="56"/>
          <w:szCs w:val="56"/>
        </w:rPr>
        <w:t>绩</w:t>
      </w:r>
      <w:r>
        <w:rPr>
          <w:rFonts w:hint="eastAsia" w:ascii="黑体" w:hAnsi="黑体" w:eastAsia="黑体" w:cs="黑体"/>
          <w:color w:val="000000"/>
          <w:kern w:val="0"/>
          <w:sz w:val="56"/>
          <w:szCs w:val="56"/>
        </w:rPr>
        <w:t>效</w:t>
      </w:r>
      <w:r>
        <w:rPr>
          <w:rFonts w:hint="eastAsia" w:ascii="黑体" w:hAnsi="黑体" w:eastAsia="黑体" w:cs="黑体"/>
          <w:color w:val="000000"/>
          <w:spacing w:val="12"/>
          <w:w w:val="97"/>
          <w:kern w:val="0"/>
          <w:sz w:val="56"/>
          <w:szCs w:val="56"/>
        </w:rPr>
        <w:t>自评</w:t>
      </w:r>
      <w:r>
        <w:rPr>
          <w:rFonts w:hint="eastAsia" w:ascii="黑体" w:hAnsi="黑体" w:eastAsia="黑体" w:cs="黑体"/>
          <w:color w:val="000000"/>
          <w:kern w:val="0"/>
          <w:sz w:val="56"/>
          <w:szCs w:val="56"/>
        </w:rPr>
        <w:t>报</w:t>
      </w:r>
      <w:r>
        <w:rPr>
          <w:rFonts w:hint="eastAsia" w:ascii="黑体" w:hAnsi="黑体" w:eastAsia="黑体" w:cs="黑体"/>
          <w:color w:val="000000"/>
          <w:w w:val="3"/>
          <w:kern w:val="0"/>
          <w:sz w:val="56"/>
          <w:szCs w:val="56"/>
        </w:rPr>
        <w:t xml:space="preserve"> </w:t>
      </w:r>
      <w:r>
        <w:rPr>
          <w:rFonts w:hint="eastAsia" w:ascii="黑体" w:hAnsi="黑体" w:eastAsia="黑体" w:cs="黑体"/>
          <w:color w:val="000000"/>
          <w:spacing w:val="14"/>
          <w:w w:val="96"/>
          <w:kern w:val="0"/>
          <w:sz w:val="56"/>
          <w:szCs w:val="56"/>
        </w:rPr>
        <w:t>告</w:t>
      </w:r>
    </w:p>
    <w:p>
      <w:pPr>
        <w:pStyle w:val="9"/>
        <w:keepNext w:val="0"/>
        <w:keepLines w:val="0"/>
        <w:pageBreakBefore w:val="0"/>
        <w:kinsoku/>
        <w:wordWrap/>
        <w:overflowPunct/>
        <w:topLinePunct w:val="0"/>
        <w:bidi w:val="0"/>
        <w:adjustRightInd/>
        <w:snapToGrid/>
        <w:spacing w:line="240" w:lineRule="auto"/>
        <w:rPr>
          <w:rFonts w:hint="eastAsia" w:ascii="仿宋" w:hAnsi="仿宋" w:eastAsia="仿宋" w:cs="仿宋"/>
          <w:bCs/>
          <w:color w:val="000000"/>
          <w:kern w:val="0"/>
          <w:sz w:val="32"/>
          <w:szCs w:val="32"/>
        </w:rPr>
      </w:pPr>
    </w:p>
    <w:p>
      <w:pPr>
        <w:pStyle w:val="9"/>
        <w:keepNext w:val="0"/>
        <w:keepLines w:val="0"/>
        <w:pageBreakBefore w:val="0"/>
        <w:kinsoku/>
        <w:wordWrap/>
        <w:overflowPunct/>
        <w:topLinePunct w:val="0"/>
        <w:bidi w:val="0"/>
        <w:adjustRightInd/>
        <w:snapToGrid/>
        <w:spacing w:line="240" w:lineRule="auto"/>
        <w:rPr>
          <w:rFonts w:hint="eastAsia" w:ascii="仿宋" w:hAnsi="仿宋" w:eastAsia="仿宋" w:cs="仿宋"/>
          <w:bCs/>
          <w:color w:val="000000"/>
          <w:kern w:val="0"/>
          <w:sz w:val="32"/>
          <w:szCs w:val="32"/>
        </w:rPr>
      </w:pPr>
    </w:p>
    <w:p>
      <w:pPr>
        <w:pStyle w:val="9"/>
        <w:keepNext w:val="0"/>
        <w:keepLines w:val="0"/>
        <w:pageBreakBefore w:val="0"/>
        <w:kinsoku/>
        <w:wordWrap/>
        <w:overflowPunct/>
        <w:topLinePunct w:val="0"/>
        <w:bidi w:val="0"/>
        <w:adjustRightInd/>
        <w:snapToGrid/>
        <w:spacing w:line="240" w:lineRule="auto"/>
        <w:rPr>
          <w:rFonts w:hint="eastAsia" w:ascii="仿宋" w:hAnsi="仿宋" w:eastAsia="仿宋" w:cs="仿宋"/>
          <w:bCs/>
          <w:color w:val="000000"/>
          <w:kern w:val="0"/>
          <w:sz w:val="32"/>
          <w:szCs w:val="32"/>
        </w:rPr>
      </w:pPr>
    </w:p>
    <w:p>
      <w:pPr>
        <w:pStyle w:val="9"/>
        <w:keepNext w:val="0"/>
        <w:keepLines w:val="0"/>
        <w:pageBreakBefore w:val="0"/>
        <w:kinsoku/>
        <w:wordWrap/>
        <w:overflowPunct/>
        <w:topLinePunct w:val="0"/>
        <w:bidi w:val="0"/>
        <w:adjustRightInd/>
        <w:snapToGrid/>
        <w:spacing w:line="240" w:lineRule="auto"/>
        <w:rPr>
          <w:rFonts w:hint="eastAsia" w:ascii="仿宋" w:hAnsi="仿宋" w:eastAsia="仿宋" w:cs="仿宋"/>
          <w:bCs/>
          <w:color w:val="000000"/>
          <w:kern w:val="0"/>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pStyle w:val="9"/>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32"/>
          <w:szCs w:val="32"/>
        </w:rPr>
      </w:pPr>
    </w:p>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rPr>
        <w:t>合水县</w:t>
      </w:r>
      <w:r>
        <w:rPr>
          <w:rFonts w:hint="eastAsia" w:ascii="仿宋" w:hAnsi="仿宋" w:eastAsia="仿宋" w:cs="仿宋"/>
          <w:sz w:val="32"/>
          <w:szCs w:val="32"/>
          <w:lang w:eastAsia="zh-CN"/>
        </w:rPr>
        <w:t>合水县西华池初级中学</w:t>
      </w:r>
    </w:p>
    <w:p>
      <w:pPr>
        <w:keepNext w:val="0"/>
        <w:keepLines w:val="0"/>
        <w:pageBreakBefore w:val="0"/>
        <w:kinsoku/>
        <w:wordWrap/>
        <w:overflowPunct/>
        <w:topLinePunct w:val="0"/>
        <w:autoSpaceDE w:val="0"/>
        <w:autoSpaceDN w:val="0"/>
        <w:bidi w:val="0"/>
        <w:adjustRightInd/>
        <w:snapToGrid/>
        <w:spacing w:line="240" w:lineRule="auto"/>
        <w:jc w:val="center"/>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240" w:lineRule="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after="0" w:afterLines="100" w:line="360" w:lineRule="auto"/>
        <w:jc w:val="center"/>
        <w:textAlignment w:val="auto"/>
        <w:rPr>
          <w:rFonts w:hint="eastAsia" w:ascii="仿宋" w:hAnsi="仿宋" w:eastAsia="仿宋" w:cs="仿宋"/>
          <w:b w:val="0"/>
          <w:bCs/>
          <w:sz w:val="32"/>
          <w:szCs w:val="32"/>
        </w:rPr>
      </w:pPr>
      <w:r>
        <w:rPr>
          <w:rFonts w:hint="eastAsia" w:ascii="宋体" w:hAnsi="宋体" w:eastAsia="宋体" w:cs="宋体"/>
          <w:b/>
          <w:bCs w:val="0"/>
          <w:color w:val="000000"/>
          <w:spacing w:val="33"/>
          <w:w w:val="85"/>
          <w:kern w:val="0"/>
          <w:sz w:val="44"/>
          <w:szCs w:val="44"/>
        </w:rPr>
        <w:t>202</w:t>
      </w:r>
      <w:r>
        <w:rPr>
          <w:rFonts w:hint="eastAsia" w:ascii="宋体" w:hAnsi="宋体" w:eastAsia="宋体" w:cs="宋体"/>
          <w:b/>
          <w:bCs w:val="0"/>
          <w:color w:val="000000"/>
          <w:spacing w:val="33"/>
          <w:w w:val="85"/>
          <w:kern w:val="0"/>
          <w:sz w:val="44"/>
          <w:szCs w:val="44"/>
          <w:lang w:val="en-US" w:eastAsia="zh-CN"/>
        </w:rPr>
        <w:t>1</w:t>
      </w:r>
      <w:r>
        <w:rPr>
          <w:rFonts w:hint="eastAsia" w:ascii="宋体" w:hAnsi="宋体" w:eastAsia="宋体" w:cs="宋体"/>
          <w:b/>
          <w:bCs w:val="0"/>
          <w:color w:val="000000"/>
          <w:spacing w:val="31"/>
          <w:w w:val="85"/>
          <w:kern w:val="0"/>
          <w:sz w:val="44"/>
          <w:szCs w:val="44"/>
        </w:rPr>
        <w:t>项</w:t>
      </w:r>
      <w:r>
        <w:rPr>
          <w:rFonts w:hint="eastAsia" w:ascii="宋体" w:hAnsi="宋体" w:eastAsia="宋体" w:cs="宋体"/>
          <w:b/>
          <w:bCs w:val="0"/>
          <w:color w:val="000000"/>
          <w:spacing w:val="32"/>
          <w:w w:val="86"/>
          <w:kern w:val="0"/>
          <w:sz w:val="44"/>
          <w:szCs w:val="44"/>
        </w:rPr>
        <w:t>目</w:t>
      </w:r>
      <w:r>
        <w:rPr>
          <w:rFonts w:hint="eastAsia" w:ascii="宋体" w:hAnsi="宋体" w:eastAsia="宋体" w:cs="宋体"/>
          <w:b/>
          <w:bCs w:val="0"/>
          <w:color w:val="000000"/>
          <w:spacing w:val="33"/>
          <w:w w:val="85"/>
          <w:kern w:val="0"/>
          <w:sz w:val="44"/>
          <w:szCs w:val="44"/>
        </w:rPr>
        <w:t>绩</w:t>
      </w:r>
      <w:r>
        <w:rPr>
          <w:rFonts w:hint="eastAsia" w:ascii="宋体" w:hAnsi="宋体" w:eastAsia="宋体" w:cs="宋体"/>
          <w:b/>
          <w:bCs w:val="0"/>
          <w:color w:val="000000"/>
          <w:spacing w:val="32"/>
          <w:w w:val="85"/>
          <w:kern w:val="0"/>
          <w:sz w:val="44"/>
          <w:szCs w:val="44"/>
        </w:rPr>
        <w:t>效</w:t>
      </w:r>
      <w:r>
        <w:rPr>
          <w:rFonts w:hint="eastAsia" w:ascii="宋体" w:hAnsi="宋体" w:eastAsia="宋体" w:cs="宋体"/>
          <w:b/>
          <w:bCs w:val="0"/>
          <w:color w:val="000000"/>
          <w:spacing w:val="9"/>
          <w:w w:val="91"/>
          <w:kern w:val="0"/>
          <w:sz w:val="44"/>
          <w:szCs w:val="44"/>
        </w:rPr>
        <w:t>评</w:t>
      </w:r>
      <w:r>
        <w:rPr>
          <w:rFonts w:hint="eastAsia" w:ascii="宋体" w:hAnsi="宋体" w:eastAsia="宋体" w:cs="宋体"/>
          <w:b/>
          <w:bCs w:val="0"/>
          <w:color w:val="000000"/>
          <w:spacing w:val="34"/>
          <w:w w:val="90"/>
          <w:kern w:val="0"/>
          <w:sz w:val="44"/>
          <w:szCs w:val="44"/>
        </w:rPr>
        <w:t>价</w:t>
      </w:r>
      <w:r>
        <w:rPr>
          <w:rFonts w:hint="eastAsia" w:ascii="宋体" w:hAnsi="宋体" w:eastAsia="宋体" w:cs="宋体"/>
          <w:b/>
          <w:bCs w:val="0"/>
          <w:color w:val="000000"/>
          <w:spacing w:val="31"/>
          <w:w w:val="85"/>
          <w:kern w:val="0"/>
          <w:sz w:val="44"/>
          <w:szCs w:val="44"/>
        </w:rPr>
        <w:t>报</w:t>
      </w:r>
      <w:r>
        <w:rPr>
          <w:rFonts w:hint="eastAsia" w:ascii="宋体" w:hAnsi="宋体" w:eastAsia="宋体" w:cs="宋体"/>
          <w:b/>
          <w:bCs w:val="0"/>
          <w:color w:val="000000"/>
          <w:spacing w:val="32"/>
          <w:w w:val="86"/>
          <w:kern w:val="0"/>
          <w:sz w:val="44"/>
          <w:szCs w:val="44"/>
        </w:rPr>
        <w:t>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default" w:ascii="仿宋" w:hAnsi="仿宋" w:eastAsia="仿宋" w:cs="仿宋"/>
          <w:sz w:val="32"/>
          <w:szCs w:val="32"/>
        </w:rPr>
        <w:t>义务教育阶段家庭经济困难学生生活补助是</w:t>
      </w:r>
      <w:r>
        <w:rPr>
          <w:rFonts w:hint="eastAsia" w:ascii="仿宋" w:hAnsi="仿宋" w:eastAsia="仿宋" w:cs="仿宋"/>
          <w:sz w:val="32"/>
          <w:szCs w:val="32"/>
          <w:lang w:eastAsia="zh-CN"/>
        </w:rPr>
        <w:t>一</w:t>
      </w:r>
      <w:r>
        <w:rPr>
          <w:rFonts w:hint="default" w:ascii="仿宋" w:hAnsi="仿宋" w:eastAsia="仿宋" w:cs="仿宋"/>
          <w:sz w:val="32"/>
          <w:szCs w:val="32"/>
        </w:rPr>
        <w:t>项民心工程、阳光程、德政工程，更是一项有利于国家长远发展的民族振兴工程。为了更好的落实此项工程,切实改善学生生活状况，提高学生健康水平，加强和规范我校学生资助管理工作，及时总结我校学生资助工作经验，及时发现存在的困难和问题，</w:t>
      </w:r>
      <w:r>
        <w:rPr>
          <w:rFonts w:hint="eastAsia" w:ascii="仿宋" w:hAnsi="仿宋" w:eastAsia="仿宋" w:cs="仿宋"/>
          <w:sz w:val="32"/>
          <w:szCs w:val="32"/>
        </w:rPr>
        <w:t>根据县局工作要求，健全绩效评价常态化机制，按照合水县财政局预算绩效管理工作部署，开展202</w:t>
      </w:r>
      <w:r>
        <w:rPr>
          <w:rFonts w:hint="eastAsia" w:ascii="仿宋" w:hAnsi="仿宋" w:eastAsia="仿宋" w:cs="仿宋"/>
          <w:sz w:val="32"/>
          <w:szCs w:val="32"/>
          <w:lang w:val="en-US" w:eastAsia="zh-CN"/>
        </w:rPr>
        <w:t>1</w:t>
      </w:r>
      <w:r>
        <w:rPr>
          <w:rFonts w:hint="eastAsia" w:ascii="仿宋" w:hAnsi="仿宋" w:eastAsia="仿宋" w:cs="仿宋"/>
          <w:sz w:val="32"/>
          <w:szCs w:val="32"/>
        </w:rPr>
        <w:t>年项目绩效评价工作。现将主要评价结果报告如下：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我校实有在职教师</w:t>
      </w:r>
      <w:r>
        <w:rPr>
          <w:rFonts w:hint="eastAsia" w:ascii="仿宋" w:hAnsi="仿宋" w:eastAsia="仿宋" w:cs="仿宋"/>
          <w:sz w:val="32"/>
          <w:szCs w:val="32"/>
          <w:lang w:val="en-US" w:eastAsia="zh-CN"/>
        </w:rPr>
        <w:t>110</w:t>
      </w:r>
      <w:r>
        <w:rPr>
          <w:rFonts w:hint="eastAsia" w:ascii="仿宋" w:hAnsi="仿宋" w:eastAsia="仿宋" w:cs="仿宋"/>
          <w:sz w:val="32"/>
          <w:szCs w:val="32"/>
          <w:lang w:eastAsia="zh-CN"/>
        </w:rPr>
        <w:t>名，下达补助资金</w:t>
      </w:r>
      <w:r>
        <w:rPr>
          <w:rFonts w:hint="eastAsia" w:ascii="仿宋" w:hAnsi="仿宋" w:eastAsia="仿宋" w:cs="仿宋"/>
          <w:sz w:val="32"/>
          <w:szCs w:val="32"/>
          <w:lang w:val="en-US" w:eastAsia="zh-CN"/>
        </w:rPr>
        <w:t>1876元，作为人才发展专项</w:t>
      </w:r>
      <w:r>
        <w:rPr>
          <w:rFonts w:hint="eastAsia" w:ascii="仿宋" w:hAnsi="仿宋" w:eastAsia="仿宋" w:cs="仿宋"/>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ascii="Arial" w:hAnsi="Arial" w:cs="Arial"/>
          <w:i w:val="0"/>
          <w:iCs w:val="0"/>
          <w:caps w:val="0"/>
          <w:color w:val="000000"/>
          <w:spacing w:val="0"/>
          <w:sz w:val="21"/>
          <w:szCs w:val="21"/>
        </w:rPr>
      </w:pPr>
      <w:r>
        <w:rPr>
          <w:rFonts w:hint="default" w:ascii="仿宋" w:hAnsi="仿宋" w:eastAsia="仿宋" w:cs="仿宋"/>
          <w:kern w:val="2"/>
          <w:sz w:val="32"/>
          <w:szCs w:val="32"/>
          <w:lang w:val="en-US" w:eastAsia="zh-CN" w:bidi="ar-SA"/>
          <w14:ligatures w14:val="standardContextual"/>
        </w:rPr>
        <w:t>二、自评工作开展情况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前期准备工作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自收到县财政局下发的相关通知后，单位主要领导十分重视，及时安排</w:t>
      </w:r>
      <w:r>
        <w:rPr>
          <w:rFonts w:hint="eastAsia" w:ascii="仿宋" w:hAnsi="仿宋" w:eastAsia="仿宋" w:cs="仿宋"/>
          <w:kern w:val="2"/>
          <w:sz w:val="32"/>
          <w:szCs w:val="32"/>
          <w:lang w:val="en-US" w:eastAsia="zh-CN" w:bidi="ar-SA"/>
          <w14:ligatures w14:val="standardContextual"/>
        </w:rPr>
        <w:t>政教处</w:t>
      </w:r>
      <w:r>
        <w:rPr>
          <w:rFonts w:hint="default"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eastAsia="zh-CN" w:bidi="ar-SA"/>
          <w14:ligatures w14:val="standardContextual"/>
        </w:rPr>
        <w:t>总务处</w:t>
      </w:r>
      <w:r>
        <w:rPr>
          <w:rFonts w:hint="default" w:ascii="仿宋" w:hAnsi="仿宋" w:eastAsia="仿宋" w:cs="仿宋"/>
          <w:kern w:val="2"/>
          <w:sz w:val="32"/>
          <w:szCs w:val="32"/>
          <w:lang w:val="en-US" w:eastAsia="zh-CN" w:bidi="ar-SA"/>
          <w14:ligatures w14:val="standardContextual"/>
        </w:rPr>
        <w:t>等项目实施</w:t>
      </w:r>
      <w:r>
        <w:rPr>
          <w:rFonts w:hint="eastAsia" w:ascii="仿宋" w:hAnsi="仿宋" w:eastAsia="仿宋" w:cs="仿宋"/>
          <w:kern w:val="2"/>
          <w:sz w:val="32"/>
          <w:szCs w:val="32"/>
          <w:lang w:val="en-US" w:eastAsia="zh-CN" w:bidi="ar-SA"/>
          <w14:ligatures w14:val="standardContextual"/>
        </w:rPr>
        <w:t>处</w:t>
      </w:r>
      <w:r>
        <w:rPr>
          <w:rFonts w:hint="default" w:ascii="仿宋" w:hAnsi="仿宋" w:eastAsia="仿宋" w:cs="仿宋"/>
          <w:kern w:val="2"/>
          <w:sz w:val="32"/>
          <w:szCs w:val="32"/>
          <w:lang w:val="en-US" w:eastAsia="zh-CN" w:bidi="ar-SA"/>
          <w14:ligatures w14:val="standardContextual"/>
        </w:rPr>
        <w:t>室对文件精神进行学习，对自评清单和自评表进行认真分析,确保绩效目标自评业务的顺利进行。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组织过程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为扎实做好绩效自评工作，我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成立了由</w:t>
      </w:r>
      <w:r>
        <w:rPr>
          <w:rFonts w:hint="eastAsia" w:ascii="仿宋" w:hAnsi="仿宋" w:eastAsia="仿宋" w:cs="仿宋"/>
          <w:kern w:val="2"/>
          <w:sz w:val="32"/>
          <w:szCs w:val="32"/>
          <w:lang w:val="en-US" w:eastAsia="zh-CN" w:bidi="ar-SA"/>
          <w14:ligatures w14:val="standardContextual"/>
        </w:rPr>
        <w:t>校长</w:t>
      </w:r>
      <w:r>
        <w:rPr>
          <w:rFonts w:hint="default" w:ascii="仿宋" w:hAnsi="仿宋" w:eastAsia="仿宋" w:cs="仿宋"/>
          <w:kern w:val="2"/>
          <w:sz w:val="32"/>
          <w:szCs w:val="32"/>
          <w:lang w:val="en-US" w:eastAsia="zh-CN" w:bidi="ar-SA"/>
          <w14:ligatures w14:val="standardContextual"/>
        </w:rPr>
        <w:t>主要领导为组长，分管领导为副组长，相关项目实施</w:t>
      </w:r>
      <w:r>
        <w:rPr>
          <w:rFonts w:hint="eastAsia" w:ascii="仿宋" w:hAnsi="仿宋" w:eastAsia="仿宋" w:cs="仿宋"/>
          <w:kern w:val="2"/>
          <w:sz w:val="32"/>
          <w:szCs w:val="32"/>
          <w:lang w:val="en-US" w:eastAsia="zh-CN" w:bidi="ar-SA"/>
          <w14:ligatures w14:val="standardContextual"/>
        </w:rPr>
        <w:t>处</w:t>
      </w:r>
      <w:r>
        <w:rPr>
          <w:rFonts w:hint="default" w:ascii="仿宋" w:hAnsi="仿宋" w:eastAsia="仿宋" w:cs="仿宋"/>
          <w:kern w:val="2"/>
          <w:sz w:val="32"/>
          <w:szCs w:val="32"/>
          <w:lang w:val="en-US" w:eastAsia="zh-CN" w:bidi="ar-SA"/>
          <w14:ligatures w14:val="standardContextual"/>
        </w:rPr>
        <w:t>室</w:t>
      </w:r>
      <w:r>
        <w:rPr>
          <w:rFonts w:hint="eastAsia" w:ascii="仿宋" w:hAnsi="仿宋" w:eastAsia="仿宋" w:cs="仿宋"/>
          <w:kern w:val="2"/>
          <w:sz w:val="32"/>
          <w:szCs w:val="32"/>
          <w:lang w:val="en-US" w:eastAsia="zh-CN" w:bidi="ar-SA"/>
          <w14:ligatures w14:val="standardContextual"/>
        </w:rPr>
        <w:t>为</w:t>
      </w:r>
      <w:r>
        <w:rPr>
          <w:rFonts w:hint="default" w:ascii="仿宋" w:hAnsi="仿宋" w:eastAsia="仿宋" w:cs="仿宋"/>
          <w:kern w:val="2"/>
          <w:sz w:val="32"/>
          <w:szCs w:val="32"/>
          <w:lang w:val="en-US" w:eastAsia="zh-CN" w:bidi="ar-SA"/>
          <w14:ligatures w14:val="standardContextual"/>
        </w:rPr>
        <w:t>组员的绩效自评领导小组。按教育局对绩效评价工作的统一部署，及时组织绩效评价工作，按时准确报送绩效评价的相关资料。领导小组采取现场查看项目实施进度和内业查看财务资金使用情况的方式评价项目，以便准确反映绩效评价的真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分析评价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分析评价过程中，领导小组认真按照自评表的要求，从项目立项、资金落实、业务管理、财务管理、项目支出、产出指标、效益指标和满意度等重要指标，根据科学规范、公正公开、绩效相关的原则，综合运用业绩评定表、比较法、效益分析法等评价方法，对项目逐一进行评价，以便准确反映绩效评价数据的可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三、综合评价结论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自国家实施“两免一补”以来，我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严格贯彻执行上级相关文件精神，按照通知要求，做好我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义务教育阶段家庭经济困难学生生活补助资金兑现工作，把中央、省、州、县对义务教育阶段家庭经济困难学生生活补助的惠民政策落到实处，专款专用。通过项目的实施，逐步改善了</w:t>
      </w:r>
      <w:r>
        <w:rPr>
          <w:rFonts w:hint="eastAsia" w:ascii="仿宋" w:hAnsi="仿宋" w:eastAsia="仿宋" w:cs="仿宋"/>
          <w:kern w:val="2"/>
          <w:sz w:val="32"/>
          <w:szCs w:val="32"/>
          <w:lang w:val="en-US" w:eastAsia="zh-CN" w:bidi="ar-SA"/>
          <w14:ligatures w14:val="standardContextual"/>
        </w:rPr>
        <w:t>我校</w:t>
      </w:r>
      <w:r>
        <w:rPr>
          <w:rFonts w:hint="default" w:ascii="仿宋" w:hAnsi="仿宋" w:eastAsia="仿宋" w:cs="仿宋"/>
          <w:kern w:val="2"/>
          <w:sz w:val="32"/>
          <w:szCs w:val="32"/>
          <w:lang w:val="en-US" w:eastAsia="zh-CN" w:bidi="ar-SA"/>
          <w14:ligatures w14:val="standardContextual"/>
        </w:rPr>
        <w:t>学生生活状况，促进学生健康成长，切实了减轻学生的经济负担，巩固脱贫攻坚成果，促进了我县教育事业的稳定、健康发展。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四、绩效评价指标分析情况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1.资金到位情况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年度上级下达我校人才发展专项资金</w:t>
      </w:r>
      <w:r>
        <w:rPr>
          <w:rFonts w:hint="eastAsia" w:ascii="仿宋" w:hAnsi="仿宋" w:eastAsia="仿宋" w:cs="仿宋"/>
          <w:sz w:val="32"/>
          <w:szCs w:val="32"/>
          <w:lang w:val="en-US" w:eastAsia="zh-CN"/>
        </w:rPr>
        <w:t>1876</w:t>
      </w:r>
      <w:r>
        <w:rPr>
          <w:rFonts w:hint="eastAsia" w:ascii="仿宋" w:hAnsi="仿宋" w:eastAsia="仿宋" w:cs="仿宋"/>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绩效目标自评表</w:t>
      </w:r>
      <w:bookmarkStart w:id="0" w:name="_GoBack"/>
      <w:bookmarkEnd w:id="0"/>
    </w:p>
    <w:tbl>
      <w:tblPr>
        <w:tblW w:w="7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0"/>
        <w:gridCol w:w="1080"/>
        <w:gridCol w:w="1080"/>
        <w:gridCol w:w="336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绩效指标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一级指标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二级指标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三级指标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产出指标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数量指标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资金需求数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≤0.19</w:t>
            </w:r>
            <w:r>
              <w:rPr>
                <w:rStyle w:val="13"/>
                <w:bdr w:val="none" w:color="auto" w:sz="0" w:space="0"/>
                <w:lang w:val="en-US" w:eastAsia="zh-CN" w:bidi="ar"/>
                <w14:ligatures w14:val="standardContextua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质量指标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资金使用率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时效指标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资金支付率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成本指标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支持资金成本</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≤0.19</w:t>
            </w:r>
            <w:r>
              <w:rPr>
                <w:rStyle w:val="13"/>
                <w:bdr w:val="none" w:color="auto" w:sz="0" w:space="0"/>
                <w:lang w:val="en-US" w:eastAsia="zh-CN" w:bidi="ar"/>
                <w14:ligatures w14:val="standardContextua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效益指标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经济效益指标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财政拨款收入</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≤0.19</w:t>
            </w:r>
            <w:r>
              <w:rPr>
                <w:rStyle w:val="13"/>
                <w:bdr w:val="none" w:color="auto" w:sz="0" w:space="0"/>
                <w:lang w:val="en-US" w:eastAsia="zh-CN" w:bidi="ar"/>
                <w14:ligatures w14:val="standardContextua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社会效益指标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学校办学能力</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政策知晓率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生态效益指标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生态环境改善</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可持续影响指标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改善工作生活环境</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满意度指标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服务对象满意度指标</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14:ligatures w14:val="standardContextual"/>
              </w:rPr>
              <w:t>教师满意度</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14:ligatures w14:val="standardContextual"/>
              </w:rPr>
              <w:t>≥95%</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2.资金使用情况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我校按实际情况专款专用，不存在挤占、挪用、克扣等情况，结余资金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3.资金管理情况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上级相关部门的文件要求，教科局严格督促各学校严格按照资金管理办法，将培训费用通过“银行卡”直接发放到赴天津学习老师手中，做到专款专用，确保资金和项目落到实处，并对资金使用过程进行全程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五</w:t>
      </w:r>
      <w:r>
        <w:rPr>
          <w:rFonts w:hint="default" w:ascii="仿宋" w:hAnsi="仿宋" w:eastAsia="仿宋" w:cs="仿宋"/>
          <w:kern w:val="2"/>
          <w:sz w:val="32"/>
          <w:szCs w:val="32"/>
          <w:lang w:val="en-US" w:eastAsia="zh-CN" w:bidi="ar-SA"/>
          <w14:ligatures w14:val="standardContextual"/>
        </w:rPr>
        <w:t>、评价结果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义务教育</w:t>
      </w:r>
      <w:r>
        <w:rPr>
          <w:rFonts w:hint="eastAsia" w:ascii="仿宋" w:hAnsi="仿宋" w:eastAsia="仿宋" w:cs="仿宋"/>
          <w:kern w:val="2"/>
          <w:sz w:val="32"/>
          <w:szCs w:val="32"/>
          <w:lang w:val="en-US" w:eastAsia="zh-CN" w:bidi="ar-SA"/>
          <w14:ligatures w14:val="standardContextual"/>
        </w:rPr>
        <w:t>阶段的教师培训学习不仅有助于提高教师教育质量，而且能够推动教育公平、提升教育质量。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sectPr>
      <w:type w:val="continuous"/>
      <w:pgSz w:w="11900" w:h="16840"/>
      <w:pgMar w:top="1440" w:right="1800" w:bottom="1440" w:left="1800" w:header="851" w:footer="661"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ZTZjZGRhZDgxMWRmZTZmZDU2MDViZmM2MmJkZTIifQ=="/>
  </w:docVars>
  <w:rsids>
    <w:rsidRoot w:val="00756317"/>
    <w:rsid w:val="00020DD6"/>
    <w:rsid w:val="00067C4A"/>
    <w:rsid w:val="00083581"/>
    <w:rsid w:val="000C2103"/>
    <w:rsid w:val="000D7EAB"/>
    <w:rsid w:val="00115136"/>
    <w:rsid w:val="00123BE6"/>
    <w:rsid w:val="001F5002"/>
    <w:rsid w:val="00222812"/>
    <w:rsid w:val="00226630"/>
    <w:rsid w:val="0025430C"/>
    <w:rsid w:val="00287708"/>
    <w:rsid w:val="002F019A"/>
    <w:rsid w:val="0031396B"/>
    <w:rsid w:val="00351920"/>
    <w:rsid w:val="003778D3"/>
    <w:rsid w:val="003E73B1"/>
    <w:rsid w:val="004710EF"/>
    <w:rsid w:val="00486F5C"/>
    <w:rsid w:val="00512D3F"/>
    <w:rsid w:val="00561645"/>
    <w:rsid w:val="00582BD7"/>
    <w:rsid w:val="00603645"/>
    <w:rsid w:val="00654C54"/>
    <w:rsid w:val="00692517"/>
    <w:rsid w:val="006D07EF"/>
    <w:rsid w:val="006E3A63"/>
    <w:rsid w:val="006F56A5"/>
    <w:rsid w:val="00756317"/>
    <w:rsid w:val="00915FC1"/>
    <w:rsid w:val="009675A2"/>
    <w:rsid w:val="00994F7D"/>
    <w:rsid w:val="009E3CA1"/>
    <w:rsid w:val="009F23D2"/>
    <w:rsid w:val="009F56DA"/>
    <w:rsid w:val="00A47109"/>
    <w:rsid w:val="00A72CDD"/>
    <w:rsid w:val="00A90DA2"/>
    <w:rsid w:val="00A97014"/>
    <w:rsid w:val="00AA67A4"/>
    <w:rsid w:val="00B1435B"/>
    <w:rsid w:val="00B82A48"/>
    <w:rsid w:val="00BF450A"/>
    <w:rsid w:val="00C01B41"/>
    <w:rsid w:val="00C445D7"/>
    <w:rsid w:val="00C8020A"/>
    <w:rsid w:val="00CB522A"/>
    <w:rsid w:val="00D16084"/>
    <w:rsid w:val="00D333C2"/>
    <w:rsid w:val="00D47B36"/>
    <w:rsid w:val="00E47B9E"/>
    <w:rsid w:val="00EA249C"/>
    <w:rsid w:val="00F2364E"/>
    <w:rsid w:val="00F3024B"/>
    <w:rsid w:val="00FD5481"/>
    <w:rsid w:val="08645671"/>
    <w:rsid w:val="0C644F5D"/>
    <w:rsid w:val="0D3C1FED"/>
    <w:rsid w:val="10AD4FDD"/>
    <w:rsid w:val="1B6B3579"/>
    <w:rsid w:val="1C3E0F62"/>
    <w:rsid w:val="1C7C76A9"/>
    <w:rsid w:val="292831B5"/>
    <w:rsid w:val="4AF4671B"/>
    <w:rsid w:val="56937F42"/>
    <w:rsid w:val="58976587"/>
    <w:rsid w:val="59DD31AB"/>
    <w:rsid w:val="5A8A7792"/>
    <w:rsid w:val="5C4B3B82"/>
    <w:rsid w:val="62313CF6"/>
    <w:rsid w:val="69C75D3C"/>
    <w:rsid w:val="6EAE3BCF"/>
    <w:rsid w:val="727C0749"/>
    <w:rsid w:val="77AD1A7F"/>
    <w:rsid w:val="78A626C9"/>
    <w:rsid w:val="79AF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10">
    <w:name w:val="页眉 字符"/>
    <w:basedOn w:val="7"/>
    <w:link w:val="3"/>
    <w:qFormat/>
    <w:uiPriority w:val="99"/>
    <w:rPr>
      <w:sz w:val="18"/>
      <w:szCs w:val="18"/>
      <w14:ligatures w14:val="standardContextual"/>
    </w:rPr>
  </w:style>
  <w:style w:type="character" w:customStyle="1" w:styleId="11">
    <w:name w:val="页脚 字符"/>
    <w:basedOn w:val="7"/>
    <w:link w:val="2"/>
    <w:qFormat/>
    <w:uiPriority w:val="99"/>
    <w:rPr>
      <w:sz w:val="18"/>
      <w:szCs w:val="18"/>
      <w14:ligatures w14:val="standardContextual"/>
    </w:rPr>
  </w:style>
  <w:style w:type="paragraph" w:styleId="12">
    <w:name w:val="List Paragraph"/>
    <w:basedOn w:val="1"/>
    <w:qFormat/>
    <w:uiPriority w:val="34"/>
    <w:pPr>
      <w:ind w:firstLine="420" w:firstLineChars="200"/>
    </w:pPr>
  </w:style>
  <w:style w:type="character" w:customStyle="1" w:styleId="13">
    <w:name w:val="font2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1103</Words>
  <Characters>1132</Characters>
  <Lines>62</Lines>
  <Paragraphs>17</Paragraphs>
  <TotalTime>8</TotalTime>
  <ScaleCrop>false</ScaleCrop>
  <LinksUpToDate>false</LinksUpToDate>
  <CharactersWithSpaces>1137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2023-06-23T08:57:00Z</dcterms:created>
  <dc:creator>Administrator</dc:creator>
  <cp:lastModifiedBy>为欢几何</cp:lastModifiedBy>
  <dcterms:modified xsi:type="dcterms:W3CDTF">2023-06-24T07:09:14Z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27B2AD3D1D054272AD7693A2D9AA7F8C</vt:lpwstr>
  </property>
</Properties>
</file>