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3200" w:hanging="3200" w:hangingChars="10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合水县三里店小学计算机设备采购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及水冲厕所建设项目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合水县三里店小学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评价机构名称：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三里店小学项目评价领导小组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line="600" w:lineRule="exact"/>
        <w:ind w:left="2639" w:leftChars="209" w:hanging="2200" w:hangingChars="500"/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合水县</w:t>
      </w:r>
      <w:r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  <w:t>三里店小学计算机设备采购及</w:t>
      </w:r>
    </w:p>
    <w:p>
      <w:pPr>
        <w:pStyle w:val="2"/>
        <w:spacing w:line="600" w:lineRule="exact"/>
        <w:ind w:left="2637" w:leftChars="627" w:hanging="1320" w:hangingChars="300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  <w:t>水冲厕所建设项目</w:t>
      </w: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评估报告</w:t>
      </w:r>
    </w:p>
    <w:p>
      <w:pPr>
        <w:pStyle w:val="2"/>
        <w:spacing w:line="600" w:lineRule="exact"/>
        <w:ind w:left="2637" w:leftChars="627" w:hanging="1320" w:hangingChars="300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合水县三里店小学计算机设备采购及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水冲厕所建设项目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县财政年初预算安排202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年合水县三里店小学计算机设备采购及水冲厕所建设项目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29.36万元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。其中：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计算机设备采购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水冲厕所建设项目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0.36万元。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确保项目正常实施，从根本上解决学校办公设施不足的问题，保证学校工作正常运转、完成教育教学活动和其他日常工作任务等。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目的。完成县委、县政府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对象。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成立项目评估小组，确定评估工作人员，明确评估责任和任务，制定评估方案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、资料收集与审核：全面收集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合水县三里店小学计算机设备采购及水冲厕所建设项目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（四）报告阶段。根据评估情况出具事前评估报告。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提高学校教育教学质量和水平，推进基本教育均等化，完善办学标准，办人民满意的高教育教学质量。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项目可行性</w:t>
      </w:r>
    </w:p>
    <w:p>
      <w:pPr>
        <w:pStyle w:val="2"/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绩效目标合理性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绩效目标明确，与项目预计解决的问题，现实需求基本匹配。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预算编制准确性 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总体结论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项目基本可行，建议调整完善后立项实施。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评估的相关建议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TVjYzIxYjFiMzUyZTM2ZmMxMTExMmQ3NmFkZTQifQ=="/>
  </w:docVars>
  <w:rsids>
    <w:rsidRoot w:val="00000000"/>
    <w:rsid w:val="0170507D"/>
    <w:rsid w:val="04542778"/>
    <w:rsid w:val="06803D03"/>
    <w:rsid w:val="0B011C59"/>
    <w:rsid w:val="20BE0B29"/>
    <w:rsid w:val="58681E62"/>
    <w:rsid w:val="747A4D64"/>
    <w:rsid w:val="75181940"/>
    <w:rsid w:val="7C6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948</Characters>
  <Lines>0</Lines>
  <Paragraphs>0</Paragraphs>
  <TotalTime>2</TotalTime>
  <ScaleCrop>false</ScaleCrop>
  <LinksUpToDate>false</LinksUpToDate>
  <CharactersWithSpaces>1039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伟哥的愤怒</cp:lastModifiedBy>
  <cp:lastPrinted>2023-06-24T09:07:00Z</cp:lastPrinted>
  <dcterms:modified xsi:type="dcterms:W3CDTF">2023-06-24T09:07:04Z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EB13E7E5D01C4F4CA31C96EC13FF733C_12</vt:lpwstr>
  </property>
</Properties>
</file>