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38" w:rsidRDefault="00970E38">
      <w:pPr>
        <w:spacing w:line="680" w:lineRule="exact"/>
        <w:ind w:left="6" w:right="4"/>
        <w:jc w:val="center"/>
        <w:rPr>
          <w:rFonts w:ascii="Times New Roman" w:eastAsia="方正小标宋简体" w:hAnsi="Times New Roman"/>
          <w:bCs/>
          <w:color w:val="000000"/>
          <w:sz w:val="52"/>
          <w:szCs w:val="52"/>
        </w:rPr>
      </w:pPr>
    </w:p>
    <w:p w:rsidR="00970E38" w:rsidRDefault="00970E38">
      <w:pPr>
        <w:spacing w:line="680" w:lineRule="exact"/>
        <w:ind w:left="6" w:right="4"/>
        <w:jc w:val="center"/>
        <w:rPr>
          <w:rFonts w:ascii="Times New Roman" w:eastAsia="方正小标宋简体" w:hAnsi="Times New Roman"/>
          <w:bCs/>
          <w:color w:val="000000"/>
          <w:sz w:val="52"/>
          <w:szCs w:val="52"/>
        </w:rPr>
      </w:pPr>
    </w:p>
    <w:p w:rsidR="00970E38" w:rsidRDefault="00DC7460">
      <w:pPr>
        <w:spacing w:line="680" w:lineRule="exact"/>
        <w:ind w:left="6" w:right="4"/>
        <w:jc w:val="center"/>
        <w:rPr>
          <w:rFonts w:ascii="Times New Roman" w:eastAsia="方正小标宋简体" w:hAnsi="Times New Roman"/>
          <w:color w:val="000000"/>
          <w:sz w:val="52"/>
          <w:szCs w:val="52"/>
        </w:rPr>
      </w:pPr>
      <w:r>
        <w:rPr>
          <w:rFonts w:ascii="Times New Roman" w:eastAsia="方正小标宋简体" w:hAnsi="Times New Roman"/>
          <w:bCs/>
          <w:color w:val="000000"/>
          <w:sz w:val="52"/>
          <w:szCs w:val="52"/>
        </w:rPr>
        <w:t>项目支出绩效评价报告</w:t>
      </w: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pStyle w:val="a0"/>
        <w:spacing w:line="680" w:lineRule="exact"/>
        <w:rPr>
          <w:rFonts w:ascii="Times New Roman" w:hAnsi="Times New Roman" w:cs="Times New Roman"/>
          <w:color w:val="000000"/>
          <w:sz w:val="56"/>
          <w:szCs w:val="56"/>
        </w:rPr>
      </w:pPr>
    </w:p>
    <w:p w:rsidR="00970E38" w:rsidRDefault="00970E38">
      <w:pPr>
        <w:spacing w:line="578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spacing w:line="578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spacing w:line="578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DC7460" w:rsidP="000E71B6">
      <w:pPr>
        <w:spacing w:line="660" w:lineRule="exact"/>
        <w:ind w:leftChars="282" w:left="2828" w:hangingChars="650" w:hanging="2236"/>
        <w:jc w:val="lef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pacing w:val="12"/>
          <w:sz w:val="32"/>
          <w:szCs w:val="32"/>
        </w:rPr>
        <w:t>项</w:t>
      </w:r>
      <w:r w:rsidR="000E71B6">
        <w:rPr>
          <w:rFonts w:ascii="Times New Roman" w:eastAsia="仿宋_GB2312" w:hAnsi="Times New Roman" w:hint="eastAsia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pacing w:val="12"/>
          <w:sz w:val="32"/>
          <w:szCs w:val="32"/>
        </w:rPr>
        <w:t>目</w:t>
      </w:r>
      <w:r w:rsidR="000E71B6">
        <w:rPr>
          <w:rFonts w:ascii="Times New Roman" w:eastAsia="仿宋_GB2312" w:hAnsi="Times New Roman" w:hint="eastAsia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pacing w:val="12"/>
          <w:sz w:val="32"/>
          <w:szCs w:val="32"/>
        </w:rPr>
        <w:t>名</w:t>
      </w:r>
      <w:r w:rsidR="000E71B6">
        <w:rPr>
          <w:rFonts w:ascii="Times New Roman" w:eastAsia="仿宋_GB2312" w:hAnsi="Times New Roman" w:hint="eastAsia"/>
          <w:color w:val="000000"/>
          <w:spacing w:val="12"/>
          <w:sz w:val="32"/>
          <w:szCs w:val="32"/>
        </w:rPr>
        <w:t xml:space="preserve"> </w:t>
      </w:r>
      <w:r>
        <w:rPr>
          <w:rFonts w:ascii="Times New Roman" w:eastAsia="仿宋_GB2312" w:hAnsi="Times New Roman"/>
          <w:color w:val="000000"/>
          <w:spacing w:val="12"/>
          <w:sz w:val="32"/>
          <w:szCs w:val="32"/>
        </w:rPr>
        <w:t>称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  <w:r w:rsidR="000E71B6" w:rsidRPr="000E71B6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合水职专门窗、智慧黑板、图形工作站、录播室、轻钢结构房</w:t>
      </w:r>
    </w:p>
    <w:p w:rsidR="00970E38" w:rsidRDefault="00DC7460">
      <w:pPr>
        <w:spacing w:line="660" w:lineRule="exact"/>
        <w:ind w:left="1600" w:hangingChars="500" w:hanging="160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项目主管部门：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合水县教育和科学技术局</w:t>
      </w:r>
    </w:p>
    <w:p w:rsidR="00970E38" w:rsidRDefault="00DC7460">
      <w:pPr>
        <w:spacing w:line="660" w:lineRule="exact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评价实施部门：</w:t>
      </w:r>
      <w:r w:rsidR="00850A4E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合水县职业中等专业学校</w:t>
      </w:r>
    </w:p>
    <w:p w:rsidR="00970E38" w:rsidRDefault="00DC7460" w:rsidP="000E71B6">
      <w:pPr>
        <w:spacing w:line="660" w:lineRule="exact"/>
        <w:ind w:left="2880" w:hangingChars="900" w:hanging="2880"/>
        <w:rPr>
          <w:rFonts w:ascii="Times New Roman" w:eastAsia="仿宋_GB2312" w:hAnsi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评价机构名称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 w:rsidR="00850A4E"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合水县职业中等专业学校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项目评价领导</w:t>
      </w:r>
      <w:r>
        <w:rPr>
          <w:rFonts w:ascii="Times New Roman" w:eastAsia="仿宋_GB2312" w:hAnsi="Times New Roman" w:hint="eastAsia"/>
          <w:color w:val="000000"/>
          <w:sz w:val="32"/>
          <w:szCs w:val="32"/>
          <w:u w:val="single"/>
        </w:rPr>
        <w:t>小组</w:t>
      </w:r>
    </w:p>
    <w:p w:rsidR="00970E38" w:rsidRDefault="00970E38">
      <w:pPr>
        <w:spacing w:line="578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spacing w:line="578" w:lineRule="exact"/>
        <w:rPr>
          <w:rFonts w:ascii="Times New Roman" w:hAnsi="Times New Roman"/>
          <w:color w:val="000000"/>
          <w:sz w:val="73"/>
          <w:szCs w:val="73"/>
        </w:rPr>
      </w:pPr>
    </w:p>
    <w:p w:rsidR="00970E38" w:rsidRDefault="00DC7460">
      <w:pPr>
        <w:spacing w:line="578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</w:t>
      </w:r>
      <w:r w:rsidR="000E71B6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</w:p>
    <w:p w:rsidR="00970E38" w:rsidRDefault="00970E38">
      <w:pPr>
        <w:pStyle w:val="a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pStyle w:val="a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70E38" w:rsidRDefault="00970E38">
      <w:pPr>
        <w:pStyle w:val="a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0E71B6" w:rsidRPr="000E71B6" w:rsidRDefault="000E71B6" w:rsidP="00850A4E">
      <w:pPr>
        <w:pStyle w:val="a0"/>
        <w:spacing w:line="590" w:lineRule="exact"/>
        <w:rPr>
          <w:rFonts w:ascii="仿宋" w:eastAsia="仿宋" w:hAnsi="仿宋" w:cs="仿宋" w:hint="eastAsia"/>
          <w:color w:val="000000"/>
          <w:sz w:val="32"/>
          <w:szCs w:val="36"/>
        </w:rPr>
      </w:pPr>
      <w:r w:rsidRPr="000E71B6">
        <w:rPr>
          <w:rFonts w:ascii="仿宋" w:eastAsia="仿宋" w:hAnsi="仿宋" w:cs="仿宋" w:hint="eastAsia"/>
          <w:color w:val="000000"/>
          <w:sz w:val="32"/>
          <w:szCs w:val="36"/>
        </w:rPr>
        <w:t>合水职专门窗、智慧黑板、图形工作站、录播室、轻钢结构房</w:t>
      </w:r>
    </w:p>
    <w:p w:rsidR="00970E38" w:rsidRDefault="00DC7460" w:rsidP="00850A4E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一、项目基本情况</w:t>
      </w:r>
    </w:p>
    <w:p w:rsidR="00850A4E" w:rsidRPr="000E71B6" w:rsidRDefault="00DC7460" w:rsidP="00850A4E">
      <w:pPr>
        <w:pStyle w:val="a0"/>
        <w:spacing w:line="600" w:lineRule="exact"/>
        <w:ind w:firstLineChars="100" w:firstLine="320"/>
        <w:jc w:val="left"/>
        <w:rPr>
          <w:rFonts w:ascii="仿宋" w:eastAsia="仿宋" w:hAnsi="仿宋" w:cs="仿宋"/>
          <w:color w:val="000000"/>
          <w:sz w:val="32"/>
          <w:szCs w:val="36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名称：</w:t>
      </w:r>
      <w:r w:rsidR="00850A4E" w:rsidRPr="000E71B6">
        <w:rPr>
          <w:rFonts w:ascii="仿宋" w:eastAsia="仿宋" w:hAnsi="仿宋" w:cs="仿宋" w:hint="eastAsia"/>
          <w:color w:val="000000"/>
          <w:sz w:val="32"/>
          <w:szCs w:val="36"/>
        </w:rPr>
        <w:t>合水职专校园硬化及暖气管道改造工程项目。</w:t>
      </w:r>
    </w:p>
    <w:p w:rsidR="00970E38" w:rsidRDefault="00DC7460">
      <w:pPr>
        <w:pStyle w:val="a0"/>
        <w:adjustRightInd w:val="0"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（二）项目预算安排及使用情况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县财政年初预算安排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</w:t>
      </w:r>
      <w:r w:rsidR="00850A4E">
        <w:rPr>
          <w:rFonts w:ascii="仿宋" w:eastAsia="仿宋" w:hAnsi="仿宋" w:cs="仿宋" w:hint="eastAsia"/>
          <w:color w:val="000000"/>
          <w:sz w:val="32"/>
          <w:szCs w:val="32"/>
        </w:rPr>
        <w:t>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0E71B6" w:rsidRPr="000E71B6">
        <w:rPr>
          <w:rFonts w:ascii="仿宋" w:eastAsia="仿宋" w:hAnsi="仿宋" w:cs="仿宋" w:hint="eastAsia"/>
          <w:color w:val="000000"/>
          <w:sz w:val="32"/>
          <w:szCs w:val="32"/>
        </w:rPr>
        <w:t>合水职专门窗、智慧黑板、图形工作站、录播室、轻钢结构房</w:t>
      </w:r>
      <w:r w:rsidR="00850A4E" w:rsidRPr="00850A4E">
        <w:rPr>
          <w:rFonts w:ascii="仿宋" w:eastAsia="仿宋" w:hAnsi="仿宋" w:cs="仿宋" w:hint="eastAsia"/>
          <w:color w:val="000000"/>
          <w:sz w:val="32"/>
          <w:szCs w:val="32"/>
        </w:rPr>
        <w:t>项目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166.44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万元。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其中</w:t>
      </w:r>
      <w:r w:rsidR="000E71B6" w:rsidRPr="000E71B6">
        <w:rPr>
          <w:rFonts w:ascii="仿宋" w:eastAsia="仿宋" w:hAnsi="仿宋" w:cs="仿宋" w:hint="eastAsia"/>
          <w:color w:val="000000"/>
          <w:sz w:val="32"/>
          <w:szCs w:val="32"/>
        </w:rPr>
        <w:t>合水职专学校门窗、智慧黑板等设施设备采购项目一包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73.07万元；</w:t>
      </w:r>
      <w:r w:rsidR="000E71B6" w:rsidRPr="000E71B6">
        <w:rPr>
          <w:rFonts w:ascii="仿宋" w:eastAsia="仿宋" w:hAnsi="仿宋" w:cs="仿宋" w:hint="eastAsia"/>
          <w:color w:val="000000"/>
          <w:sz w:val="32"/>
          <w:szCs w:val="32"/>
        </w:rPr>
        <w:t>合水职专学校门窗、智慧黑板等设施设备采购项目二包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77.57万元；</w:t>
      </w:r>
      <w:r w:rsidR="000E71B6" w:rsidRPr="000E71B6">
        <w:rPr>
          <w:rFonts w:ascii="仿宋" w:eastAsia="仿宋" w:hAnsi="仿宋" w:cs="仿宋" w:hint="eastAsia"/>
          <w:color w:val="000000"/>
          <w:sz w:val="32"/>
          <w:szCs w:val="32"/>
        </w:rPr>
        <w:t>合水职专图形工作站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6.51万元；</w:t>
      </w:r>
      <w:r w:rsidR="000E71B6" w:rsidRPr="000E71B6">
        <w:rPr>
          <w:rFonts w:ascii="仿宋" w:eastAsia="仿宋" w:hAnsi="仿宋" w:cs="仿宋" w:hint="eastAsia"/>
          <w:color w:val="000000"/>
          <w:sz w:val="32"/>
          <w:szCs w:val="32"/>
        </w:rPr>
        <w:t>录播室、LED屏、电子商务平台项目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5.11万元；</w:t>
      </w:r>
      <w:r w:rsidR="000E71B6" w:rsidRPr="000E71B6">
        <w:rPr>
          <w:rFonts w:ascii="仿宋" w:eastAsia="仿宋" w:hAnsi="仿宋" w:cs="仿宋" w:hint="eastAsia"/>
          <w:color w:val="000000"/>
          <w:sz w:val="32"/>
          <w:szCs w:val="32"/>
        </w:rPr>
        <w:t>合水职专轻钢结构房工程</w:t>
      </w:r>
      <w:r w:rsidR="000E71B6">
        <w:rPr>
          <w:rFonts w:ascii="仿宋" w:eastAsia="仿宋" w:hAnsi="仿宋" w:cs="仿宋" w:hint="eastAsia"/>
          <w:color w:val="000000"/>
          <w:sz w:val="32"/>
          <w:szCs w:val="32"/>
        </w:rPr>
        <w:t>4.19万元。</w:t>
      </w:r>
    </w:p>
    <w:p w:rsidR="00970E38" w:rsidRDefault="00DC7460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二、项目绩效目标</w:t>
      </w:r>
    </w:p>
    <w:p w:rsidR="00970E38" w:rsidRDefault="00DC7460">
      <w:pPr>
        <w:pStyle w:val="a0"/>
        <w:adjustRightInd w:val="0"/>
        <w:spacing w:line="62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确保项目正常实施，从根本上解决学校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办学条件落后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的问题，保证学校工作正常运转、完成教育教学活动和其他日常工作任务等。</w:t>
      </w:r>
    </w:p>
    <w:p w:rsidR="00970E38" w:rsidRDefault="00DC7460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三、评价基本情况</w:t>
      </w:r>
    </w:p>
    <w:p w:rsidR="00970E38" w:rsidRDefault="00DC7460">
      <w:pPr>
        <w:pStyle w:val="a0"/>
        <w:adjustRightInd w:val="0"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目的。完成县委、县政府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县教科局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下达的各项工作任务。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事前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评估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对象。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成立项目评估小组，确定评估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工作人员，明确评估责任和任务，制定评估方案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实施阶段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970E38" w:rsidRDefault="00DC7460">
      <w:pPr>
        <w:pStyle w:val="a0"/>
        <w:adjustRightInd w:val="0"/>
        <w:spacing w:line="6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、资料收集与审核：全面收集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所建设项目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有关的数据及资料，并进行审核与分析。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、开展现场与非现场评估：评估小组到现场勘察、询查、复核，对有关情况进行调查、核实，并对提供的有关数据和资料进行分类、整理与分析，提出评估意见。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、综合评估：通过召开教师代表座谈会、邀请专家、技术管理和财务等相关参与事前评估工作，结合现场调研，查看政策和项目实施现场的方式，对相关问题进行集中讨论交流，征询意见，提出评估意见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（四）报告阶段。根据评估情况出具事前评估报告。</w:t>
      </w:r>
    </w:p>
    <w:p w:rsidR="00970E38" w:rsidRDefault="00DC7460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四、评估结论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、立项的必要性</w:t>
      </w:r>
    </w:p>
    <w:p w:rsidR="00970E38" w:rsidRDefault="00DC7460">
      <w:pPr>
        <w:pStyle w:val="a0"/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提高</w:t>
      </w:r>
      <w:bookmarkStart w:id="0" w:name="_GoBack"/>
      <w:bookmarkEnd w:id="0"/>
      <w:r w:rsidR="00850A4E">
        <w:rPr>
          <w:rFonts w:ascii="仿宋" w:eastAsia="仿宋" w:hAnsi="仿宋" w:cs="仿宋" w:hint="eastAsia"/>
          <w:color w:val="000000"/>
          <w:sz w:val="32"/>
          <w:szCs w:val="32"/>
        </w:rPr>
        <w:t>职业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教育教学质量和水平，推进基本教育均等化，完善办学标准，办人民满意的高教育教学质量。</w:t>
      </w:r>
    </w:p>
    <w:p w:rsidR="00970E38" w:rsidRDefault="00DC7460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项目可行性</w:t>
      </w:r>
    </w:p>
    <w:p w:rsidR="00970E38" w:rsidRDefault="00DC7460">
      <w:pPr>
        <w:pStyle w:val="a0"/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项目建成后，教学条件将得到明显改善，师生生活和工作积极性将得到进一步提高。</w:t>
      </w:r>
    </w:p>
    <w:p w:rsidR="00970E38" w:rsidRDefault="00DC7460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绩效目标合理性</w:t>
      </w:r>
    </w:p>
    <w:p w:rsidR="00970E38" w:rsidRDefault="00DC7460" w:rsidP="007632E6">
      <w:pPr>
        <w:pStyle w:val="a0"/>
        <w:spacing w:line="60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="007632E6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绩效目标明确，与项目预计解决的问题，现实需求基本</w:t>
      </w:r>
      <w:r w:rsidR="007632E6">
        <w:rPr>
          <w:rFonts w:ascii="仿宋" w:eastAsia="仿宋" w:hAnsi="仿宋" w:cs="仿宋" w:hint="eastAsia"/>
          <w:color w:val="000000"/>
          <w:sz w:val="32"/>
          <w:szCs w:val="32"/>
        </w:rPr>
        <w:t>匹配</w:t>
      </w:r>
    </w:p>
    <w:p w:rsidR="00970E38" w:rsidRDefault="00DC7460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项目建设方案基本可行，建设内容、可行性、进度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安排较合理，保障措施相对完备。</w:t>
      </w:r>
    </w:p>
    <w:p w:rsidR="00970E38" w:rsidRDefault="00DC7460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预算编制准确性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:rsidR="00970E38" w:rsidRDefault="00DC7460" w:rsidP="00850A4E">
      <w:pPr>
        <w:pStyle w:val="a0"/>
        <w:spacing w:line="600" w:lineRule="exact"/>
        <w:ind w:leftChars="200" w:left="4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预算编制准确，预算编制委托第三方审核预算。</w:t>
      </w:r>
    </w:p>
    <w:p w:rsidR="00970E38" w:rsidRDefault="00DC7460">
      <w:pPr>
        <w:pStyle w:val="a0"/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总体结论</w:t>
      </w:r>
    </w:p>
    <w:p w:rsidR="00970E38" w:rsidRDefault="00DC7460" w:rsidP="00850A4E">
      <w:pPr>
        <w:pStyle w:val="a0"/>
        <w:spacing w:line="600" w:lineRule="exact"/>
        <w:ind w:leftChars="200" w:left="42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项目基本可行，建议调整完善后立项实施。</w:t>
      </w:r>
    </w:p>
    <w:p w:rsidR="00850A4E" w:rsidRPr="00850A4E" w:rsidRDefault="00850A4E" w:rsidP="00850A4E">
      <w:pPr>
        <w:pStyle w:val="a0"/>
        <w:spacing w:line="590" w:lineRule="exact"/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五</w:t>
      </w:r>
      <w:r w:rsidRPr="00850A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、存在的问题</w:t>
      </w:r>
    </w:p>
    <w:p w:rsidR="00850A4E" w:rsidRDefault="00850A4E" w:rsidP="007632E6">
      <w:pPr>
        <w:pStyle w:val="a0"/>
        <w:spacing w:line="600" w:lineRule="exact"/>
        <w:ind w:firstLine="42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我校2020年在项目决策上合理，实施过程中领导重视，管理较规范，较好的达到了预期的绩效目标，但有些方面仍有不足，主要是专项资金拨付不及时，业务人员综合素质较低</w:t>
      </w:r>
      <w:r w:rsidR="007632E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0E38" w:rsidRPr="00850A4E" w:rsidRDefault="00850A4E" w:rsidP="00850A4E">
      <w:pPr>
        <w:pStyle w:val="a0"/>
        <w:spacing w:line="59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六、</w:t>
      </w:r>
      <w:r w:rsidR="00DC7460" w:rsidRPr="00850A4E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评估的相关建议</w:t>
      </w:r>
    </w:p>
    <w:p w:rsidR="00970E38" w:rsidRDefault="00DC7460">
      <w:pPr>
        <w:pStyle w:val="a0"/>
        <w:numPr>
          <w:ilvl w:val="0"/>
          <w:numId w:val="3"/>
        </w:numPr>
        <w:tabs>
          <w:tab w:val="left" w:pos="378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进一步明确绩效目标，细化、量化相关指标。</w:t>
      </w:r>
    </w:p>
    <w:p w:rsidR="00970E38" w:rsidRDefault="00DC7460">
      <w:pPr>
        <w:pStyle w:val="a0"/>
        <w:numPr>
          <w:ilvl w:val="0"/>
          <w:numId w:val="3"/>
        </w:numPr>
        <w:tabs>
          <w:tab w:val="left" w:pos="378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细化工作内容，完善工作手段，调整工作部署和进度安排。</w:t>
      </w:r>
    </w:p>
    <w:p w:rsidR="00970E38" w:rsidRDefault="00DC7460">
      <w:pPr>
        <w:pStyle w:val="a0"/>
        <w:numPr>
          <w:ilvl w:val="0"/>
          <w:numId w:val="3"/>
        </w:numPr>
        <w:tabs>
          <w:tab w:val="left" w:pos="378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细化完善项目预算。</w:t>
      </w:r>
    </w:p>
    <w:p w:rsidR="00970E38" w:rsidRDefault="00970E38">
      <w:pPr>
        <w:rPr>
          <w:rFonts w:hint="eastAsia"/>
        </w:rPr>
      </w:pPr>
    </w:p>
    <w:p w:rsidR="00850A4E" w:rsidRDefault="00850A4E" w:rsidP="00850A4E">
      <w:pPr>
        <w:pStyle w:val="a0"/>
        <w:rPr>
          <w:rFonts w:hint="eastAsia"/>
        </w:rPr>
      </w:pPr>
    </w:p>
    <w:p w:rsidR="00850A4E" w:rsidRDefault="00850A4E" w:rsidP="00850A4E">
      <w:pPr>
        <w:pStyle w:val="a0"/>
        <w:rPr>
          <w:rFonts w:hint="eastAsia"/>
        </w:rPr>
      </w:pPr>
    </w:p>
    <w:p w:rsidR="00850A4E" w:rsidRPr="00850A4E" w:rsidRDefault="00850A4E" w:rsidP="00850A4E">
      <w:pPr>
        <w:pStyle w:val="a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850A4E" w:rsidRDefault="00850A4E" w:rsidP="00850A4E">
      <w:pPr>
        <w:pStyle w:val="a0"/>
        <w:ind w:left="4200" w:firstLine="42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850A4E" w:rsidRDefault="00850A4E" w:rsidP="00850A4E">
      <w:pPr>
        <w:pStyle w:val="a0"/>
        <w:ind w:left="4200" w:firstLine="420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850A4E" w:rsidRPr="00850A4E" w:rsidRDefault="00850A4E" w:rsidP="00850A4E">
      <w:pPr>
        <w:pStyle w:val="a0"/>
        <w:ind w:left="4200" w:firstLine="420"/>
        <w:rPr>
          <w:rFonts w:ascii="仿宋" w:eastAsia="仿宋" w:hAnsi="仿宋" w:cs="仿宋" w:hint="eastAsia"/>
          <w:color w:val="000000"/>
          <w:sz w:val="32"/>
          <w:szCs w:val="32"/>
        </w:rPr>
      </w:pPr>
      <w:r w:rsidRPr="00850A4E">
        <w:rPr>
          <w:rFonts w:ascii="仿宋" w:eastAsia="仿宋" w:hAnsi="仿宋" w:cs="仿宋" w:hint="eastAsia"/>
          <w:color w:val="000000"/>
          <w:sz w:val="32"/>
          <w:szCs w:val="32"/>
        </w:rPr>
        <w:t>合水县职业中等专业学校</w:t>
      </w:r>
    </w:p>
    <w:p w:rsidR="00850A4E" w:rsidRPr="00850A4E" w:rsidRDefault="00850A4E" w:rsidP="00850A4E">
      <w:pPr>
        <w:pStyle w:val="a0"/>
        <w:ind w:left="4620" w:firstLine="420"/>
      </w:pPr>
      <w:r w:rsidRPr="00850A4E">
        <w:rPr>
          <w:rFonts w:ascii="仿宋" w:eastAsia="仿宋" w:hAnsi="仿宋" w:cs="仿宋" w:hint="eastAsia"/>
          <w:color w:val="000000"/>
          <w:sz w:val="32"/>
          <w:szCs w:val="32"/>
        </w:rPr>
        <w:t>2021年2月20日</w:t>
      </w:r>
    </w:p>
    <w:sectPr w:rsidR="00850A4E" w:rsidRPr="00850A4E" w:rsidSect="0097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60" w:rsidRDefault="00DC7460" w:rsidP="00850A4E">
      <w:r>
        <w:separator/>
      </w:r>
    </w:p>
  </w:endnote>
  <w:endnote w:type="continuationSeparator" w:id="1">
    <w:p w:rsidR="00DC7460" w:rsidRDefault="00DC7460" w:rsidP="00850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60" w:rsidRDefault="00DC7460" w:rsidP="00850A4E">
      <w:r>
        <w:separator/>
      </w:r>
    </w:p>
  </w:footnote>
  <w:footnote w:type="continuationSeparator" w:id="1">
    <w:p w:rsidR="00DC7460" w:rsidRDefault="00DC7460" w:rsidP="00850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D5C49"/>
    <w:multiLevelType w:val="singleLevel"/>
    <w:tmpl w:val="AADD5C49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1">
    <w:nsid w:val="FC28A277"/>
    <w:multiLevelType w:val="singleLevel"/>
    <w:tmpl w:val="FC28A277"/>
    <w:lvl w:ilvl="0">
      <w:start w:val="2"/>
      <w:numFmt w:val="decimal"/>
      <w:suff w:val="nothing"/>
      <w:lvlText w:val="%1、"/>
      <w:lvlJc w:val="left"/>
    </w:lvl>
  </w:abstractNum>
  <w:abstractNum w:abstractNumId="2">
    <w:nsid w:val="2DC72DBE"/>
    <w:multiLevelType w:val="singleLevel"/>
    <w:tmpl w:val="2DC72DB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JkNTVjYzIxYjFiMzUyZTM2ZmMxMTExMmQ3NmFkZTQifQ=="/>
  </w:docVars>
  <w:rsids>
    <w:rsidRoot w:val="00970E38"/>
    <w:rsid w:val="000E71B6"/>
    <w:rsid w:val="007632E6"/>
    <w:rsid w:val="00850A4E"/>
    <w:rsid w:val="0094482F"/>
    <w:rsid w:val="00970E38"/>
    <w:rsid w:val="00DC7460"/>
    <w:rsid w:val="0170507D"/>
    <w:rsid w:val="04542778"/>
    <w:rsid w:val="06803D03"/>
    <w:rsid w:val="0B011C59"/>
    <w:rsid w:val="12470030"/>
    <w:rsid w:val="20BE0B29"/>
    <w:rsid w:val="290367CA"/>
    <w:rsid w:val="4B5C458D"/>
    <w:rsid w:val="58681E62"/>
    <w:rsid w:val="687A341C"/>
    <w:rsid w:val="6D3E696A"/>
    <w:rsid w:val="7518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70E3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970E38"/>
    <w:rPr>
      <w:rFonts w:ascii="宋体" w:hAnsi="宋体" w:cs="宋体"/>
      <w:sz w:val="16"/>
      <w:szCs w:val="16"/>
    </w:rPr>
  </w:style>
  <w:style w:type="paragraph" w:styleId="a4">
    <w:name w:val="caption"/>
    <w:basedOn w:val="a"/>
    <w:next w:val="a"/>
    <w:qFormat/>
    <w:rsid w:val="00970E38"/>
    <w:rPr>
      <w:rFonts w:ascii="Cambria" w:eastAsia="黑体" w:hAnsi="Cambria"/>
      <w:sz w:val="20"/>
    </w:rPr>
  </w:style>
  <w:style w:type="paragraph" w:styleId="a5">
    <w:name w:val="header"/>
    <w:basedOn w:val="a"/>
    <w:link w:val="Char"/>
    <w:rsid w:val="00850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50A4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50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50A4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182</Words>
  <Characters>1039</Characters>
  <Application>Microsoft Office Word</Application>
  <DocSecurity>0</DocSecurity>
  <Lines>8</Lines>
  <Paragraphs>2</Paragraphs>
  <ScaleCrop>false</ScaleCrop>
  <Company>微软中国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2023-07-05T05:34:00Z</dcterms:created>
  <dcterms:modified xsi:type="dcterms:W3CDTF">2023-07-05T05:34:00Z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EB13E7E5D01C4F4CA31C96EC13FF733C_12</vt:lpwstr>
  </property>
</Properties>
</file>