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DB0D4">
      <w:pPr>
        <w:spacing w:line="660" w:lineRule="exact"/>
        <w:ind w:firstLine="64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相关名词解释</w:t>
      </w:r>
    </w:p>
    <w:p w14:paraId="1A4EA620">
      <w:pPr>
        <w:spacing w:line="660" w:lineRule="exact"/>
        <w:ind w:firstLine="640"/>
        <w:rPr>
          <w:rFonts w:hint="eastAsia" w:ascii="黑体" w:hAnsi="黑体" w:eastAsia="黑体" w:cs="黑体"/>
          <w:b w:val="0"/>
          <w:bCs w:val="0"/>
          <w:sz w:val="32"/>
          <w:szCs w:val="32"/>
        </w:rPr>
      </w:pPr>
    </w:p>
    <w:p w14:paraId="75D36902">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非税收入相关政策</w:t>
      </w:r>
    </w:p>
    <w:p w14:paraId="17D5AD73">
      <w:pPr>
        <w:keepNext w:val="0"/>
        <w:keepLines w:val="0"/>
        <w:pageBreakBefore w:val="0"/>
        <w:widowControl w:val="0"/>
        <w:kinsoku/>
        <w:wordWrap/>
        <w:overflowPunct/>
        <w:topLinePunct w:val="0"/>
        <w:autoSpaceDE/>
        <w:autoSpaceDN/>
        <w:bidi w:val="0"/>
        <w:adjustRightInd w:val="0"/>
        <w:spacing w:line="600" w:lineRule="exact"/>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楷体_GB2312" w:hAnsi="楷体_GB2312" w:eastAsia="楷体_GB2312" w:cs="楷体_GB2312"/>
          <w:b/>
          <w:bCs/>
          <w:sz w:val="32"/>
          <w:szCs w:val="32"/>
        </w:rPr>
        <w:t>专项收入：</w:t>
      </w:r>
      <w:r>
        <w:rPr>
          <w:rFonts w:hint="eastAsia" w:ascii="仿宋_GB2312" w:hAnsi="仿宋" w:eastAsia="仿宋_GB2312"/>
          <w:sz w:val="32"/>
          <w:szCs w:val="32"/>
        </w:rPr>
        <w:t>是指根据特定需要由国务院批准或者经国务院授权由财政部批准，设置、征集和纳入预算管理、有专门用途的收入。主要包括排污费收入、水资源费收入、教育费附加收入、矿产资源补偿费收入、探测权采矿权使用费及价款收入等。</w:t>
      </w:r>
    </w:p>
    <w:p w14:paraId="71B2B175">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行政事业性收费收入：</w:t>
      </w:r>
      <w:r>
        <w:rPr>
          <w:rFonts w:hint="eastAsia" w:ascii="仿宋_GB2312" w:hAnsi="仿宋" w:eastAsia="仿宋_GB2312"/>
          <w:sz w:val="32"/>
          <w:szCs w:val="32"/>
        </w:rPr>
        <w:t>反映依据法律、行政法规、国务院有关规定、国务院财政部门会同价格主管部门共同发布的规章或者规定以及省、自治区、直辖市的地方性法规、政府规章或者规定，省级财政部门会同价格主管部门共同发布的规定收取的各项收费收入。目前，甘肃省实施的行政事业性收费32项，其中涉企行政事业性收费9项。</w:t>
      </w:r>
    </w:p>
    <w:p w14:paraId="248F8BA1">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罚没收入：</w:t>
      </w:r>
      <w:r>
        <w:rPr>
          <w:rFonts w:hint="eastAsia" w:ascii="仿宋_GB2312" w:hAnsi="仿宋" w:eastAsia="仿宋_GB2312"/>
          <w:sz w:val="32"/>
          <w:szCs w:val="32"/>
        </w:rPr>
        <w:t>反映执法机关依法收缴的罚款（罚金）、没收款、赃款、没收物资、赃物的变价款收入，分为一般罚没收入、缉私罚没收入、和缉毒罚没收入三种。根据《甘肃省罚款没收财物管理办法》（甘肃省人民政府令第16号），省级有关部门及其直属的省级执法机构处以的罚没收入，全部就地上缴省级财政。公安、工商行政管理等部门缉查走私、贩私的罚没收入100%上缴中央财政。公安等部门收缴的缉毒罚没收入100%上缴省级财政。罚没收入的安排严格实行收支两条管理。</w:t>
      </w:r>
    </w:p>
    <w:p w14:paraId="507AE0FB">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rPr>
          <w:rFonts w:hint="eastAsia" w:ascii="仿宋_GB2312" w:hAnsi="仿宋" w:eastAsia="仿宋_GB2312"/>
          <w:sz w:val="32"/>
          <w:szCs w:val="32"/>
        </w:rPr>
      </w:pPr>
      <w:r>
        <w:rPr>
          <w:rFonts w:hint="eastAsia" w:ascii="楷体_GB2312" w:hAnsi="楷体_GB2312" w:eastAsia="楷体_GB2312" w:cs="楷体_GB2312"/>
          <w:b/>
          <w:bCs/>
          <w:sz w:val="32"/>
          <w:szCs w:val="32"/>
        </w:rPr>
        <w:t>国有资本经营收入：</w:t>
      </w:r>
      <w:r>
        <w:rPr>
          <w:rFonts w:hint="eastAsia" w:ascii="仿宋_GB2312" w:hAnsi="仿宋" w:eastAsia="仿宋_GB2312"/>
          <w:sz w:val="32"/>
          <w:szCs w:val="32"/>
        </w:rPr>
        <w:t>反映各级人民政府及其部门、机构履行出资人职责的企业上缴的国有资本收益。有利润收入，股利、股息收入，产权转让收入，清算收入等。</w:t>
      </w:r>
    </w:p>
    <w:p w14:paraId="34A40BDC">
      <w:pPr>
        <w:keepNext w:val="0"/>
        <w:keepLines w:val="0"/>
        <w:pageBreakBefore w:val="0"/>
        <w:widowControl w:val="0"/>
        <w:kinsoku/>
        <w:wordWrap/>
        <w:overflowPunct/>
        <w:topLinePunct w:val="0"/>
        <w:autoSpaceDE/>
        <w:autoSpaceDN/>
        <w:bidi w:val="0"/>
        <w:adjustRightInd w:val="0"/>
        <w:spacing w:line="600" w:lineRule="exact"/>
        <w:ind w:firstLine="640"/>
        <w:textAlignment w:val="auto"/>
        <w:outlineLvl w:val="9"/>
      </w:pPr>
      <w:r>
        <w:rPr>
          <w:rFonts w:hint="eastAsia" w:ascii="楷体_GB2312" w:hAnsi="楷体_GB2312" w:eastAsia="楷体_GB2312" w:cs="楷体_GB2312"/>
          <w:b/>
          <w:bCs/>
          <w:sz w:val="32"/>
          <w:szCs w:val="32"/>
        </w:rPr>
        <w:t>国有资源（资产）有偿使用收入：</w:t>
      </w:r>
      <w:r>
        <w:rPr>
          <w:rFonts w:hint="eastAsia" w:ascii="仿宋_GB2312" w:hAnsi="仿宋" w:eastAsia="仿宋_GB2312"/>
          <w:sz w:val="32"/>
          <w:szCs w:val="32"/>
        </w:rPr>
        <w:t>反映有偿转让国有资源(资产)使用权而取得的收入。主要有海域使用金收入、场地和矿区使用费收入、特种矿产品出售收入、专项储备物资销售收入、利息收入、非经营性国有资产经营收入、出租车经营权有偿出让和转让收入及其他国家资源(资产)有偿使用收入八项。</w:t>
      </w:r>
    </w:p>
    <w:p w14:paraId="1B501377">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二、政府性基金相关政策</w:t>
      </w:r>
    </w:p>
    <w:p w14:paraId="7F5C0D5C">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国有土地使用权出让收入：</w:t>
      </w:r>
      <w:r>
        <w:rPr>
          <w:rFonts w:hint="eastAsia" w:ascii="仿宋_GB2312" w:hAnsi="黑体" w:eastAsia="仿宋_GB2312" w:cstheme="minorBidi"/>
          <w:bCs/>
          <w:sz w:val="32"/>
          <w:szCs w:val="32"/>
        </w:rPr>
        <w:t>根据《国务院办公厅关于规范国有土地使用权出让收支管理的通知》（国办发〔2006〕100号）、《甘肃省国有土地使用权出让收支管理办法》（甘肃省人民政府令第42号）等规定，国有土地使用权出让收入是指政府以出让等方式配置国有土地使用权取得的全部土地价款</w:t>
      </w:r>
      <w:r>
        <w:rPr>
          <w:rFonts w:hint="eastAsia" w:ascii="仿宋_GB2312" w:hAnsi="黑体" w:eastAsia="仿宋_GB2312" w:cstheme="minorBidi"/>
          <w:bCs/>
          <w:sz w:val="32"/>
          <w:szCs w:val="32"/>
          <w:lang w:eastAsia="zh-CN"/>
        </w:rPr>
        <w:t>。</w:t>
      </w:r>
      <w:r>
        <w:rPr>
          <w:rFonts w:hint="eastAsia" w:ascii="仿宋_GB2312" w:hAnsi="黑体" w:eastAsia="仿宋_GB2312" w:cstheme="minorBidi"/>
          <w:bCs/>
          <w:sz w:val="32"/>
          <w:szCs w:val="32"/>
        </w:rPr>
        <w:t>从2007年起，省级财政按照市（州）国有土地使用权出让收入5%的比例分成</w:t>
      </w:r>
      <w:r>
        <w:rPr>
          <w:rFonts w:hint="eastAsia" w:ascii="仿宋_GB2312" w:hAnsi="黑体" w:eastAsia="仿宋_GB2312" w:cstheme="minorBidi"/>
          <w:bCs/>
          <w:sz w:val="32"/>
          <w:szCs w:val="32"/>
          <w:lang w:eastAsia="zh-CN"/>
        </w:rPr>
        <w:t>，</w:t>
      </w:r>
      <w:r>
        <w:rPr>
          <w:rFonts w:hint="eastAsia" w:ascii="仿宋_GB2312" w:hAnsi="黑体" w:eastAsia="仿宋_GB2312" w:cstheme="minorBidi"/>
          <w:bCs/>
          <w:sz w:val="32"/>
          <w:szCs w:val="32"/>
          <w:lang w:val="en-US" w:eastAsia="zh-CN"/>
        </w:rPr>
        <w:t>县级95%。</w:t>
      </w:r>
      <w:bookmarkStart w:id="0" w:name="_GoBack"/>
      <w:bookmarkEnd w:id="0"/>
      <w:r>
        <w:rPr>
          <w:rFonts w:hint="eastAsia" w:ascii="仿宋_GB2312" w:hAnsi="黑体" w:eastAsia="仿宋_GB2312" w:cstheme="minorBidi"/>
          <w:bCs/>
          <w:sz w:val="32"/>
          <w:szCs w:val="32"/>
        </w:rPr>
        <w:t>支出范围包括：征地和拆迁补偿支出、土地开发支出、支农支出、城市建设支出以及其他支出等。</w:t>
      </w:r>
    </w:p>
    <w:p w14:paraId="63E2FE5B">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大中型水库库区基金：</w:t>
      </w:r>
      <w:r>
        <w:rPr>
          <w:rFonts w:hint="eastAsia" w:ascii="仿宋_GB2312" w:hAnsi="黑体" w:eastAsia="仿宋_GB2312" w:cstheme="minorBidi"/>
          <w:bCs/>
          <w:sz w:val="32"/>
          <w:szCs w:val="32"/>
        </w:rPr>
        <w:t>经国务院批准，2007年财政部印发了《大中型水库库区基金征收使用管理暂行办法》（财综〔2007〕26号）。该基金从有发电收入的大中型水库发电收入中筹集，根据水库实际上网销售电量，按不高于8厘/千瓦时的标准征收，主要用于支持实施库区及移民安置区基础设施建设和经济发展规划；支持库区防护工程和移民生产、生活设施维护；解决水库移民的其他遗留问题。其中，跨省际的大中型水库库区基金，上缴中央国库，由中央财政按规定的分享比例拨付相关省份。</w:t>
      </w:r>
    </w:p>
    <w:p w14:paraId="10533DC4">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车辆通行费：</w:t>
      </w:r>
      <w:r>
        <w:rPr>
          <w:rFonts w:hint="eastAsia" w:ascii="仿宋_GB2312" w:hAnsi="黑体" w:eastAsia="仿宋_GB2312" w:cstheme="minorBidi"/>
          <w:bCs/>
          <w:sz w:val="32"/>
          <w:szCs w:val="32"/>
        </w:rPr>
        <w:t>根据《甘肃省省级车辆通行费收支预算管理办法》（甘财</w:t>
      </w:r>
      <w:r>
        <w:rPr>
          <w:rFonts w:hint="eastAsia" w:ascii="仿宋_GB2312" w:hAnsi="黑体" w:eastAsia="仿宋_GB2312" w:cstheme="minorBidi"/>
          <w:bCs/>
          <w:sz w:val="32"/>
          <w:szCs w:val="32"/>
          <w:lang w:val="en-US" w:eastAsia="zh-CN"/>
        </w:rPr>
        <w:t>经二</w:t>
      </w:r>
      <w:r>
        <w:rPr>
          <w:rFonts w:hint="eastAsia" w:ascii="仿宋_GB2312" w:hAnsi="黑体" w:eastAsia="仿宋_GB2312" w:cstheme="minorBidi"/>
          <w:bCs/>
          <w:sz w:val="32"/>
          <w:szCs w:val="32"/>
        </w:rPr>
        <w:t>〔201</w:t>
      </w:r>
      <w:r>
        <w:rPr>
          <w:rFonts w:hint="eastAsia" w:ascii="仿宋_GB2312" w:hAnsi="黑体" w:eastAsia="仿宋_GB2312" w:cstheme="minorBidi"/>
          <w:bCs/>
          <w:sz w:val="32"/>
          <w:szCs w:val="32"/>
          <w:lang w:val="en-US" w:eastAsia="zh-CN"/>
        </w:rPr>
        <w:t>8</w:t>
      </w:r>
      <w:r>
        <w:rPr>
          <w:rFonts w:hint="eastAsia" w:ascii="仿宋_GB2312" w:hAnsi="黑体" w:eastAsia="仿宋_GB2312" w:cstheme="minorBidi"/>
          <w:bCs/>
          <w:sz w:val="32"/>
          <w:szCs w:val="32"/>
        </w:rPr>
        <w:t>〕</w:t>
      </w:r>
      <w:r>
        <w:rPr>
          <w:rFonts w:hint="eastAsia" w:ascii="仿宋_GB2312" w:hAnsi="黑体" w:eastAsia="仿宋_GB2312" w:cstheme="minorBidi"/>
          <w:bCs/>
          <w:sz w:val="32"/>
          <w:szCs w:val="32"/>
          <w:lang w:val="en-US" w:eastAsia="zh-CN"/>
        </w:rPr>
        <w:t>30</w:t>
      </w:r>
      <w:r>
        <w:rPr>
          <w:rFonts w:hint="eastAsia" w:ascii="仿宋_GB2312" w:hAnsi="黑体" w:eastAsia="仿宋_GB2312" w:cstheme="minorBidi"/>
          <w:bCs/>
          <w:sz w:val="32"/>
          <w:szCs w:val="32"/>
        </w:rPr>
        <w:t>号），</w:t>
      </w:r>
      <w:r>
        <w:rPr>
          <w:rFonts w:hint="eastAsia" w:ascii="仿宋_GB2312" w:hAnsi="黑体" w:eastAsia="仿宋_GB2312" w:cstheme="minorBidi"/>
          <w:bCs/>
          <w:sz w:val="32"/>
          <w:szCs w:val="32"/>
          <w:lang w:val="en-US" w:eastAsia="zh-CN"/>
        </w:rPr>
        <w:t>政府还贷公路车辆通行费包括通过各种收费方式收取的政府还贷高速公路、一级公路（含桥梁、隧道）车辆通行费，严格实行收支两条线管理。</w:t>
      </w:r>
    </w:p>
    <w:p w14:paraId="74C46BDC">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彩票发行和销售机构业务费：</w:t>
      </w:r>
      <w:r>
        <w:rPr>
          <w:rFonts w:hint="eastAsia" w:ascii="仿宋_GB2312" w:hAnsi="黑体" w:eastAsia="仿宋_GB2312" w:cstheme="minorBidi"/>
          <w:bCs/>
          <w:sz w:val="32"/>
          <w:szCs w:val="32"/>
        </w:rPr>
        <w:t>根据《彩票管理条例》、《彩票管理实施细则》以及《财政部关于将彩票发行机构业务费纳入政府性基金预算管理有关问题的通知》（财综〔2015〕10号）等规定，彩票发行和销售机构业务费由彩票发行和销售机构按照彩票销售额一定比例提取，并纳入政府性基金预算管理，专项用于彩票发行和销售活动。</w:t>
      </w:r>
    </w:p>
    <w:p w14:paraId="0C95892F">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rPr>
      </w:pPr>
      <w:r>
        <w:rPr>
          <w:rFonts w:hint="eastAsia" w:ascii="楷体_GB2312" w:hAnsi="楷体_GB2312" w:eastAsia="楷体_GB2312" w:cs="楷体_GB2312"/>
          <w:b/>
          <w:bCs/>
          <w:kern w:val="0"/>
          <w:sz w:val="32"/>
          <w:szCs w:val="32"/>
          <w:lang w:val="en-US" w:eastAsia="zh-CN" w:bidi="ar-SA"/>
        </w:rPr>
        <w:t>彩票公益金：</w:t>
      </w:r>
      <w:r>
        <w:rPr>
          <w:rFonts w:hint="eastAsia" w:ascii="仿宋_GB2312" w:hAnsi="黑体" w:eastAsia="仿宋_GB2312" w:cstheme="minorBidi"/>
          <w:bCs/>
          <w:sz w:val="32"/>
          <w:szCs w:val="32"/>
        </w:rPr>
        <w:t>根据《彩票管理条例》、《彩票管理实施细则》以及《财政部关于印发&lt;彩票公益金管理办法&gt;的通知》（财综〔2012〕15号），彩票公益金是按照规定比例从彩票发行销售收入中提取的，专项用于社会福利、体育等社会公益事业的资金。彩票公益金分配政策是：中央与地方按5:5比例分配。彩票公益金使用范围包括：红十字事业、残疾人事业、农村医疗救助、城市医疗救助、教育助学、未成年人校外教育事业、文化、扶贫、法律援助等。</w:t>
      </w:r>
    </w:p>
    <w:p w14:paraId="74F52C58">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default" w:ascii="仿宋_GB2312" w:hAnsi="黑体" w:eastAsia="仿宋_GB2312" w:cstheme="minorBidi"/>
          <w:bCs/>
          <w:sz w:val="32"/>
          <w:szCs w:val="32"/>
          <w:lang w:val="en-US" w:eastAsia="zh-CN"/>
        </w:rPr>
      </w:pPr>
      <w:r>
        <w:rPr>
          <w:rFonts w:hint="eastAsia" w:ascii="仿宋_GB2312" w:hAnsi="黑体" w:eastAsia="仿宋_GB2312" w:cstheme="minorBidi"/>
          <w:bCs/>
          <w:sz w:val="32"/>
          <w:szCs w:val="32"/>
          <w:lang w:val="en-US" w:eastAsia="zh-CN"/>
        </w:rPr>
        <w:t>专项债务对应项目专项专项收入。是地方政府专项债务对应项目形成、可用于偿付专项债券本息的经营收入。</w:t>
      </w:r>
    </w:p>
    <w:p w14:paraId="2E3CC4D7">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国有资本经营预算相关政策</w:t>
      </w:r>
    </w:p>
    <w:p w14:paraId="77863087">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楷体_GB2312" w:hAnsi="楷体_GB2312" w:eastAsia="楷体_GB2312" w:cs="楷体_GB2312"/>
          <w:b/>
          <w:bCs/>
          <w:kern w:val="0"/>
          <w:sz w:val="32"/>
          <w:szCs w:val="32"/>
          <w:lang w:val="en-US" w:eastAsia="zh-CN" w:bidi="ar-SA"/>
        </w:rPr>
        <w:t>国有资本经营预算：</w:t>
      </w:r>
      <w:r>
        <w:rPr>
          <w:rFonts w:hint="eastAsia" w:ascii="仿宋_GB2312" w:hAnsi="黑体" w:eastAsia="仿宋_GB2312" w:cstheme="minorBidi"/>
          <w:bCs/>
          <w:sz w:val="32"/>
          <w:szCs w:val="32"/>
          <w:lang w:val="en-US" w:eastAsia="zh-CN"/>
        </w:rPr>
        <w:t>是政府以所有者身份依法取得国有资本收益，并对所得收益进行分配而发生的各项收支预算，是政府预算的重要组成部分。2007年9月，国务院发布《关于试行国有资本经营预算的意见》，标志着中国开始正式建立国有资本经营预算制度。</w:t>
      </w:r>
    </w:p>
    <w:p w14:paraId="00219F8C">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仿宋_GB2312" w:hAnsi="黑体" w:eastAsia="仿宋_GB2312" w:cstheme="minorBidi"/>
          <w:bCs/>
          <w:sz w:val="32"/>
          <w:szCs w:val="32"/>
          <w:lang w:val="en-US" w:eastAsia="zh-CN"/>
        </w:rPr>
        <w:t>按照2008年10月中华人民共和国第十一届全国人民代表大会常务委员会 通过的《中华人民共和国企业国有资产法》规定，国有资本经营预算按年度单独编制，纳入本级政府预算，报本级人民代表大会批准。国有资本经营预算支出按照当年预算收入规模安排，不列赤字。国务院和有关地方人民政府财政部门负责国有资本经营预算草案的编制工作，履行出资人职责的机构向财政部门提出由其履行出资人职责的国有资本经营预算建议草案。国有资本经营预算管理的具体办法和实施步骤，由国务院规定，报全国人民代表大会常务委员会备案。</w:t>
      </w:r>
    </w:p>
    <w:p w14:paraId="2573FBC5">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仿宋_GB2312" w:hAnsi="黑体" w:eastAsia="仿宋_GB2312" w:cstheme="minorBidi"/>
          <w:bCs/>
          <w:sz w:val="32"/>
          <w:szCs w:val="32"/>
          <w:lang w:val="en-US" w:eastAsia="zh-CN"/>
        </w:rPr>
        <w:t>国有资本经营预算制度是规范国有资本经营预算编制行为的一系列法律、行政法规和规章的总称。建立和实施国有资本经营预算制度，统筹用好国有资本收益，对于深化国有企业收入分配制度改革、增强政府宏观调控能力、合理配置国有资本、促进企业技术进步、提高企业核心竞争力，都具有重要意义。</w:t>
      </w:r>
    </w:p>
    <w:p w14:paraId="5BC66030">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社会保险基金预算相关政策</w:t>
      </w:r>
    </w:p>
    <w:p w14:paraId="0D381A8C">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黑体" w:eastAsia="仿宋_GB2312" w:cstheme="minorBidi"/>
          <w:bCs/>
          <w:sz w:val="32"/>
          <w:szCs w:val="32"/>
          <w:lang w:val="en-US" w:eastAsia="zh-CN"/>
        </w:rPr>
      </w:pPr>
      <w:r>
        <w:rPr>
          <w:rFonts w:hint="eastAsia" w:ascii="楷体_GB2312" w:hAnsi="楷体_GB2312" w:eastAsia="楷体_GB2312" w:cs="楷体_GB2312"/>
          <w:b/>
          <w:bCs/>
          <w:kern w:val="0"/>
          <w:sz w:val="32"/>
          <w:szCs w:val="32"/>
          <w:lang w:val="en-US" w:eastAsia="zh-CN" w:bidi="ar-SA"/>
        </w:rPr>
        <w:t>社会保险基金：</w:t>
      </w:r>
      <w:r>
        <w:rPr>
          <w:rFonts w:hint="eastAsia" w:ascii="仿宋_GB2312" w:hAnsi="黑体" w:eastAsia="仿宋_GB2312" w:cstheme="minorBidi"/>
          <w:bCs/>
          <w:sz w:val="32"/>
          <w:szCs w:val="32"/>
          <w:lang w:val="en-US" w:eastAsia="zh-CN"/>
        </w:rPr>
        <w:t>是指为了使社会保险有可靠的资金保障，国家通过立法要求全社会统一建立的，用于支付社会保险待遇的专项资金。用此种资金购置的资产及其增值部分也属于社会保险基金的范围。社会保险基金是国家为举办社会保险事业而筹集的，用于支付劳动者因暂时或永久丧失劳动能力或劳动机会时所享受的保险金和津贴的资金。社会保险基金按照保险类型确定资金来源，逐步实行社会统筹。用人单位和劳动者必须依法参加社会保险，缴纳社会保险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CF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D5A0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D5A0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49AE0"/>
    <w:multiLevelType w:val="singleLevel"/>
    <w:tmpl w:val="3FC49AE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3B52"/>
    <w:rsid w:val="02D47656"/>
    <w:rsid w:val="064033D0"/>
    <w:rsid w:val="0A043589"/>
    <w:rsid w:val="0ABC731A"/>
    <w:rsid w:val="0E124CC3"/>
    <w:rsid w:val="0F9D530F"/>
    <w:rsid w:val="11CB596C"/>
    <w:rsid w:val="11DB70A0"/>
    <w:rsid w:val="172F4AF3"/>
    <w:rsid w:val="1B7C36EC"/>
    <w:rsid w:val="201510BC"/>
    <w:rsid w:val="27C02867"/>
    <w:rsid w:val="2A9C74C9"/>
    <w:rsid w:val="2EFE3AA4"/>
    <w:rsid w:val="2F943982"/>
    <w:rsid w:val="309347E2"/>
    <w:rsid w:val="32286267"/>
    <w:rsid w:val="32BF685B"/>
    <w:rsid w:val="343C140E"/>
    <w:rsid w:val="36E14071"/>
    <w:rsid w:val="37217A25"/>
    <w:rsid w:val="39F75211"/>
    <w:rsid w:val="3D505DF2"/>
    <w:rsid w:val="3E811D88"/>
    <w:rsid w:val="41173DB8"/>
    <w:rsid w:val="44FB101F"/>
    <w:rsid w:val="45671237"/>
    <w:rsid w:val="460A3878"/>
    <w:rsid w:val="47EF7660"/>
    <w:rsid w:val="4AD06D6B"/>
    <w:rsid w:val="4E323975"/>
    <w:rsid w:val="4F141A33"/>
    <w:rsid w:val="502E69EF"/>
    <w:rsid w:val="50E26EF3"/>
    <w:rsid w:val="51CE77E3"/>
    <w:rsid w:val="599441BB"/>
    <w:rsid w:val="59A16546"/>
    <w:rsid w:val="5D6A3FF4"/>
    <w:rsid w:val="5DB846E4"/>
    <w:rsid w:val="68587986"/>
    <w:rsid w:val="6EA813DD"/>
    <w:rsid w:val="6FC61DF2"/>
    <w:rsid w:val="6FDB1726"/>
    <w:rsid w:val="6FE93B2A"/>
    <w:rsid w:val="7251769E"/>
    <w:rsid w:val="7628730D"/>
    <w:rsid w:val="77284105"/>
    <w:rsid w:val="7A512551"/>
    <w:rsid w:val="7A8D67CF"/>
    <w:rsid w:val="7AB31C5A"/>
    <w:rsid w:val="7AF75A1F"/>
    <w:rsid w:val="7B043C31"/>
    <w:rsid w:val="7B7F7A72"/>
    <w:rsid w:val="7C906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kern w:val="0"/>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2355</Words>
  <Characters>2405</Characters>
  <Lines>0</Lines>
  <Paragraphs>0</Paragraphs>
  <TotalTime>8</TotalTime>
  <ScaleCrop>false</ScaleCrop>
  <LinksUpToDate>false</LinksUpToDate>
  <CharactersWithSpaces>2410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苗圃心田</cp:lastModifiedBy>
  <dcterms:modified xsi:type="dcterms:W3CDTF">2025-09-25T01:10:49Z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eyJoZGlkIjoiNTI3MDA5ZjFlYjA5YzhlOTliODM1NWY4YjliNDNhYWUiLCJ1c2VySWQiOiIxMjcyNDIwMzczIn0=</vt:lpwstr>
  </property>
  <property fmtid="{D5CDD505-2E9C-101B-9397-08002B2CF9AE}" pid="4" name="ICV">
    <vt:lpwstr>68F002EF0207413D954157BF8E515089_12</vt:lpwstr>
  </property>
</Properties>
</file>