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合水县融媒体中心</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12"/>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983"/>
        <w:gridCol w:w="1786"/>
        <w:gridCol w:w="11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3"/>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3"/>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top"/>
          </w:tcPr>
          <w:p w14:paraId="74F7AC73">
            <w:pPr>
              <w:pStyle w:val="13"/>
              <w:spacing w:before="201" w:line="219" w:lineRule="auto"/>
              <w:ind w:left="85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w:t>
            </w:r>
            <w:r>
              <w:rPr>
                <w:rFonts w:hint="eastAsia" w:asciiTheme="minorEastAsia" w:hAnsiTheme="minorEastAsia" w:eastAsiaTheme="minorEastAsia" w:cstheme="minorEastAsia"/>
                <w:spacing w:val="0"/>
                <w:sz w:val="24"/>
                <w:szCs w:val="24"/>
                <w:lang w:eastAsia="zh-CN"/>
              </w:rPr>
              <w:t>融媒体中心</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3"/>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983" w:type="dxa"/>
            <w:vAlign w:val="top"/>
          </w:tcPr>
          <w:p w14:paraId="0329762F">
            <w:pPr>
              <w:pStyle w:val="13"/>
              <w:spacing w:before="199" w:line="220" w:lineRule="auto"/>
              <w:ind w:left="475"/>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786" w:type="dxa"/>
            <w:vAlign w:val="top"/>
          </w:tcPr>
          <w:p w14:paraId="4C578508">
            <w:pPr>
              <w:pStyle w:val="13"/>
              <w:spacing w:before="198" w:line="219" w:lineRule="auto"/>
              <w:ind w:left="40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51" w:type="dxa"/>
            <w:gridSpan w:val="2"/>
            <w:tcBorders>
              <w:right w:val="nil"/>
            </w:tcBorders>
            <w:vAlign w:val="top"/>
          </w:tcPr>
          <w:p w14:paraId="224F3882">
            <w:pPr>
              <w:pStyle w:val="13"/>
              <w:spacing w:before="198" w:line="219" w:lineRule="auto"/>
              <w:ind w:left="645"/>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部门</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3"/>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983" w:type="dxa"/>
            <w:vAlign w:val="top"/>
          </w:tcPr>
          <w:p w14:paraId="5290E408">
            <w:pPr>
              <w:pStyle w:val="13"/>
              <w:spacing w:before="286" w:line="219" w:lineRule="auto"/>
              <w:ind w:left="27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786" w:type="dxa"/>
            <w:vAlign w:val="top"/>
          </w:tcPr>
          <w:p w14:paraId="6F2F0719">
            <w:pPr>
              <w:pStyle w:val="13"/>
              <w:spacing w:before="285" w:line="219" w:lineRule="auto"/>
              <w:ind w:left="16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251" w:type="dxa"/>
            <w:gridSpan w:val="2"/>
            <w:tcBorders>
              <w:right w:val="nil"/>
            </w:tcBorders>
            <w:vAlign w:val="top"/>
          </w:tcPr>
          <w:p w14:paraId="686254E5">
            <w:pPr>
              <w:pStyle w:val="13"/>
              <w:spacing w:before="96" w:line="229" w:lineRule="auto"/>
              <w:ind w:right="292"/>
              <w:jc w:val="center"/>
              <w:rPr>
                <w:rFonts w:hint="eastAsia" w:asciiTheme="minorEastAsia" w:hAnsiTheme="minorEastAsia" w:eastAsiaTheme="minorEastAsia" w:cstheme="minorEastAsia"/>
                <w:spacing w:val="0"/>
                <w:sz w:val="24"/>
                <w:szCs w:val="24"/>
              </w:rPr>
            </w:pP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3"/>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top"/>
          </w:tcPr>
          <w:p w14:paraId="01CA1CD3">
            <w:pPr>
              <w:pStyle w:val="13"/>
              <w:spacing w:before="198" w:line="219" w:lineRule="auto"/>
              <w:ind w:left="2056"/>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w:t>
            </w:r>
            <w:r>
              <w:rPr>
                <w:rFonts w:hint="eastAsia" w:asciiTheme="minorEastAsia" w:hAnsiTheme="minorEastAsia" w:eastAsiaTheme="minorEastAsia" w:cstheme="minorEastAsia"/>
                <w:spacing w:val="0"/>
                <w:sz w:val="24"/>
                <w:szCs w:val="24"/>
                <w:lang w:eastAsia="zh-CN"/>
              </w:rPr>
              <w:t>融媒体中心</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3"/>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174B29AE">
            <w:pPr>
              <w:pStyle w:val="13"/>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本次对合水县融媒体中心2024年度部门整体支出开展绩效评价，主要通过运用规范的绩效评价指标体系和科学的绩效评价方法，评价衡量部门不同支出绩效水平。同时，总结合水县融媒体中心在年度部门履职过程中取得的成效或好的经验和做法，分析存在的问题及不足，针对存在的问题提出合理化工作建议，加强绩效评价结果应用。</w:t>
            </w:r>
          </w:p>
          <w:p w14:paraId="378230EF">
            <w:pPr>
              <w:pStyle w:val="13"/>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rPr>
            </w:pP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3"/>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3"/>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983" w:type="dxa"/>
            <w:vAlign w:val="top"/>
          </w:tcPr>
          <w:p w14:paraId="2EE08C3F">
            <w:pPr>
              <w:pStyle w:val="13"/>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685.33</w:t>
            </w:r>
            <w:r>
              <w:rPr>
                <w:rFonts w:hint="eastAsia" w:asciiTheme="minorEastAsia" w:hAnsiTheme="minorEastAsia" w:eastAsiaTheme="minorEastAsia" w:cstheme="minorEastAsia"/>
                <w:spacing w:val="0"/>
                <w:sz w:val="24"/>
                <w:szCs w:val="24"/>
                <w:highlight w:val="none"/>
              </w:rPr>
              <w:t>万元</w:t>
            </w:r>
          </w:p>
        </w:tc>
        <w:tc>
          <w:tcPr>
            <w:tcW w:w="1900" w:type="dxa"/>
            <w:gridSpan w:val="2"/>
            <w:vAlign w:val="top"/>
          </w:tcPr>
          <w:p w14:paraId="41C16993">
            <w:pPr>
              <w:pStyle w:val="13"/>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3"/>
              <w:spacing w:before="237" w:line="184"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841.46</w:t>
            </w:r>
            <w:r>
              <w:rPr>
                <w:rFonts w:hint="eastAsia" w:asciiTheme="minorEastAsia" w:hAnsiTheme="minorEastAsia" w:eastAsiaTheme="minorEastAsia" w:cstheme="minorEastAsia"/>
                <w:spacing w:val="0"/>
                <w:sz w:val="24"/>
                <w:szCs w:val="24"/>
                <w:highlight w:val="none"/>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3"/>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983" w:type="dxa"/>
            <w:vAlign w:val="top"/>
          </w:tcPr>
          <w:p w14:paraId="290B9AA6">
            <w:pPr>
              <w:pStyle w:val="13"/>
              <w:spacing w:before="240" w:line="183" w:lineRule="auto"/>
              <w:jc w:val="center"/>
              <w:rPr>
                <w:rFonts w:hint="eastAsia" w:asciiTheme="minorEastAsia" w:hAnsiTheme="minorEastAsia" w:eastAsiaTheme="minorEastAsia" w:cstheme="minorEastAsia"/>
                <w:spacing w:val="0"/>
                <w:sz w:val="24"/>
                <w:szCs w:val="24"/>
                <w:highlight w:val="none"/>
              </w:rPr>
            </w:pPr>
          </w:p>
        </w:tc>
        <w:tc>
          <w:tcPr>
            <w:tcW w:w="1900" w:type="dxa"/>
            <w:gridSpan w:val="2"/>
            <w:vAlign w:val="top"/>
          </w:tcPr>
          <w:p w14:paraId="66105287">
            <w:pPr>
              <w:pStyle w:val="13"/>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3"/>
              <w:spacing w:before="240" w:beforeLines="0" w:afterLines="0" w:line="183" w:lineRule="auto"/>
              <w:jc w:val="center"/>
              <w:rPr>
                <w:rFonts w:hint="eastAsia" w:asciiTheme="minorEastAsia" w:hAnsiTheme="minorEastAsia" w:eastAsiaTheme="minorEastAsia" w:cstheme="minorEastAsia"/>
                <w:spacing w:val="0"/>
                <w:sz w:val="24"/>
                <w:szCs w:val="24"/>
                <w:highlight w:val="none"/>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3"/>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983" w:type="dxa"/>
            <w:vAlign w:val="top"/>
          </w:tcPr>
          <w:p w14:paraId="190C312A">
            <w:pPr>
              <w:pStyle w:val="13"/>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685.33</w:t>
            </w:r>
            <w:r>
              <w:rPr>
                <w:rFonts w:hint="eastAsia" w:asciiTheme="minorEastAsia" w:hAnsiTheme="minorEastAsia" w:eastAsiaTheme="minorEastAsia" w:cstheme="minorEastAsia"/>
                <w:spacing w:val="0"/>
                <w:sz w:val="24"/>
                <w:szCs w:val="24"/>
                <w:highlight w:val="none"/>
              </w:rPr>
              <w:t>万元</w:t>
            </w:r>
          </w:p>
        </w:tc>
        <w:tc>
          <w:tcPr>
            <w:tcW w:w="1900" w:type="dxa"/>
            <w:gridSpan w:val="2"/>
            <w:vAlign w:val="top"/>
          </w:tcPr>
          <w:p w14:paraId="2DF377AF">
            <w:pPr>
              <w:pStyle w:val="13"/>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3"/>
              <w:spacing w:before="240" w:beforeLines="0" w:afterLines="0"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685.33</w:t>
            </w:r>
            <w:r>
              <w:rPr>
                <w:rFonts w:hint="eastAsia" w:asciiTheme="minorEastAsia" w:hAnsiTheme="minorEastAsia" w:eastAsiaTheme="minorEastAsia" w:cstheme="minorEastAsia"/>
                <w:spacing w:val="0"/>
                <w:sz w:val="24"/>
                <w:szCs w:val="24"/>
                <w:highlight w:val="none"/>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3"/>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983" w:type="dxa"/>
            <w:vAlign w:val="top"/>
          </w:tcPr>
          <w:p w14:paraId="64F54DE7">
            <w:pPr>
              <w:pStyle w:val="13"/>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841.46</w:t>
            </w:r>
            <w:r>
              <w:rPr>
                <w:rFonts w:hint="eastAsia" w:asciiTheme="minorEastAsia" w:hAnsiTheme="minorEastAsia" w:eastAsiaTheme="minorEastAsia" w:cstheme="minorEastAsia"/>
                <w:spacing w:val="0"/>
                <w:sz w:val="24"/>
                <w:szCs w:val="24"/>
                <w:highlight w:val="none"/>
              </w:rPr>
              <w:t>万元</w:t>
            </w:r>
          </w:p>
        </w:tc>
        <w:tc>
          <w:tcPr>
            <w:tcW w:w="1900" w:type="dxa"/>
            <w:gridSpan w:val="2"/>
            <w:vAlign w:val="top"/>
          </w:tcPr>
          <w:p w14:paraId="5F8D6931">
            <w:pPr>
              <w:pStyle w:val="13"/>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3"/>
              <w:spacing w:before="237" w:line="184" w:lineRule="auto"/>
              <w:jc w:val="center"/>
              <w:rPr>
                <w:rFonts w:hint="eastAsia" w:asciiTheme="minorEastAsia" w:hAnsiTheme="minorEastAsia" w:eastAsiaTheme="minorEastAsia" w:cstheme="minorEastAsia"/>
                <w:spacing w:val="0"/>
                <w:sz w:val="24"/>
                <w:szCs w:val="24"/>
                <w:highlight w:val="none"/>
                <w:lang w:val="en-US" w:eastAsia="zh-CN"/>
              </w:rPr>
            </w:pP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3"/>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3"/>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100</w:t>
            </w:r>
            <w:r>
              <w:rPr>
                <w:rFonts w:hint="eastAsia" w:asciiTheme="minorEastAsia" w:hAnsiTheme="minorEastAsia" w:eastAsiaTheme="minorEastAsia" w:cstheme="minorEastAsia"/>
                <w:spacing w:val="0"/>
                <w:sz w:val="24"/>
                <w:szCs w:val="24"/>
                <w:highlight w:val="none"/>
              </w:rPr>
              <w:t>%</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12"/>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393" w:type="dxa"/>
            <w:tcBorders>
              <w:left w:val="nil"/>
            </w:tcBorders>
            <w:vAlign w:val="center"/>
          </w:tcPr>
          <w:p w14:paraId="325593E1">
            <w:pPr>
              <w:pStyle w:val="13"/>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3"/>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1F5610AF">
            <w:pPr>
              <w:pStyle w:val="13"/>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2024年，我中心</w:t>
            </w:r>
            <w:r>
              <w:rPr>
                <w:rFonts w:hint="eastAsia" w:asciiTheme="minorEastAsia" w:hAnsiTheme="minorEastAsia" w:eastAsiaTheme="minorEastAsia" w:cstheme="minorEastAsia"/>
                <w:spacing w:val="0"/>
                <w:sz w:val="24"/>
                <w:szCs w:val="24"/>
              </w:rPr>
              <w:t>坚持以习近平新时代中国特色社会主义思想为指导，认真贯彻落实中央及省市县宣传思想文化工作会议精神，紧紧围绕全县中心工作开展全方位宣传，创新实践，突出抓好主题宣传、媒体融合、机制创新等重点工作，自觉担负举旗帜、聚民心、育新人、兴文化、展形象的使命。</w:t>
            </w:r>
          </w:p>
          <w:p w14:paraId="2518464F">
            <w:pPr>
              <w:pStyle w:val="13"/>
              <w:keepNext w:val="0"/>
              <w:keepLines w:val="0"/>
              <w:pageBreakBefore w:val="0"/>
              <w:widowControl/>
              <w:kinsoku/>
              <w:wordWrap/>
              <w:overflowPunct/>
              <w:topLinePunct w:val="0"/>
              <w:autoSpaceDE w:val="0"/>
              <w:autoSpaceDN w:val="0"/>
              <w:bidi w:val="0"/>
              <w:adjustRightInd w:val="0"/>
              <w:snapToGrid w:val="0"/>
              <w:spacing w:before="44" w:line="305" w:lineRule="auto"/>
              <w:ind w:right="108"/>
              <w:jc w:val="both"/>
              <w:textAlignment w:val="baseline"/>
              <w:rPr>
                <w:rFonts w:hint="eastAsia" w:asciiTheme="minorEastAsia" w:hAnsiTheme="minorEastAsia" w:eastAsiaTheme="minorEastAsia" w:cstheme="minorEastAsia"/>
                <w:spacing w:val="0"/>
                <w:sz w:val="24"/>
                <w:szCs w:val="24"/>
              </w:rPr>
            </w:pP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3"/>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393" w:type="dxa"/>
            <w:tcBorders>
              <w:left w:val="nil"/>
            </w:tcBorders>
            <w:vAlign w:val="center"/>
          </w:tcPr>
          <w:p w14:paraId="4635A4B6">
            <w:pPr>
              <w:pStyle w:val="13"/>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3"/>
              <w:spacing w:before="38" w:line="303" w:lineRule="auto"/>
              <w:ind w:left="116" w:right="151" w:firstLine="478"/>
              <w:jc w:val="left"/>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评价范围涵盖了部门2024年1月1日至2024年12月31日的所有支出项目，包括人员经费、公用经费、项目经费等。</w:t>
            </w:r>
          </w:p>
        </w:tc>
      </w:tr>
    </w:tbl>
    <w:p w14:paraId="6D80B9A0">
      <w:pPr>
        <w:spacing w:line="91" w:lineRule="auto"/>
        <w:rPr>
          <w:rFonts w:hint="eastAsia" w:asciiTheme="minorEastAsia" w:hAnsiTheme="minorEastAsia" w:eastAsiaTheme="minorEastAsia" w:cstheme="minorEastAsia"/>
          <w:spacing w:val="0"/>
          <w:sz w:val="24"/>
          <w:szCs w:val="24"/>
        </w:rPr>
      </w:pPr>
    </w:p>
    <w:tbl>
      <w:tblPr>
        <w:tblStyle w:val="12"/>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7106"/>
      </w:tblGrid>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3" w:type="dxa"/>
            <w:tcBorders>
              <w:left w:val="nil"/>
            </w:tcBorders>
            <w:vAlign w:val="center"/>
          </w:tcPr>
          <w:p w14:paraId="6A1272BF">
            <w:pPr>
              <w:pStyle w:val="13"/>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06" w:type="dxa"/>
            <w:tcBorders>
              <w:right w:val="nil"/>
            </w:tcBorders>
            <w:vAlign w:val="top"/>
          </w:tcPr>
          <w:p w14:paraId="3EAC74DA">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（1）《中华人民共和国预算法》； </w:t>
            </w:r>
          </w:p>
          <w:p w14:paraId="124F7388">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（2）《中华人民共和国预算法实施条例》（中华人民共和 </w:t>
            </w:r>
          </w:p>
          <w:p w14:paraId="70D24A9A">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国国务院令 第 729 号）； </w:t>
            </w:r>
          </w:p>
          <w:p w14:paraId="3E35FE88">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（3）《中共中央 国务院关于全面实施预算绩效管理的意见》 </w:t>
            </w:r>
          </w:p>
          <w:p w14:paraId="59CB5423">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（中发〔2018〕34 号）； </w:t>
            </w:r>
          </w:p>
          <w:p w14:paraId="3CBD9B0F">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（4）《国务院关于进一步深化预算管理制度改革的意见》 </w:t>
            </w:r>
          </w:p>
          <w:p w14:paraId="0505DC88">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（国发〔2021〕5 号）； </w:t>
            </w:r>
          </w:p>
          <w:p w14:paraId="0EC70B42">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（5）《财政部关于贯彻落实〈中共中央 国务院关于全面实 </w:t>
            </w:r>
          </w:p>
          <w:p w14:paraId="52A15ACC">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施预算绩效管理的意见〉的通知》（财预〔2018〕167 号）； </w:t>
            </w:r>
          </w:p>
          <w:p w14:paraId="689B8E89">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（6）《财政部关于进一步做好预算信息公开工作的指导意见》（财预〔2010〕31 号）； </w:t>
            </w:r>
          </w:p>
          <w:p w14:paraId="55393F4D">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（7）《地方预决算公开操作规程》（财预〔2016〕143 号）； </w:t>
            </w:r>
          </w:p>
          <w:p w14:paraId="033CBBC9">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（8）《财政部关于规范绩效评价结果等级划分的通知》（财 </w:t>
            </w:r>
          </w:p>
          <w:p w14:paraId="1BAC90AA">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预便〔2017〕44 号）； </w:t>
            </w:r>
          </w:p>
          <w:p w14:paraId="5567EC25">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（9）《财政部关于印发〈第三方机构预算绩效评价业务监督管理暂行办法〉的通知》（财监〔2021〕4 号）； </w:t>
            </w:r>
          </w:p>
          <w:p w14:paraId="5B76DC58">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（10）《中共甘肃省委 甘肃省人民政府关于全面实施预算绩效管理的实施意见》（甘发〔2018〕32 号）； </w:t>
            </w:r>
          </w:p>
          <w:p w14:paraId="41C245B4">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（11）《甘肃省人民政府关于进一步深化预算管理制度改革的实施意见》（甘政发〔2021〕55 号）； </w:t>
            </w:r>
          </w:p>
          <w:p w14:paraId="2BADB076">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（12）《中共甘肃省委办公厅 甘肃省人民政府办公厅关于进一步推进预算公开工作的实施方案》； </w:t>
            </w:r>
          </w:p>
          <w:p w14:paraId="64872033">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 xml:space="preserve">（13）《合水县财政局关于开展2024年度部门和财政重点绩效评价工作的通知》(合财发【2025】59号)； </w:t>
            </w:r>
          </w:p>
          <w:p w14:paraId="01FC1C21">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（14）其他相关文件资料。如：2024年绩效申报表、自评表和自评报告、财务资料、部门工作总结等。</w:t>
            </w:r>
          </w:p>
          <w:p w14:paraId="506171E1">
            <w:pPr>
              <w:pStyle w:val="13"/>
              <w:keepNext/>
              <w:keepLines/>
              <w:pageBreakBefore w:val="0"/>
              <w:widowControl/>
              <w:kinsoku/>
              <w:wordWrap/>
              <w:overflowPunct/>
              <w:topLinePunct w:val="0"/>
              <w:autoSpaceDE w:val="0"/>
              <w:autoSpaceDN w:val="0"/>
              <w:bidi w:val="0"/>
              <w:adjustRightInd w:val="0"/>
              <w:snapToGrid w:val="0"/>
              <w:spacing w:before="30" w:line="298" w:lineRule="auto"/>
              <w:ind w:left="116" w:right="108"/>
              <w:textAlignment w:val="baseline"/>
              <w:rPr>
                <w:rFonts w:hint="eastAsia" w:asciiTheme="minorEastAsia" w:hAnsiTheme="minorEastAsia" w:eastAsiaTheme="minorEastAsia" w:cstheme="minorEastAsia"/>
                <w:spacing w:val="0"/>
                <w:sz w:val="24"/>
                <w:szCs w:val="24"/>
              </w:rPr>
            </w:pP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6D0697B8">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06" w:type="dxa"/>
            <w:tcBorders>
              <w:right w:val="nil"/>
            </w:tcBorders>
            <w:vAlign w:val="center"/>
          </w:tcPr>
          <w:p w14:paraId="73E0D391">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本次部门整体支出绩效评价采用计划标准、行业标准和历史标准进行评价。</w:t>
            </w:r>
          </w:p>
          <w:p w14:paraId="77F932F8">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1.计划标准</w:t>
            </w:r>
          </w:p>
          <w:p w14:paraId="0C89CF03">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 xml:space="preserve">主要以部门 </w:t>
            </w:r>
            <w:r>
              <w:rPr>
                <w:rFonts w:hint="eastAsia"/>
                <w:spacing w:val="0"/>
                <w:lang w:eastAsia="zh-CN"/>
              </w:rPr>
              <w:t>2024</w:t>
            </w:r>
            <w:r>
              <w:rPr>
                <w:rFonts w:hint="default"/>
                <w:spacing w:val="0"/>
              </w:rPr>
              <w:t xml:space="preserve"> 年度部门预先制定的目标、计划、预算、定额等数据为评价标准，对部门整体支出进行绩效评价。此标准重点应用于部门管理和履职效果部分，以部门设定的</w:t>
            </w:r>
            <w:r>
              <w:rPr>
                <w:rFonts w:hint="eastAsia"/>
                <w:spacing w:val="0"/>
                <w:lang w:eastAsia="zh-CN"/>
              </w:rPr>
              <w:t>2024</w:t>
            </w:r>
            <w:r>
              <w:rPr>
                <w:rFonts w:hint="default"/>
                <w:spacing w:val="0"/>
              </w:rPr>
              <w:t>年度计划任务、绩效目标、指标目标值以及定额标准为依据绩效指标目标值，考核部门本年度基本运行、核心业务和重点项目的成本控制情况，考核部门年度履职效果目标的实现程度。</w:t>
            </w:r>
          </w:p>
          <w:p w14:paraId="12D1482E">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2.行业标准</w:t>
            </w:r>
          </w:p>
          <w:p w14:paraId="486D9F8F">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参照国家、省级、市级制定或公布的行业指标数据、行业规定的标准等开展此次绩效评价。</w:t>
            </w:r>
          </w:p>
          <w:p w14:paraId="5DF34084">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3.历史标准</w:t>
            </w:r>
          </w:p>
          <w:p w14:paraId="17912BB5">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default"/>
                <w:spacing w:val="0"/>
              </w:rPr>
            </w:pPr>
            <w:r>
              <w:rPr>
                <w:rFonts w:hint="default"/>
                <w:spacing w:val="0"/>
              </w:rPr>
              <w:t>参照部门以前年度部门预算安排及执行情况，部门管理及履职效能情况，履职目标达成情况等，确定可实现条件下的相对较高的评价标准。</w:t>
            </w:r>
          </w:p>
          <w:p w14:paraId="6A619EA5">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spacing w:val="0"/>
              </w:rPr>
            </w:pP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590B79C0">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06" w:type="dxa"/>
            <w:tcBorders>
              <w:right w:val="nil"/>
            </w:tcBorders>
            <w:vAlign w:val="center"/>
          </w:tcPr>
          <w:p w14:paraId="6251DCA5">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spacing w:val="0"/>
                <w:lang w:val="en-US" w:eastAsia="zh-CN"/>
              </w:rPr>
            </w:pPr>
            <w:r>
              <w:rPr>
                <w:rFonts w:hint="eastAsia"/>
                <w:spacing w:val="0"/>
                <w:lang w:val="en-US" w:eastAsia="zh-CN"/>
              </w:rPr>
              <w:t>(1)比较法。通过对2024年整体支出绩效目标、工作计划和实际情况对比，在此基础上采取定量分析与定性分析相结合的方法，进行综合分析，最后依据分析结果开展绩效评价。</w:t>
            </w:r>
          </w:p>
          <w:p w14:paraId="13AD8C62">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spacing w:val="0"/>
                <w:lang w:val="en-US" w:eastAsia="zh-CN"/>
              </w:rPr>
            </w:pPr>
            <w:r>
              <w:rPr>
                <w:rFonts w:hint="eastAsia"/>
                <w:spacing w:val="0"/>
                <w:lang w:val="en-US" w:eastAsia="zh-CN"/>
              </w:rPr>
              <w:t>(2)公众评判法。通过对2024年整体支出所有项目参与工作人员及社会公众开展调查，对调查结果的总结分析，综合评价合水县融媒体中心工作人员对于资金使用情况的满意度及社会公众对于广播电视播出情况的满意度。</w:t>
            </w:r>
          </w:p>
          <w:p w14:paraId="008764FD">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spacing w:val="0"/>
              </w:rPr>
            </w:pP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43DFCB98">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06" w:type="dxa"/>
            <w:tcBorders>
              <w:right w:val="nil"/>
            </w:tcBorders>
            <w:vAlign w:val="center"/>
          </w:tcPr>
          <w:p w14:paraId="673BC2D0">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spacing w:val="0"/>
                <w:lang w:val="en-US" w:eastAsia="zh-CN"/>
              </w:rPr>
            </w:pPr>
            <w:r>
              <w:rPr>
                <w:rFonts w:hint="eastAsia"/>
                <w:spacing w:val="0"/>
                <w:lang w:val="en-US" w:eastAsia="zh-CN"/>
              </w:rPr>
              <w:t>评价组通过资料收集、实地调研、问卷调查及访谈的方式，了解部门履职情况，整理佐证材料，对照绩效评价指标体系，逐项进行绩效打分，形成最终评分结果。</w:t>
            </w:r>
          </w:p>
          <w:p w14:paraId="49DD54C8">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spacing w:val="0"/>
                <w:lang w:val="en-US" w:eastAsia="zh-CN"/>
              </w:rPr>
            </w:pPr>
            <w:r>
              <w:rPr>
                <w:rFonts w:hint="eastAsia"/>
                <w:spacing w:val="0"/>
                <w:lang w:val="en-US" w:eastAsia="zh-CN"/>
              </w:rPr>
              <w:t>(1)绩效评分采用打分法，总分设置100分。根据不同评价准则、不同评价问题、各评价指标的重要性，相应赋予不同分值。</w:t>
            </w:r>
          </w:p>
          <w:p w14:paraId="2BF2F8EA">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spacing w:val="0"/>
                <w:lang w:val="en-US" w:eastAsia="zh-CN"/>
              </w:rPr>
            </w:pPr>
            <w:r>
              <w:rPr>
                <w:rFonts w:hint="eastAsia"/>
                <w:spacing w:val="0"/>
                <w:lang w:val="en-US" w:eastAsia="zh-CN"/>
              </w:rPr>
              <w:t>(2)根据评分标准，达到要求的指标记标准分满分，不能达到标准的按照评分标准进行打分，得分最低为0分。</w:t>
            </w:r>
          </w:p>
          <w:p w14:paraId="35560647">
            <w:pPr>
              <w:pStyle w:val="13"/>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spacing w:val="0"/>
                <w:lang w:val="en-US" w:eastAsia="zh-CN"/>
              </w:rPr>
            </w:pPr>
            <w:r>
              <w:rPr>
                <w:rFonts w:hint="eastAsia"/>
                <w:spacing w:val="0"/>
                <w:lang w:val="en-US" w:eastAsia="zh-CN"/>
              </w:rPr>
              <w:t>(3)根据财政部《关于规范绩效评价结果等级划分的通知》(财预便(2017)44号)文件，绩效评价结果等级划分为优良、中、差四等，根据各评价指标得分分值的计算总和，确定评价对象最后达到的评价等级。</w:t>
            </w:r>
          </w:p>
          <w:p w14:paraId="46D57CB5">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2" w:firstLineChars="200"/>
              <w:jc w:val="left"/>
              <w:textAlignment w:val="baseline"/>
              <w:rPr>
                <w:rFonts w:hint="eastAsia" w:asciiTheme="minorEastAsia" w:hAnsiTheme="minorEastAsia" w:eastAsiaTheme="minorEastAsia" w:cstheme="minorEastAsia"/>
                <w:b/>
                <w:bCs/>
                <w:spacing w:val="0"/>
                <w:sz w:val="24"/>
                <w:szCs w:val="24"/>
              </w:rPr>
            </w:pP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7A26A088">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06" w:type="dxa"/>
            <w:tcBorders>
              <w:right w:val="nil"/>
            </w:tcBorders>
            <w:vAlign w:val="center"/>
          </w:tcPr>
          <w:p w14:paraId="630BA410">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1、前期准备阶段</w:t>
            </w:r>
          </w:p>
          <w:p w14:paraId="248EB6AB">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根据《合水县财政局关于开展2024年度部门和财政重点绩效评价工作的通知》(合财发【2024】102号)要求，明确评价任务和工作要求，成立项目评价工作组，制定工作计划。</w:t>
            </w:r>
          </w:p>
          <w:p w14:paraId="38018CFB">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2、非现场评价阶段</w:t>
            </w:r>
          </w:p>
          <w:p w14:paraId="0AC699C6">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对财务资料进行查阅，核实其真实性。搜集资金明细账、项目实施的相关资料，从而了解资金和项目的管理方式以及项目的效益实现情况。实施收集、查阅项目实施方案、资金下达文件、项目实施进度、财务收支计划及与项目绩效评价有关的资料、文件及相关制度等必要评价程序，在现场核查过程中，尽可能收集足够的相关信息，掌握详细资料，准备好各类基础资料。选取资金拨付金额大、完成率低的项目资金进行着重调查(按照项目具体情况，确定重点调查方向)，总结整理各专项绩效执行情况，整理汇总绩效数据，从“绩”和“效”两个方面全面评价，了解项目实施过程中存在的问题以及受益人员满意度。</w:t>
            </w:r>
          </w:p>
          <w:p w14:paraId="3B8EF336">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3、现场评价阶段</w:t>
            </w:r>
          </w:p>
          <w:p w14:paraId="0683095B">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开展现场座谈会，听取各相关股室对评价对象的目标设定及完成程度，组织管理制度建立健全及落实情况，预算支出执行情况，财务管理状况，资产管理情况和预算支出执行产生的效益效果等情况介绍;依据相关文件和规定为标杆，着重以地方政策规定为指导，结合项目管理单位及实施单位提供的相关资料，了解项目的背景、实施意义以及项目效果等情况。</w:t>
            </w:r>
          </w:p>
          <w:p w14:paraId="4402DE83">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4.综合分析阶段</w:t>
            </w:r>
          </w:p>
          <w:p w14:paraId="5CF53723">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全面梳理、汇总现场评价和非现场评价情况，进行综合分析，主要根据现场评价情况形成评价结论。</w:t>
            </w:r>
          </w:p>
          <w:p w14:paraId="7E6A80C6">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5.形成报告阶段</w:t>
            </w:r>
          </w:p>
          <w:p w14:paraId="692623BC">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(1)撰写报告:评价工作组撰写绩效评价报告，形成绩效评价初稿。</w:t>
            </w:r>
          </w:p>
          <w:p w14:paraId="26A05FA4">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(2)报告征求意见及报告完善:评价报告经审核后，送交各相关股室征求意见，报告初稿意见反馈及初稿完善。</w:t>
            </w:r>
          </w:p>
          <w:p w14:paraId="5A6D7B5C">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rPr>
            </w:pPr>
            <w:r>
              <w:rPr>
                <w:rFonts w:hint="eastAsia"/>
                <w:spacing w:val="0"/>
                <w:lang w:val="en-US" w:eastAsia="zh-CN"/>
              </w:rPr>
              <w:t>(3)报送报告:根据各相关股室意见修改报告，在规定时间内正式向财政局报送绩效评价报告。</w:t>
            </w:r>
          </w:p>
          <w:p w14:paraId="38B86B56">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spacing w:val="0"/>
              </w:rPr>
            </w:pPr>
          </w:p>
        </w:tc>
      </w:tr>
    </w:tbl>
    <w:p w14:paraId="12ABA30F">
      <w:pPr>
        <w:pStyle w:val="4"/>
        <w:numPr>
          <w:ilvl w:val="0"/>
          <w:numId w:val="1"/>
        </w:numPr>
        <w:spacing w:before="238" w:line="219" w:lineRule="auto"/>
        <w:ind w:left="2971"/>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评价结论和绩效分析</w:t>
      </w:r>
    </w:p>
    <w:p w14:paraId="5E239BA6">
      <w:pPr>
        <w:pStyle w:val="4"/>
        <w:numPr>
          <w:numId w:val="0"/>
        </w:numPr>
        <w:spacing w:before="238" w:line="219" w:lineRule="auto"/>
        <w:rPr>
          <w:rFonts w:hint="eastAsia" w:asciiTheme="minorEastAsia" w:hAnsiTheme="minorEastAsia" w:eastAsiaTheme="minorEastAsia" w:cstheme="minorEastAsia"/>
          <w:b/>
          <w:bCs/>
          <w:spacing w:val="0"/>
          <w:sz w:val="24"/>
          <w:szCs w:val="24"/>
        </w:rPr>
      </w:pPr>
    </w:p>
    <w:p w14:paraId="5945FE5F">
      <w:pPr>
        <w:spacing w:line="124" w:lineRule="exact"/>
        <w:rPr>
          <w:rFonts w:hint="eastAsia" w:asciiTheme="minorEastAsia" w:hAnsiTheme="minorEastAsia" w:eastAsiaTheme="minorEastAsia" w:cstheme="minorEastAsia"/>
          <w:spacing w:val="0"/>
          <w:sz w:val="24"/>
          <w:szCs w:val="24"/>
        </w:rPr>
      </w:pPr>
    </w:p>
    <w:tbl>
      <w:tblPr>
        <w:tblStyle w:val="9"/>
        <w:tblW w:w="182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520"/>
        <w:gridCol w:w="1160"/>
        <w:gridCol w:w="580"/>
        <w:gridCol w:w="4040"/>
        <w:gridCol w:w="759"/>
        <w:gridCol w:w="1000"/>
        <w:gridCol w:w="1020"/>
        <w:gridCol w:w="2229"/>
        <w:gridCol w:w="2066"/>
        <w:gridCol w:w="2066"/>
        <w:gridCol w:w="2066"/>
      </w:tblGrid>
      <w:tr w14:paraId="7C48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436" w:hRule="atLeast"/>
        </w:trPr>
        <w:tc>
          <w:tcPr>
            <w:tcW w:w="9872" w:type="dxa"/>
            <w:gridSpan w:val="8"/>
            <w:tcBorders>
              <w:top w:val="nil"/>
              <w:left w:val="nil"/>
              <w:bottom w:val="nil"/>
              <w:right w:val="nil"/>
            </w:tcBorders>
            <w:noWrap w:val="0"/>
            <w:vAlign w:val="center"/>
          </w:tcPr>
          <w:p w14:paraId="38192D0C">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3115" w:leftChars="1026" w:hanging="960" w:hangingChars="400"/>
              <w:jc w:val="left"/>
              <w:textAlignment w:val="baseline"/>
              <w:rPr>
                <w:rFonts w:hint="eastAsia"/>
                <w:spacing w:val="0"/>
                <w:lang w:val="en-US" w:eastAsia="zh-CN"/>
              </w:rPr>
            </w:pPr>
            <w:r>
              <w:rPr>
                <w:rFonts w:hint="eastAsia"/>
                <w:spacing w:val="0"/>
                <w:lang w:val="en-US" w:eastAsia="zh-CN"/>
              </w:rPr>
              <w:t>合水县融媒体中心2024年部门整体支出</w:t>
            </w:r>
            <w:r>
              <w:rPr>
                <w:rFonts w:hint="eastAsia"/>
                <w:spacing w:val="0"/>
                <w:lang w:val="en-US" w:eastAsia="zh-CN"/>
              </w:rPr>
              <w:br w:type="textWrapping"/>
            </w:r>
            <w:r>
              <w:rPr>
                <w:rFonts w:hint="eastAsia"/>
                <w:spacing w:val="0"/>
                <w:lang w:val="en-US" w:eastAsia="zh-CN"/>
              </w:rPr>
              <w:t>绩效评价综合分析表</w:t>
            </w:r>
          </w:p>
          <w:p w14:paraId="03AAA28A">
            <w:pPr>
              <w:pStyle w:val="13"/>
              <w:keepNext w:val="0"/>
              <w:keepLines w:val="0"/>
              <w:pageBreakBefore w:val="0"/>
              <w:widowControl/>
              <w:kinsoku w:val="0"/>
              <w:wordWrap/>
              <w:overflowPunct/>
              <w:topLinePunct w:val="0"/>
              <w:autoSpaceDE w:val="0"/>
              <w:autoSpaceDN w:val="0"/>
              <w:bidi w:val="0"/>
              <w:adjustRightInd w:val="0"/>
              <w:snapToGrid w:val="0"/>
              <w:spacing w:line="219" w:lineRule="auto"/>
              <w:ind w:left="3115" w:leftChars="1026" w:hanging="960" w:hangingChars="400"/>
              <w:jc w:val="left"/>
              <w:textAlignment w:val="baseline"/>
              <w:rPr>
                <w:rFonts w:hint="eastAsia"/>
                <w:spacing w:val="0"/>
                <w:lang w:val="en-US" w:eastAsia="zh-CN"/>
              </w:rPr>
            </w:pPr>
          </w:p>
        </w:tc>
      </w:tr>
      <w:tr w14:paraId="68D0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9872" w:type="dxa"/>
            <w:gridSpan w:val="8"/>
            <w:tcBorders>
              <w:top w:val="nil"/>
              <w:left w:val="nil"/>
              <w:bottom w:val="nil"/>
              <w:right w:val="nil"/>
            </w:tcBorders>
            <w:shd w:val="clear"/>
            <w:noWrap w:val="0"/>
            <w:vAlign w:val="top"/>
          </w:tcPr>
          <w:tbl>
            <w:tblPr>
              <w:tblStyle w:val="12"/>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711"/>
              <w:gridCol w:w="2651"/>
              <w:gridCol w:w="1900"/>
              <w:gridCol w:w="1565"/>
            </w:tblGrid>
            <w:tr w14:paraId="79020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2" w:type="dxa"/>
                  <w:tcBorders>
                    <w:left w:val="nil"/>
                  </w:tcBorders>
                  <w:vAlign w:val="top"/>
                </w:tcPr>
                <w:p w14:paraId="4E937AC6">
                  <w:pPr>
                    <w:pStyle w:val="13"/>
                    <w:spacing w:before="117" w:line="220" w:lineRule="auto"/>
                    <w:ind w:left="146"/>
                    <w:rPr>
                      <w:rFonts w:hint="eastAsia" w:asciiTheme="minorEastAsia" w:hAnsiTheme="minorEastAsia" w:eastAsiaTheme="minorEastAsia" w:cstheme="minorEastAsia"/>
                      <w:spacing w:val="0"/>
                      <w:sz w:val="24"/>
                      <w:szCs w:val="24"/>
                    </w:rPr>
                  </w:pPr>
                  <w:r>
                    <w:rPr>
                      <w:b/>
                      <w:bCs/>
                      <w:spacing w:val="-6"/>
                    </w:rPr>
                    <w:t>综合评价结论</w:t>
                  </w:r>
                </w:p>
              </w:tc>
              <w:tc>
                <w:tcPr>
                  <w:tcW w:w="1711" w:type="dxa"/>
                  <w:vAlign w:val="center"/>
                </w:tcPr>
                <w:p w14:paraId="48709982">
                  <w:pPr>
                    <w:pStyle w:val="13"/>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651" w:type="dxa"/>
                  <w:vAlign w:val="center"/>
                </w:tcPr>
                <w:p w14:paraId="76DB3DA9">
                  <w:pPr>
                    <w:pStyle w:val="13"/>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3FF533A3">
                  <w:pPr>
                    <w:pStyle w:val="13"/>
                    <w:spacing w:before="78" w:line="183" w:lineRule="auto"/>
                    <w:ind w:left="714"/>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92</w:t>
                  </w:r>
                </w:p>
                <w:p w14:paraId="03AD1433">
                  <w:pPr>
                    <w:pStyle w:val="13"/>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1900" w:type="dxa"/>
                  <w:vAlign w:val="center"/>
                </w:tcPr>
                <w:p w14:paraId="72871C70">
                  <w:pPr>
                    <w:pStyle w:val="13"/>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565" w:type="dxa"/>
                  <w:tcBorders>
                    <w:right w:val="nil"/>
                  </w:tcBorders>
                  <w:vAlign w:val="center"/>
                </w:tcPr>
                <w:p w14:paraId="718EFBD4">
                  <w:pPr>
                    <w:pStyle w:val="13"/>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A级</w:t>
                  </w:r>
                </w:p>
                <w:p w14:paraId="6E3B3557">
                  <w:pPr>
                    <w:pStyle w:val="13"/>
                    <w:spacing w:before="78" w:line="182" w:lineRule="auto"/>
                    <w:jc w:val="center"/>
                    <w:rPr>
                      <w:rFonts w:hint="eastAsia" w:asciiTheme="minorEastAsia" w:hAnsiTheme="minorEastAsia" w:eastAsiaTheme="minorEastAsia" w:cstheme="minorEastAsia"/>
                      <w:spacing w:val="0"/>
                      <w:sz w:val="24"/>
                      <w:szCs w:val="24"/>
                      <w:lang w:val="en-US" w:eastAsia="zh-CN"/>
                    </w:rPr>
                  </w:pPr>
                </w:p>
              </w:tc>
            </w:tr>
          </w:tbl>
          <w:p w14:paraId="7322C253">
            <w:pPr>
              <w:pStyle w:val="13"/>
              <w:spacing w:before="117" w:line="220" w:lineRule="auto"/>
              <w:rPr>
                <w:rFonts w:hint="default" w:asciiTheme="minorEastAsia" w:hAnsiTheme="minorEastAsia" w:eastAsiaTheme="minorEastAsia" w:cstheme="minorEastAsia"/>
                <w:b/>
                <w:bCs/>
                <w:spacing w:val="0"/>
                <w:sz w:val="24"/>
                <w:szCs w:val="24"/>
                <w:lang w:val="en-US" w:eastAsia="zh-CN"/>
              </w:rPr>
            </w:pPr>
          </w:p>
        </w:tc>
        <w:tc>
          <w:tcPr>
            <w:tcW w:w="2229" w:type="dxa"/>
            <w:tcBorders>
              <w:top w:val="nil"/>
              <w:left w:val="nil"/>
              <w:bottom w:val="nil"/>
              <w:right w:val="nil"/>
            </w:tcBorders>
            <w:noWrap w:val="0"/>
            <w:vAlign w:val="center"/>
          </w:tcPr>
          <w:p w14:paraId="3DBD5382">
            <w:pPr>
              <w:pStyle w:val="13"/>
              <w:spacing w:before="78" w:line="219" w:lineRule="auto"/>
              <w:jc w:val="center"/>
              <w:rPr>
                <w:rFonts w:hint="eastAsia" w:asciiTheme="minorEastAsia" w:hAnsiTheme="minorEastAsia" w:eastAsiaTheme="minorEastAsia" w:cstheme="minorEastAsia"/>
                <w:snapToGrid w:val="0"/>
                <w:color w:val="000000"/>
                <w:spacing w:val="0"/>
                <w:kern w:val="0"/>
                <w:sz w:val="24"/>
                <w:szCs w:val="24"/>
                <w:lang w:val="en-US" w:eastAsia="zh-CN" w:bidi="ar-SA"/>
              </w:rPr>
            </w:pPr>
            <w:r>
              <w:rPr>
                <w:rFonts w:hint="eastAsia" w:asciiTheme="minorEastAsia" w:hAnsiTheme="minorEastAsia" w:eastAsiaTheme="minorEastAsia" w:cstheme="minorEastAsia"/>
                <w:b/>
                <w:bCs/>
                <w:spacing w:val="0"/>
                <w:sz w:val="24"/>
                <w:szCs w:val="24"/>
              </w:rPr>
              <w:t>评价得分</w:t>
            </w:r>
          </w:p>
        </w:tc>
        <w:tc>
          <w:tcPr>
            <w:tcW w:w="2066" w:type="dxa"/>
            <w:tcBorders>
              <w:top w:val="nil"/>
              <w:left w:val="nil"/>
              <w:bottom w:val="nil"/>
              <w:right w:val="nil"/>
            </w:tcBorders>
            <w:noWrap w:val="0"/>
            <w:vAlign w:val="center"/>
          </w:tcPr>
          <w:p w14:paraId="1CC50B5E">
            <w:pPr>
              <w:pStyle w:val="13"/>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7CA39034">
            <w:pPr>
              <w:pStyle w:val="13"/>
              <w:spacing w:before="78" w:line="183" w:lineRule="auto"/>
              <w:ind w:left="714"/>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92</w:t>
            </w:r>
          </w:p>
          <w:p w14:paraId="5557B69E">
            <w:pPr>
              <w:pStyle w:val="13"/>
              <w:spacing w:before="78" w:line="183" w:lineRule="auto"/>
              <w:ind w:left="714" w:leftChars="0"/>
              <w:jc w:val="center"/>
              <w:rPr>
                <w:rFonts w:hint="eastAsia" w:asciiTheme="minorEastAsia" w:hAnsiTheme="minorEastAsia" w:eastAsiaTheme="minorEastAsia" w:cstheme="minorEastAsia"/>
                <w:snapToGrid w:val="0"/>
                <w:color w:val="000000"/>
                <w:spacing w:val="0"/>
                <w:kern w:val="0"/>
                <w:sz w:val="24"/>
                <w:szCs w:val="24"/>
                <w:lang w:val="en-US" w:eastAsia="zh-CN" w:bidi="ar-SA"/>
              </w:rPr>
            </w:pPr>
          </w:p>
        </w:tc>
        <w:tc>
          <w:tcPr>
            <w:tcW w:w="2066" w:type="dxa"/>
            <w:tcBorders>
              <w:top w:val="nil"/>
              <w:left w:val="nil"/>
              <w:bottom w:val="nil"/>
              <w:right w:val="nil"/>
            </w:tcBorders>
            <w:noWrap w:val="0"/>
            <w:vAlign w:val="center"/>
          </w:tcPr>
          <w:p w14:paraId="189490A6">
            <w:pPr>
              <w:pStyle w:val="13"/>
              <w:spacing w:before="78" w:line="219" w:lineRule="auto"/>
              <w:jc w:val="center"/>
              <w:rPr>
                <w:rFonts w:hint="eastAsia" w:asciiTheme="minorEastAsia" w:hAnsiTheme="minorEastAsia" w:eastAsiaTheme="minorEastAsia" w:cstheme="minorEastAsia"/>
                <w:snapToGrid w:val="0"/>
                <w:color w:val="000000"/>
                <w:spacing w:val="0"/>
                <w:kern w:val="0"/>
                <w:sz w:val="24"/>
                <w:szCs w:val="24"/>
                <w:lang w:val="en-US" w:eastAsia="zh-CN" w:bidi="ar-SA"/>
              </w:rPr>
            </w:pPr>
            <w:r>
              <w:rPr>
                <w:rFonts w:hint="eastAsia" w:asciiTheme="minorEastAsia" w:hAnsiTheme="minorEastAsia" w:eastAsiaTheme="minorEastAsia" w:cstheme="minorEastAsia"/>
                <w:b/>
                <w:bCs/>
                <w:spacing w:val="0"/>
                <w:sz w:val="24"/>
                <w:szCs w:val="24"/>
              </w:rPr>
              <w:t>评价等级</w:t>
            </w:r>
          </w:p>
        </w:tc>
        <w:tc>
          <w:tcPr>
            <w:tcW w:w="2066" w:type="dxa"/>
            <w:tcBorders>
              <w:top w:val="nil"/>
              <w:left w:val="nil"/>
              <w:bottom w:val="nil"/>
              <w:right w:val="nil"/>
            </w:tcBorders>
            <w:noWrap w:val="0"/>
            <w:vAlign w:val="center"/>
          </w:tcPr>
          <w:p w14:paraId="2AAC27B1">
            <w:pPr>
              <w:pStyle w:val="13"/>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A级</w:t>
            </w:r>
          </w:p>
          <w:p w14:paraId="0F484C6A">
            <w:pPr>
              <w:pStyle w:val="13"/>
              <w:spacing w:before="78" w:line="182" w:lineRule="auto"/>
              <w:jc w:val="center"/>
              <w:rPr>
                <w:rFonts w:hint="eastAsia" w:asciiTheme="minorEastAsia" w:hAnsiTheme="minorEastAsia" w:eastAsiaTheme="minorEastAsia" w:cstheme="minorEastAsia"/>
                <w:snapToGrid w:val="0"/>
                <w:color w:val="000000"/>
                <w:spacing w:val="0"/>
                <w:kern w:val="0"/>
                <w:sz w:val="24"/>
                <w:szCs w:val="24"/>
                <w:lang w:val="en-US" w:eastAsia="zh-CN" w:bidi="ar-SA"/>
              </w:rPr>
            </w:pPr>
          </w:p>
        </w:tc>
      </w:tr>
      <w:tr w14:paraId="44B2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tcBorders>
              <w:top w:val="single" w:color="000000" w:sz="4" w:space="0"/>
              <w:left w:val="single" w:color="000000" w:sz="4" w:space="0"/>
              <w:bottom w:val="single" w:color="000000" w:sz="4" w:space="0"/>
              <w:right w:val="single" w:color="000000" w:sz="4" w:space="0"/>
            </w:tcBorders>
            <w:noWrap/>
            <w:vAlign w:val="center"/>
          </w:tcPr>
          <w:p w14:paraId="554AE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716F12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分值</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3BB6B74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二级指标</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1541B39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分值</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2AD0C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83F1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BB18F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扣分</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7D9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1EED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19107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w:t>
            </w:r>
          </w:p>
        </w:tc>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5286CEA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79E56C1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项目申报</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2B31453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64291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申报依据充分</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60D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EB28D8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E7D0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2FE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0EB41C7">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370638D">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5EE80AA">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2A383E1D">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4E62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申报程序规范性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B13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F67143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FDAB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0DD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BE2DECD">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13FB7BC">
            <w:pPr>
              <w:jc w:val="cente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006150E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目标设定</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2B078E2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8E69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2108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1A7AA2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63F5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DD1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3DC5F522">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513A2F4A">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045D238E">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5864790F">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288A0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49E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4C258C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D8E8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958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FDED236">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3D921B02">
            <w:pPr>
              <w:jc w:val="cente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48FE34C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资金投入</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66D7B85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06D8F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预算编制合理性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696D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C4EEA3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192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728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3D3E4598">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C83C416">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4E6FA5F8">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31AE2905">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77BE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097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06FCC4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D016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91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3F913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w:t>
            </w:r>
          </w:p>
        </w:tc>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239D6E0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w:t>
            </w: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527B71C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资金管理</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0ACE57C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6DD4E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A14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A13B1B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95E7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20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146E925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324A0BE9">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16D9FC45">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422ED364">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304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资金管理制度健全性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4101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6C75A7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C4CC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279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9F211D7">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5D41A4C9">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2B4A29DF">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399A6B23">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139A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392D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3C9708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39A3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B39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F7A23A6">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8FD8C25">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564FAFEB">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4343DEFB">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9FA9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财务管理规范性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8E5C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BE4259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10A9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EDC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1DFEEDA">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90EEFBB">
            <w:pPr>
              <w:jc w:val="cente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6CA4AC7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组织实施</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4A11848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C63B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80D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0F1CEC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88AB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FE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319FB1DA">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F91C278">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2E417936">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0523716A">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9713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政府采购规范性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48E2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2C18CE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5C9E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FE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E4A192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49C6BB68">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5EC3F422">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3CA468EA">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79B1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制度执行有效性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D25E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F88881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3A4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DCF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125D7FA2">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BF964CE">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5EE7390B">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43A866D2">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0E8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合同管理规范性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E8C8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691D92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907D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D9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62C6AF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A1C1DCD">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6ADF1C76">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0F870A87">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3DD1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档案管理规范性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C077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240E50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F8FD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6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28655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履职</w:t>
            </w:r>
          </w:p>
        </w:tc>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2539779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48042DB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数量</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5130107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722E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新闻稿件播出1950条</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17C9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7FCBC2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B5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7B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7C233D4">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BE0054B">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61DBA1C">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41B05E46">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26C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新媒体平台推发稿件11000余条</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DD4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A3876A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81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098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44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887D4EC">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40977091">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60E506C2">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4905E65A">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124D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中央电视台采用2条</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E626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8A9582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7521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5582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23FA7307">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55D3E989">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353B97C">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633670A5">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14287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省级主流媒体采用15条</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076E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179BE3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7C2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750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C457B1A">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382A09F">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3516B250">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5C0E8E85">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05368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市级媒体采用14条</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11B2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812B83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FD0D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11A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111FB68">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2EDDE73D">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05CFD554">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745B5CC8">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2E8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开设政务便民服务栏目41个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F758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449A77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67EB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FAD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ADA145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54755C99">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3AE71FD3">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168907DE">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762E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设备正常运转完成情况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6AF6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6FD960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8E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4E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2FF6198C">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E8D50AB">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34AC257F">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61136A12">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CA7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安全播出完成情况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48E5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CBAE1F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204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C3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66E5402C">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205FAC4">
            <w:pPr>
              <w:jc w:val="cente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35F25B2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质量</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4A4E51F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09E67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新闻稿件播出达标情况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3396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1EEA69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2D9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37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3E3CC02">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B21D056">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22C71FEC">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1AC7E07B">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07A2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新媒体平台推发稿件达标情况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733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345264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004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CFD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44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E55B701">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B67F9FE">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0EE114F6">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44581DBB">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5DE3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中央电视台采用条数达标情况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4A2F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83A0A3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277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4BF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44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304DD934">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3F0907D9">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605590A3">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6AE06976">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6B47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省级主流媒体采用条数达标情况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0AD0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7591CF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B7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CC2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44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1628AAF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5EEFC0D8">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1A338C0D">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5C70FB9B">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041E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市级媒体采用条数达标情况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9453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92E651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16BE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2F9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5AC4596">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F724BAD">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329FD4B1">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1ECC1042">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4CB4A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开设政务便民服务栏目情况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758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3CCEA6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784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79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3C08BCC">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4237B8F8">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5521C38D">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721D9F03">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921B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设备正常运转达标情况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722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B0B4FA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B5E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5C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2FF5116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668E231">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4922BEC">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3B85CDE7">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07BD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安全播出管控达标情况</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4DFF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BE54A5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9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0D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CD61B73">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39E94B02">
            <w:pPr>
              <w:jc w:val="center"/>
            </w:pP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2F6DA8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时效</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2906782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74893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A41E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95F59B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nil"/>
              <w:left w:val="single" w:color="000000" w:sz="4" w:space="0"/>
              <w:bottom w:val="single" w:color="000000" w:sz="4" w:space="0"/>
              <w:right w:val="single" w:color="000000" w:sz="4" w:space="0"/>
            </w:tcBorders>
            <w:noWrap w:val="0"/>
            <w:vAlign w:val="center"/>
          </w:tcPr>
          <w:p w14:paraId="52E98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FB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0569060">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7257ACF">
            <w:pPr>
              <w:jc w:val="center"/>
            </w:pP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75F7DBC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成本</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06A983B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47AE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6A4B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3464D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nil"/>
              <w:left w:val="single" w:color="000000" w:sz="4" w:space="0"/>
              <w:bottom w:val="single" w:color="000000" w:sz="4" w:space="0"/>
              <w:right w:val="single" w:color="000000" w:sz="4" w:space="0"/>
            </w:tcBorders>
            <w:noWrap w:val="0"/>
            <w:vAlign w:val="center"/>
          </w:tcPr>
          <w:p w14:paraId="21D74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A2F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restart"/>
            <w:tcBorders>
              <w:top w:val="single" w:color="000000" w:sz="4" w:space="0"/>
              <w:left w:val="single" w:color="000000" w:sz="4" w:space="0"/>
              <w:bottom w:val="single" w:color="000000" w:sz="4" w:space="0"/>
              <w:right w:val="single" w:color="000000" w:sz="4" w:space="0"/>
            </w:tcBorders>
            <w:noWrap/>
            <w:vAlign w:val="center"/>
          </w:tcPr>
          <w:p w14:paraId="20A4C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p>
        </w:tc>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0FC7773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4079386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社会效益</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60488A4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1AA98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县域内主流媒体传播力引导力影响力公信力</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30B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A3A211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43F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DC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5BC1FA83">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6F590313">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795B3FCD">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6D5A6CB2">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788D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政策解读效果、民生诉求响应解决能力</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A2A1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B478E7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86A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C8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8589760">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48C44AC">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28275E23">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633E07DE">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577F2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本土文化传播能力</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BDE7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4D2690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79E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A7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080D52E2">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7ECB3BE7">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3A70DECA">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1C8C7AA3">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177EA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在突发事件中信息发布权威性、及时性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0134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615E6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4D8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7A8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10B58DC4">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2CDAD81C">
            <w:pPr>
              <w:jc w:val="cente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6D0961A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可持续影响</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4FD7DBD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282E9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技术更新与创新能力</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6C2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4A121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26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BA3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7F171A4A">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319C17E">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15175729">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034606B8">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489A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官方媒体影响力</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EE62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7410E6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246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68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6A314A85">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60C61F52">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135B786F">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31745099">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2F7A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人才队伍建设与稳定性</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C428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468396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259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27A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6821734B">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65A051D8">
            <w:pPr>
              <w:jc w:val="center"/>
            </w:pPr>
          </w:p>
        </w:tc>
        <w:tc>
          <w:tcPr>
            <w:tcW w:w="1160" w:type="dxa"/>
            <w:vMerge w:val="restart"/>
            <w:tcBorders>
              <w:top w:val="single" w:color="000000" w:sz="4" w:space="0"/>
              <w:left w:val="single" w:color="000000" w:sz="4" w:space="0"/>
              <w:bottom w:val="single" w:color="000000" w:sz="4" w:space="0"/>
              <w:right w:val="single" w:color="000000" w:sz="4" w:space="0"/>
            </w:tcBorders>
            <w:noWrap/>
            <w:vAlign w:val="center"/>
          </w:tcPr>
          <w:p w14:paraId="62D2441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满意度</w:t>
            </w:r>
          </w:p>
        </w:tc>
        <w:tc>
          <w:tcPr>
            <w:tcW w:w="580" w:type="dxa"/>
            <w:vMerge w:val="restart"/>
            <w:tcBorders>
              <w:top w:val="single" w:color="000000" w:sz="4" w:space="0"/>
              <w:left w:val="single" w:color="000000" w:sz="4" w:space="0"/>
              <w:bottom w:val="single" w:color="000000" w:sz="4" w:space="0"/>
              <w:right w:val="single" w:color="000000" w:sz="4" w:space="0"/>
            </w:tcBorders>
            <w:noWrap/>
            <w:vAlign w:val="center"/>
          </w:tcPr>
          <w:p w14:paraId="2D803F8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06F08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县委县政府满意度</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A62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94F921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2A3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375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ign w:val="center"/>
          </w:tcPr>
          <w:p w14:paraId="4B662ADF">
            <w:pPr>
              <w:jc w:val="center"/>
              <w:rPr>
                <w:rFonts w:hint="eastAsia" w:ascii="宋体" w:hAnsi="宋体" w:eastAsia="宋体" w:cs="宋体"/>
                <w:i w:val="0"/>
                <w:iCs w:val="0"/>
                <w:color w:val="000000"/>
                <w:sz w:val="22"/>
                <w:szCs w:val="22"/>
                <w:u w:val="none"/>
              </w:rPr>
            </w:pPr>
          </w:p>
        </w:tc>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6D2E6C0A">
            <w:pPr>
              <w:jc w:val="center"/>
            </w:pPr>
          </w:p>
        </w:tc>
        <w:tc>
          <w:tcPr>
            <w:tcW w:w="1160" w:type="dxa"/>
            <w:vMerge w:val="continue"/>
            <w:tcBorders>
              <w:top w:val="single" w:color="000000" w:sz="4" w:space="0"/>
              <w:left w:val="single" w:color="000000" w:sz="4" w:space="0"/>
              <w:bottom w:val="single" w:color="000000" w:sz="4" w:space="0"/>
              <w:right w:val="single" w:color="000000" w:sz="4" w:space="0"/>
            </w:tcBorders>
            <w:noWrap/>
            <w:vAlign w:val="center"/>
          </w:tcPr>
          <w:p w14:paraId="60098456">
            <w:pPr>
              <w:jc w:val="center"/>
            </w:pPr>
          </w:p>
        </w:tc>
        <w:tc>
          <w:tcPr>
            <w:tcW w:w="580" w:type="dxa"/>
            <w:vMerge w:val="continue"/>
            <w:tcBorders>
              <w:top w:val="single" w:color="000000" w:sz="4" w:space="0"/>
              <w:left w:val="single" w:color="000000" w:sz="4" w:space="0"/>
              <w:bottom w:val="single" w:color="000000" w:sz="4" w:space="0"/>
              <w:right w:val="single" w:color="000000" w:sz="4" w:space="0"/>
            </w:tcBorders>
            <w:noWrap/>
            <w:vAlign w:val="center"/>
          </w:tcPr>
          <w:p w14:paraId="7FB7EB0E">
            <w:pPr>
              <w:jc w:val="center"/>
            </w:pP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3B90B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4C2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CC659C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4071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47B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27" w:type="dxa"/>
          <w:trHeight w:val="227" w:hRule="atLeast"/>
        </w:trPr>
        <w:tc>
          <w:tcPr>
            <w:tcW w:w="7093" w:type="dxa"/>
            <w:gridSpan w:val="5"/>
            <w:tcBorders>
              <w:top w:val="single" w:color="000000" w:sz="4" w:space="0"/>
              <w:left w:val="single" w:color="000000" w:sz="4" w:space="0"/>
              <w:bottom w:val="single" w:color="000000" w:sz="4" w:space="0"/>
              <w:right w:val="single" w:color="000000" w:sz="4" w:space="0"/>
            </w:tcBorders>
            <w:noWrap/>
            <w:vAlign w:val="center"/>
          </w:tcPr>
          <w:p w14:paraId="3444A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0680F0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F94C33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CAF6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bl>
    <w:p w14:paraId="4BBAFF72">
      <w:pPr>
        <w:pStyle w:val="4"/>
        <w:spacing w:before="238" w:line="219" w:lineRule="auto"/>
        <w:jc w:val="both"/>
        <w:rPr>
          <w:rFonts w:hint="eastAsia" w:asciiTheme="minorEastAsia" w:hAnsiTheme="minorEastAsia" w:eastAsiaTheme="minorEastAsia" w:cstheme="minorEastAsia"/>
          <w:b/>
          <w:bCs/>
          <w:spacing w:val="0"/>
          <w:sz w:val="24"/>
          <w:szCs w:val="24"/>
        </w:rPr>
      </w:pPr>
    </w:p>
    <w:p w14:paraId="12F5AC03">
      <w:pPr>
        <w:pStyle w:val="4"/>
        <w:spacing w:before="238" w:line="219" w:lineRule="auto"/>
        <w:jc w:val="center"/>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spacing w:line="91" w:lineRule="auto"/>
        <w:rPr>
          <w:rFonts w:hint="eastAsia" w:asciiTheme="minorEastAsia" w:hAnsiTheme="minorEastAsia" w:eastAsiaTheme="minorEastAsia" w:cstheme="minorEastAsia"/>
          <w:spacing w:val="0"/>
          <w:sz w:val="24"/>
          <w:szCs w:val="24"/>
        </w:rPr>
      </w:pPr>
    </w:p>
    <w:tbl>
      <w:tblPr>
        <w:tblStyle w:val="12"/>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0F6AEE88">
            <w:pPr>
              <w:pStyle w:val="13"/>
              <w:spacing w:before="118" w:line="297" w:lineRule="auto"/>
              <w:ind w:left="120" w:right="109" w:firstLine="478"/>
              <w:jc w:val="both"/>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一</w:t>
            </w:r>
            <w:bookmarkStart w:id="0" w:name="_GoBack"/>
            <w:bookmarkEnd w:id="0"/>
            <w:r>
              <w:rPr>
                <w:rFonts w:hint="eastAsia" w:asciiTheme="minorEastAsia" w:hAnsiTheme="minorEastAsia" w:eastAsiaTheme="minorEastAsia" w:cstheme="minorEastAsia"/>
                <w:spacing w:val="0"/>
                <w:sz w:val="24"/>
                <w:szCs w:val="24"/>
                <w:lang w:val="en-US" w:eastAsia="zh-CN"/>
              </w:rPr>
              <w:t>是预算调整比率过大，预算编制精准性有待提高;</w:t>
            </w:r>
          </w:p>
          <w:p w14:paraId="7D35B50B">
            <w:pPr>
              <w:pStyle w:val="13"/>
              <w:spacing w:before="118" w:line="297" w:lineRule="auto"/>
              <w:ind w:left="120" w:right="109" w:firstLine="478"/>
              <w:jc w:val="both"/>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二是绩效评价体系有待完善，绩效自评质量不高:</w:t>
            </w:r>
          </w:p>
          <w:p w14:paraId="7E0FE5E0">
            <w:pPr>
              <w:pStyle w:val="13"/>
              <w:spacing w:before="118" w:line="297" w:lineRule="auto"/>
              <w:ind w:left="120" w:right="109" w:firstLine="478"/>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三是预算编制科学性不足，项目成本控制有待加强。</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3"/>
              <w:spacing w:before="193" w:line="220" w:lineRule="auto"/>
              <w:ind w:left="3312"/>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3F918080">
            <w:pPr>
              <w:pStyle w:val="13"/>
              <w:spacing w:before="120" w:line="297" w:lineRule="auto"/>
              <w:ind w:left="115" w:right="109" w:firstLine="486"/>
              <w:jc w:val="both"/>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(一)加强业务学习，进一步提高预算编制准确性。</w:t>
            </w:r>
          </w:p>
          <w:p w14:paraId="53DAAA04">
            <w:pPr>
              <w:pStyle w:val="13"/>
              <w:spacing w:before="120" w:line="297" w:lineRule="auto"/>
              <w:ind w:left="115" w:right="109" w:firstLine="486"/>
              <w:jc w:val="both"/>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(二)深化预算绩效管理，提升全过程预算绩效管理质效。</w:t>
            </w:r>
          </w:p>
          <w:p w14:paraId="4D274CA5">
            <w:pPr>
              <w:pStyle w:val="13"/>
              <w:spacing w:before="120" w:line="297" w:lineRule="auto"/>
              <w:ind w:left="115" w:right="109" w:firstLine="486"/>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(三)建议加强预算成本控制，提高预算编制的科学性。</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3"/>
              <w:spacing w:before="239" w:line="220" w:lineRule="auto"/>
              <w:ind w:left="319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186" w:hRule="atLeast"/>
        </w:trPr>
        <w:tc>
          <w:tcPr>
            <w:tcW w:w="8530" w:type="dxa"/>
            <w:tcBorders>
              <w:tl2br w:val="nil"/>
              <w:tr2bl w:val="nil"/>
            </w:tcBorders>
            <w:vAlign w:val="center"/>
          </w:tcPr>
          <w:p w14:paraId="39714EF8">
            <w:pPr>
              <w:pStyle w:val="8"/>
              <w:keepNext w:val="0"/>
              <w:keepLines w:val="0"/>
              <w:widowControl/>
              <w:suppressLineNumbers w:val="0"/>
              <w:spacing w:before="0" w:beforeAutospacing="0" w:after="0" w:afterAutospacing="0"/>
              <w:ind w:right="0" w:firstLine="482" w:firstLineChars="200"/>
              <w:jc w:val="both"/>
              <w:rPr>
                <w:rStyle w:val="11"/>
                <w:rFonts w:hint="eastAsia" w:ascii="Segoe UI" w:hAnsi="Segoe UI" w:eastAsia="宋体" w:cs="Segoe UI"/>
                <w:b/>
                <w:bCs/>
                <w:i w:val="0"/>
                <w:iCs w:val="0"/>
                <w:caps w:val="0"/>
                <w:color w:val="404040"/>
                <w:spacing w:val="0"/>
                <w:sz w:val="24"/>
                <w:szCs w:val="24"/>
                <w:shd w:val="clear" w:fill="FFFFFF"/>
                <w:lang w:eastAsia="zh-CN"/>
              </w:rPr>
            </w:pPr>
            <w:r>
              <w:rPr>
                <w:rStyle w:val="11"/>
                <w:rFonts w:hint="eastAsia" w:ascii="Segoe UI" w:hAnsi="Segoe UI" w:eastAsia="宋体" w:cs="Segoe UI"/>
                <w:b/>
                <w:bCs/>
                <w:i w:val="0"/>
                <w:iCs w:val="0"/>
                <w:caps w:val="0"/>
                <w:color w:val="404040"/>
                <w:spacing w:val="0"/>
                <w:sz w:val="24"/>
                <w:szCs w:val="24"/>
                <w:shd w:val="clear" w:fill="FFFFFF"/>
                <w:lang w:eastAsia="zh-CN"/>
              </w:rPr>
              <w:t>无</w:t>
            </w:r>
          </w:p>
          <w:p w14:paraId="49465040">
            <w:pPr>
              <w:pStyle w:val="13"/>
              <w:spacing w:before="116" w:beforeLines="0" w:afterLines="0" w:line="306" w:lineRule="auto"/>
              <w:ind w:right="28"/>
              <w:jc w:val="both"/>
              <w:rPr>
                <w:rFonts w:hint="eastAsia" w:asciiTheme="minorEastAsia" w:hAnsiTheme="minorEastAsia" w:eastAsiaTheme="minorEastAsia" w:cstheme="minorEastAsia"/>
                <w:spacing w:val="0"/>
                <w:sz w:val="24"/>
                <w:szCs w:val="24"/>
              </w:rPr>
            </w:pP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4"/>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76989"/>
    <w:multiLevelType w:val="singleLevel"/>
    <w:tmpl w:val="4D27698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2E1776D"/>
    <w:rsid w:val="049C7DEF"/>
    <w:rsid w:val="058663AA"/>
    <w:rsid w:val="067E2E92"/>
    <w:rsid w:val="067E3AD6"/>
    <w:rsid w:val="07A86AAB"/>
    <w:rsid w:val="07BC4304"/>
    <w:rsid w:val="09B554AF"/>
    <w:rsid w:val="09DF7BEC"/>
    <w:rsid w:val="0BB9272A"/>
    <w:rsid w:val="0BBB31F5"/>
    <w:rsid w:val="0C8F3D96"/>
    <w:rsid w:val="11A57E6D"/>
    <w:rsid w:val="12C329EB"/>
    <w:rsid w:val="16A06327"/>
    <w:rsid w:val="19AC41D9"/>
    <w:rsid w:val="1D5242DB"/>
    <w:rsid w:val="20FA3A7C"/>
    <w:rsid w:val="226B2757"/>
    <w:rsid w:val="23264FFC"/>
    <w:rsid w:val="236D2C2B"/>
    <w:rsid w:val="248A3369"/>
    <w:rsid w:val="28E7579C"/>
    <w:rsid w:val="2E206AEC"/>
    <w:rsid w:val="300E12C4"/>
    <w:rsid w:val="30640F12"/>
    <w:rsid w:val="33707BCD"/>
    <w:rsid w:val="33723946"/>
    <w:rsid w:val="337B2999"/>
    <w:rsid w:val="35E82F17"/>
    <w:rsid w:val="3B6E70E8"/>
    <w:rsid w:val="3BE253E0"/>
    <w:rsid w:val="3C28373B"/>
    <w:rsid w:val="3C5F1085"/>
    <w:rsid w:val="43EE7018"/>
    <w:rsid w:val="455F19D3"/>
    <w:rsid w:val="46596265"/>
    <w:rsid w:val="4703102D"/>
    <w:rsid w:val="47422245"/>
    <w:rsid w:val="48904B42"/>
    <w:rsid w:val="530F0D59"/>
    <w:rsid w:val="5A2E5F69"/>
    <w:rsid w:val="5BE30FD5"/>
    <w:rsid w:val="5CB62246"/>
    <w:rsid w:val="5E1436C8"/>
    <w:rsid w:val="5E8124E4"/>
    <w:rsid w:val="5F3C1128"/>
    <w:rsid w:val="6913481E"/>
    <w:rsid w:val="6DA700B4"/>
    <w:rsid w:val="706E686D"/>
    <w:rsid w:val="74D86DA5"/>
    <w:rsid w:val="77584B43"/>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spacing w:line="0" w:lineRule="atLeast"/>
      <w:jc w:val="center"/>
      <w:outlineLvl w:val="1"/>
    </w:pPr>
    <w:rPr>
      <w:rFonts w:ascii="Times New Roman" w:hAnsi="Times New Roman"/>
      <w:sz w:val="28"/>
    </w:rPr>
  </w:style>
  <w:style w:type="paragraph" w:styleId="3">
    <w:name w:val="heading 3"/>
    <w:basedOn w:val="1"/>
    <w:next w:val="1"/>
    <w:qFormat/>
    <w:uiPriority w:val="0"/>
    <w:pPr>
      <w:outlineLvl w:val="2"/>
    </w:pPr>
    <w:rPr>
      <w:rFonts w:eastAsia="黑体"/>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19"/>
      <w:szCs w:val="19"/>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ind w:left="420" w:leftChars="200"/>
    </w:pPr>
  </w:style>
  <w:style w:type="paragraph" w:styleId="8">
    <w:name w:val="Normal (Web)"/>
    <w:basedOn w:val="1"/>
    <w:qFormat/>
    <w:uiPriority w:val="0"/>
    <w:rPr>
      <w:sz w:val="24"/>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307</Words>
  <Characters>316</Characters>
  <TotalTime>2</TotalTime>
  <ScaleCrop>false</ScaleCrop>
  <LinksUpToDate>false</LinksUpToDate>
  <CharactersWithSpaces>326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春末夏未至</cp:lastModifiedBy>
  <dcterms:modified xsi:type="dcterms:W3CDTF">2025-09-22T03:55:53Z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2052-12.1.0.21915</vt:lpwstr>
  </property>
  <property fmtid="{D5CDD505-2E9C-101B-9397-08002B2CF9AE}" pid="5" name="ICV">
    <vt:lpwstr>D78AA162E5B7448CAE27A8F9B2A73736_13</vt:lpwstr>
  </property>
  <property fmtid="{D5CDD505-2E9C-101B-9397-08002B2CF9AE}" pid="6" name="KSOTemplateDocerSaveRecord">
    <vt:lpwstr>eyJoZGlkIjoiYzFkNjY4ZTJkMzY4N2Q1NDE4NDI5YWFhYTE4Y2JlM2MiLCJ1c2VySWQiOiI2NDA5MzI1ODQifQ==</vt:lpwstr>
  </property>
</Properties>
</file>