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520D">
      <w:pPr>
        <w:spacing w:before="85" w:line="492" w:lineRule="exact"/>
        <w:jc w:val="center"/>
        <w:outlineLvl w:val="0"/>
        <w:rPr>
          <w:rFonts w:hint="eastAsia" w:asciiTheme="minorEastAsia" w:hAnsiTheme="minorEastAsia" w:eastAsiaTheme="minorEastAsia" w:cstheme="minorEastAsia"/>
          <w:b/>
          <w:bCs/>
          <w:spacing w:val="0"/>
          <w:position w:val="2"/>
          <w:sz w:val="36"/>
          <w:szCs w:val="36"/>
        </w:rPr>
      </w:pPr>
      <w:r>
        <w:rPr>
          <w:rFonts w:hint="eastAsia" w:asciiTheme="minorEastAsia" w:hAnsiTheme="minorEastAsia" w:eastAsiaTheme="minorEastAsia" w:cstheme="minorEastAsia"/>
          <w:b/>
          <w:bCs/>
          <w:spacing w:val="0"/>
          <w:position w:val="2"/>
          <w:sz w:val="36"/>
          <w:szCs w:val="36"/>
          <w:lang w:eastAsia="zh-CN"/>
        </w:rPr>
        <w:t>中国共产主义青年团合水县委员会</w:t>
      </w:r>
      <w:r>
        <w:rPr>
          <w:rFonts w:hint="eastAsia" w:asciiTheme="minorEastAsia" w:hAnsiTheme="minorEastAsia" w:eastAsiaTheme="minorEastAsia" w:cstheme="minorEastAsia"/>
          <w:b/>
          <w:bCs/>
          <w:spacing w:val="0"/>
          <w:position w:val="2"/>
          <w:sz w:val="36"/>
          <w:szCs w:val="36"/>
        </w:rPr>
        <w:t>部门整体支出</w:t>
      </w:r>
    </w:p>
    <w:p w14:paraId="688B9A51">
      <w:pPr>
        <w:spacing w:before="85" w:line="492" w:lineRule="exact"/>
        <w:jc w:val="center"/>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rPr>
        <w:t>绩效评价报告</w:t>
      </w:r>
    </w:p>
    <w:p w14:paraId="2877EE77">
      <w:pPr>
        <w:spacing w:line="55"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551"/>
        <w:gridCol w:w="1848"/>
        <w:gridCol w:w="484"/>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529" w:type="dxa"/>
            <w:gridSpan w:val="6"/>
            <w:tcBorders>
              <w:left w:val="nil"/>
              <w:bottom w:val="nil"/>
              <w:right w:val="nil"/>
            </w:tcBorders>
            <w:vAlign w:val="center"/>
          </w:tcPr>
          <w:p w14:paraId="6E4CB95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02" w:type="dxa"/>
            <w:vMerge w:val="restart"/>
            <w:tcBorders>
              <w:left w:val="nil"/>
              <w:bottom w:val="nil"/>
            </w:tcBorders>
            <w:textDirection w:val="tbRlV"/>
            <w:vAlign w:val="top"/>
          </w:tcPr>
          <w:p w14:paraId="75D206E8">
            <w:pPr>
              <w:pStyle w:val="10"/>
              <w:spacing w:before="229" w:line="209" w:lineRule="auto"/>
              <w:ind w:left="552"/>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基</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本</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情</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况</w:t>
            </w:r>
          </w:p>
        </w:tc>
        <w:tc>
          <w:tcPr>
            <w:tcW w:w="1807" w:type="dxa"/>
            <w:vAlign w:val="center"/>
          </w:tcPr>
          <w:p w14:paraId="72555EE4">
            <w:pPr>
              <w:pStyle w:val="10"/>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center"/>
          </w:tcPr>
          <w:p w14:paraId="74F7AC73">
            <w:pPr>
              <w:pStyle w:val="10"/>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pacing w:val="0"/>
                <w:szCs w:val="24"/>
              </w:rPr>
            </w:pPr>
            <w:r>
              <w:rPr>
                <w:rFonts w:hint="eastAsia"/>
                <w:lang w:eastAsia="zh-CN"/>
              </w:rPr>
              <w:t>中国共产主义青年团合水县委员会</w:t>
            </w:r>
            <w:r>
              <w:rPr>
                <w:rFonts w:hint="eastAsia"/>
              </w:rPr>
              <w:t>部门整体支出绩效评价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02" w:type="dxa"/>
            <w:vMerge w:val="continue"/>
            <w:tcBorders>
              <w:top w:val="nil"/>
              <w:left w:val="nil"/>
              <w:bottom w:val="nil"/>
            </w:tcBorders>
            <w:textDirection w:val="tbRlV"/>
            <w:vAlign w:val="top"/>
          </w:tcPr>
          <w:p w14:paraId="6F7B67CA">
            <w:pPr>
              <w:rPr>
                <w:rFonts w:hint="eastAsia" w:asciiTheme="minorEastAsia" w:hAnsiTheme="minorEastAsia" w:eastAsiaTheme="minorEastAsia" w:cstheme="minorEastAsia"/>
                <w:spacing w:val="0"/>
                <w:sz w:val="24"/>
                <w:szCs w:val="24"/>
              </w:rPr>
            </w:pPr>
          </w:p>
        </w:tc>
        <w:tc>
          <w:tcPr>
            <w:tcW w:w="1807" w:type="dxa"/>
            <w:vAlign w:val="center"/>
          </w:tcPr>
          <w:p w14:paraId="2EA19E04">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551" w:type="dxa"/>
            <w:vAlign w:val="center"/>
          </w:tcPr>
          <w:p w14:paraId="0329762F">
            <w:pPr>
              <w:pStyle w:val="10"/>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848" w:type="dxa"/>
            <w:vAlign w:val="center"/>
          </w:tcPr>
          <w:p w14:paraId="4C578508">
            <w:pPr>
              <w:pStyle w:val="10"/>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621" w:type="dxa"/>
            <w:gridSpan w:val="2"/>
            <w:tcBorders>
              <w:right w:val="nil"/>
            </w:tcBorders>
            <w:vAlign w:val="center"/>
          </w:tcPr>
          <w:p w14:paraId="224F3882">
            <w:pPr>
              <w:pStyle w:val="10"/>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财政</w:t>
            </w:r>
            <w:r>
              <w:rPr>
                <w:rFonts w:hint="eastAsia" w:asciiTheme="minorEastAsia" w:hAnsiTheme="minorEastAsia" w:eastAsiaTheme="minorEastAsia" w:cstheme="minorEastAsia"/>
                <w:spacing w:val="0"/>
                <w:sz w:val="24"/>
                <w:szCs w:val="24"/>
              </w:rPr>
              <w:t>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02" w:type="dxa"/>
            <w:vMerge w:val="continue"/>
            <w:tcBorders>
              <w:top w:val="nil"/>
              <w:left w:val="nil"/>
              <w:bottom w:val="nil"/>
            </w:tcBorders>
            <w:textDirection w:val="tbRlV"/>
            <w:vAlign w:val="top"/>
          </w:tcPr>
          <w:p w14:paraId="39E1F17B">
            <w:pPr>
              <w:rPr>
                <w:rFonts w:hint="eastAsia" w:asciiTheme="minorEastAsia" w:hAnsiTheme="minorEastAsia" w:eastAsiaTheme="minorEastAsia" w:cstheme="minorEastAsia"/>
                <w:spacing w:val="0"/>
                <w:sz w:val="24"/>
                <w:szCs w:val="24"/>
              </w:rPr>
            </w:pPr>
          </w:p>
        </w:tc>
        <w:tc>
          <w:tcPr>
            <w:tcW w:w="1807" w:type="dxa"/>
            <w:vAlign w:val="center"/>
          </w:tcPr>
          <w:p w14:paraId="64C60D4E">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委托评价单位</w:t>
            </w:r>
          </w:p>
        </w:tc>
        <w:tc>
          <w:tcPr>
            <w:tcW w:w="1551" w:type="dxa"/>
            <w:vAlign w:val="center"/>
          </w:tcPr>
          <w:p w14:paraId="5290E408">
            <w:pPr>
              <w:pStyle w:val="10"/>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县财政局</w:t>
            </w:r>
          </w:p>
        </w:tc>
        <w:tc>
          <w:tcPr>
            <w:tcW w:w="1848" w:type="dxa"/>
            <w:vAlign w:val="center"/>
          </w:tcPr>
          <w:p w14:paraId="6F2F0719">
            <w:pPr>
              <w:pStyle w:val="10"/>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评价机构名称</w:t>
            </w:r>
          </w:p>
        </w:tc>
        <w:tc>
          <w:tcPr>
            <w:tcW w:w="2621" w:type="dxa"/>
            <w:gridSpan w:val="2"/>
            <w:tcBorders>
              <w:right w:val="nil"/>
            </w:tcBorders>
            <w:vAlign w:val="center"/>
          </w:tcPr>
          <w:p w14:paraId="54B12D4B">
            <w:pPr>
              <w:pStyle w:val="10"/>
              <w:keepNext w:val="0"/>
              <w:keepLines w:val="0"/>
              <w:pageBreakBefore w:val="0"/>
              <w:widowControl/>
              <w:kinsoku w:val="0"/>
              <w:wordWrap/>
              <w:overflowPunct/>
              <w:topLinePunct w:val="0"/>
              <w:autoSpaceDE w:val="0"/>
              <w:autoSpaceDN w:val="0"/>
              <w:bidi w:val="0"/>
              <w:adjustRightInd w:val="0"/>
              <w:snapToGrid w:val="0"/>
              <w:spacing w:line="228" w:lineRule="auto"/>
              <w:ind w:righ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甘肃正成鸿诺会计师</w:t>
            </w:r>
          </w:p>
          <w:p w14:paraId="12367D41">
            <w:pPr>
              <w:pStyle w:val="10"/>
              <w:keepNext w:val="0"/>
              <w:keepLines w:val="0"/>
              <w:pageBreakBefore w:val="0"/>
              <w:widowControl/>
              <w:kinsoku w:val="0"/>
              <w:wordWrap/>
              <w:overflowPunct/>
              <w:topLinePunct w:val="0"/>
              <w:autoSpaceDE w:val="0"/>
              <w:autoSpaceDN w:val="0"/>
              <w:bidi w:val="0"/>
              <w:adjustRightInd w:val="0"/>
              <w:snapToGrid w:val="0"/>
              <w:spacing w:line="228" w:lineRule="auto"/>
              <w:ind w:righ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事务所（普通合伙）</w:t>
            </w: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02" w:type="dxa"/>
            <w:vMerge w:val="continue"/>
            <w:tcBorders>
              <w:top w:val="nil"/>
              <w:left w:val="nil"/>
            </w:tcBorders>
            <w:textDirection w:val="tbRlV"/>
            <w:vAlign w:val="top"/>
          </w:tcPr>
          <w:p w14:paraId="287D7E1E">
            <w:pPr>
              <w:rPr>
                <w:rFonts w:hint="eastAsia" w:asciiTheme="minorEastAsia" w:hAnsiTheme="minorEastAsia" w:eastAsiaTheme="minorEastAsia" w:cstheme="minorEastAsia"/>
                <w:spacing w:val="0"/>
                <w:sz w:val="24"/>
                <w:szCs w:val="24"/>
              </w:rPr>
            </w:pPr>
          </w:p>
        </w:tc>
        <w:tc>
          <w:tcPr>
            <w:tcW w:w="1807" w:type="dxa"/>
            <w:vAlign w:val="center"/>
          </w:tcPr>
          <w:p w14:paraId="12295708">
            <w:pPr>
              <w:pStyle w:val="10"/>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center"/>
          </w:tcPr>
          <w:p w14:paraId="01CA1CD3">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中国共产主义青年团合水县委员会</w:t>
            </w:r>
          </w:p>
        </w:tc>
      </w:tr>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702" w:type="dxa"/>
            <w:tcBorders>
              <w:left w:val="nil"/>
            </w:tcBorders>
            <w:textDirection w:val="tbRlV"/>
            <w:vAlign w:val="top"/>
          </w:tcPr>
          <w:p w14:paraId="3218D0BA">
            <w:pPr>
              <w:pStyle w:val="10"/>
              <w:spacing w:before="229" w:line="202" w:lineRule="auto"/>
              <w:ind w:left="20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实</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施</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position w:val="1"/>
                <w:sz w:val="24"/>
                <w:szCs w:val="24"/>
              </w:rPr>
              <w:t>目</w:t>
            </w:r>
            <w:r>
              <w:rPr>
                <w:rFonts w:hint="eastAsia" w:asciiTheme="minorEastAsia" w:hAnsiTheme="minorEastAsia" w:eastAsiaTheme="minorEastAsia" w:cstheme="minorEastAsia"/>
                <w:spacing w:val="0"/>
                <w:position w:val="1"/>
                <w:sz w:val="24"/>
                <w:szCs w:val="24"/>
              </w:rPr>
              <w:t xml:space="preserve"> </w:t>
            </w:r>
            <w:r>
              <w:rPr>
                <w:rFonts w:hint="eastAsia" w:asciiTheme="minorEastAsia" w:hAnsiTheme="minorEastAsia" w:eastAsiaTheme="minorEastAsia" w:cstheme="minorEastAsia"/>
                <w:b/>
                <w:bCs/>
                <w:spacing w:val="0"/>
                <w:sz w:val="24"/>
                <w:szCs w:val="24"/>
              </w:rPr>
              <w:t>的</w:t>
            </w:r>
          </w:p>
        </w:tc>
        <w:tc>
          <w:tcPr>
            <w:tcW w:w="7827" w:type="dxa"/>
            <w:gridSpan w:val="5"/>
            <w:tcBorders>
              <w:right w:val="nil"/>
            </w:tcBorders>
            <w:vAlign w:val="top"/>
          </w:tcPr>
          <w:p w14:paraId="44CDA8F0">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rPr>
            </w:pPr>
            <w:r>
              <w:rPr>
                <w:rFonts w:hint="eastAsia"/>
              </w:rPr>
              <w:t>为强化部门支出责任，提升部门履职成效，提高财政资金使用效益，对</w:t>
            </w:r>
            <w:r>
              <w:rPr>
                <w:rFonts w:hint="eastAsia"/>
                <w:lang w:eastAsia="zh-CN"/>
              </w:rPr>
              <w:t>中国共产主义青年团合水县委员会</w:t>
            </w:r>
            <w:r>
              <w:rPr>
                <w:rFonts w:hint="eastAsia"/>
                <w:lang w:val="en-US" w:eastAsia="zh-CN"/>
              </w:rPr>
              <w:t>2024</w:t>
            </w:r>
            <w:r>
              <w:rPr>
                <w:rFonts w:hint="eastAsia"/>
              </w:rPr>
              <w:t>年度部门整体支出开展绩效评价，评价工作以预算资金管理为主线，从部门规划、运行成本、管理效率、履职效能、社会效应、可持续发展能力和服务对象满意度等方面</w:t>
            </w:r>
            <w:r>
              <w:rPr>
                <w:rFonts w:hint="eastAsia"/>
                <w:lang w:eastAsia="zh-CN"/>
              </w:rPr>
              <w:t>，</w:t>
            </w:r>
            <w:r>
              <w:rPr>
                <w:rFonts w:hint="eastAsia"/>
              </w:rPr>
              <w:t>衡量部门整体及核心业务实施效果</w:t>
            </w:r>
            <w:r>
              <w:rPr>
                <w:rFonts w:hint="eastAsia"/>
                <w:lang w:eastAsia="zh-CN"/>
              </w:rPr>
              <w:t>，</w:t>
            </w:r>
            <w:r>
              <w:rPr>
                <w:rFonts w:hint="eastAsia"/>
              </w:rPr>
              <w:t>推动部门提高整体绩效水平。</w:t>
            </w:r>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02" w:type="dxa"/>
            <w:vMerge w:val="restart"/>
            <w:tcBorders>
              <w:left w:val="nil"/>
              <w:bottom w:val="nil"/>
            </w:tcBorders>
            <w:textDirection w:val="tbLrV"/>
            <w:vAlign w:val="top"/>
          </w:tcPr>
          <w:p w14:paraId="1ABA98AF">
            <w:pPr>
              <w:pStyle w:val="10"/>
              <w:spacing w:before="229" w:line="202" w:lineRule="auto"/>
              <w:ind w:right="113"/>
              <w:jc w:val="center"/>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top"/>
          </w:tcPr>
          <w:p w14:paraId="41F20640">
            <w:pPr>
              <w:pStyle w:val="10"/>
              <w:spacing w:before="200" w:line="220" w:lineRule="auto"/>
              <w:ind w:left="18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551" w:type="dxa"/>
            <w:vAlign w:val="top"/>
          </w:tcPr>
          <w:p w14:paraId="2EE08C3F">
            <w:pPr>
              <w:pStyle w:val="10"/>
              <w:spacing w:before="238"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106.07</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41C16993">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top"/>
          </w:tcPr>
          <w:p w14:paraId="05DBC0B0">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168.30</w:t>
            </w:r>
            <w:r>
              <w:rPr>
                <w:rFonts w:hint="eastAsia" w:asciiTheme="minorEastAsia" w:hAnsiTheme="minorEastAsia" w:eastAsiaTheme="minorEastAsia" w:cstheme="minorEastAsia"/>
                <w:spacing w:val="0"/>
                <w:sz w:val="24"/>
                <w:szCs w:val="24"/>
                <w:lang w:val="en-US" w:eastAsia="zh-CN"/>
              </w:rPr>
              <w:t>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02" w:type="dxa"/>
            <w:vMerge w:val="continue"/>
            <w:tcBorders>
              <w:top w:val="nil"/>
              <w:left w:val="nil"/>
              <w:bottom w:val="nil"/>
            </w:tcBorders>
            <w:vAlign w:val="top"/>
          </w:tcPr>
          <w:p w14:paraId="5E280996">
            <w:pPr>
              <w:rPr>
                <w:rFonts w:hint="eastAsia" w:asciiTheme="minorEastAsia" w:hAnsiTheme="minorEastAsia" w:eastAsiaTheme="minorEastAsia" w:cstheme="minorEastAsia"/>
                <w:spacing w:val="0"/>
                <w:sz w:val="24"/>
                <w:szCs w:val="24"/>
                <w:highlight w:val="none"/>
              </w:rPr>
            </w:pPr>
          </w:p>
        </w:tc>
        <w:tc>
          <w:tcPr>
            <w:tcW w:w="1807" w:type="dxa"/>
            <w:vAlign w:val="top"/>
          </w:tcPr>
          <w:p w14:paraId="4D05CF04">
            <w:pPr>
              <w:pStyle w:val="10"/>
              <w:spacing w:before="200" w:line="221" w:lineRule="auto"/>
              <w:ind w:left="116"/>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1551" w:type="dxa"/>
            <w:vAlign w:val="top"/>
          </w:tcPr>
          <w:p w14:paraId="290B9AA6">
            <w:pPr>
              <w:pStyle w:val="10"/>
              <w:spacing w:before="240" w:line="183" w:lineRule="auto"/>
              <w:jc w:val="center"/>
              <w:rPr>
                <w:rFonts w:hint="eastAsia" w:asciiTheme="minorEastAsia" w:hAnsiTheme="minorEastAsia" w:eastAsiaTheme="minorEastAsia" w:cstheme="minorEastAsia"/>
                <w:spacing w:val="0"/>
                <w:sz w:val="24"/>
                <w:szCs w:val="24"/>
                <w:highlight w:val="none"/>
              </w:rPr>
            </w:pPr>
          </w:p>
        </w:tc>
        <w:tc>
          <w:tcPr>
            <w:tcW w:w="2332" w:type="dxa"/>
            <w:gridSpan w:val="2"/>
            <w:vAlign w:val="top"/>
          </w:tcPr>
          <w:p w14:paraId="66105287">
            <w:pPr>
              <w:pStyle w:val="10"/>
              <w:spacing w:before="200" w:line="221" w:lineRule="auto"/>
              <w:ind w:left="127"/>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top"/>
          </w:tcPr>
          <w:p w14:paraId="1C1E23BB">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02" w:type="dxa"/>
            <w:vMerge w:val="continue"/>
            <w:tcBorders>
              <w:top w:val="nil"/>
              <w:left w:val="nil"/>
              <w:bottom w:val="nil"/>
            </w:tcBorders>
            <w:vAlign w:val="top"/>
          </w:tcPr>
          <w:p w14:paraId="486ED73E">
            <w:pPr>
              <w:rPr>
                <w:rFonts w:hint="eastAsia" w:asciiTheme="minorEastAsia" w:hAnsiTheme="minorEastAsia" w:eastAsiaTheme="minorEastAsia" w:cstheme="minorEastAsia"/>
                <w:spacing w:val="0"/>
                <w:sz w:val="24"/>
                <w:szCs w:val="24"/>
                <w:highlight w:val="none"/>
              </w:rPr>
            </w:pPr>
          </w:p>
        </w:tc>
        <w:tc>
          <w:tcPr>
            <w:tcW w:w="1807" w:type="dxa"/>
            <w:vAlign w:val="top"/>
          </w:tcPr>
          <w:p w14:paraId="3B7E900E">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551" w:type="dxa"/>
            <w:vAlign w:val="top"/>
          </w:tcPr>
          <w:p w14:paraId="190C312A">
            <w:pPr>
              <w:pStyle w:val="10"/>
              <w:spacing w:before="240"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106.07</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2DF377AF">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top"/>
          </w:tcPr>
          <w:p w14:paraId="3710645A">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168.30</w:t>
            </w:r>
            <w:r>
              <w:rPr>
                <w:rFonts w:hint="eastAsia" w:asciiTheme="minorEastAsia" w:hAnsiTheme="minorEastAsia" w:eastAsiaTheme="minorEastAsia" w:cstheme="minorEastAsia"/>
                <w:spacing w:val="0"/>
                <w:sz w:val="24"/>
                <w:szCs w:val="24"/>
                <w:lang w:val="en-US" w:eastAsia="zh-CN"/>
              </w:rPr>
              <w:t>万元</w:t>
            </w: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02" w:type="dxa"/>
            <w:vMerge w:val="continue"/>
            <w:tcBorders>
              <w:top w:val="nil"/>
              <w:left w:val="nil"/>
              <w:bottom w:val="nil"/>
            </w:tcBorders>
            <w:vAlign w:val="top"/>
          </w:tcPr>
          <w:p w14:paraId="5239453F">
            <w:pPr>
              <w:rPr>
                <w:rFonts w:hint="eastAsia" w:asciiTheme="minorEastAsia" w:hAnsiTheme="minorEastAsia" w:eastAsiaTheme="minorEastAsia" w:cstheme="minorEastAsia"/>
                <w:spacing w:val="0"/>
                <w:sz w:val="24"/>
                <w:szCs w:val="24"/>
                <w:highlight w:val="none"/>
              </w:rPr>
            </w:pPr>
          </w:p>
        </w:tc>
        <w:tc>
          <w:tcPr>
            <w:tcW w:w="1807" w:type="dxa"/>
            <w:vAlign w:val="center"/>
          </w:tcPr>
          <w:p w14:paraId="6A7167D4">
            <w:pPr>
              <w:pStyle w:val="10"/>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551" w:type="dxa"/>
            <w:vAlign w:val="center"/>
          </w:tcPr>
          <w:p w14:paraId="64F54DE7">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168.30</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center"/>
          </w:tcPr>
          <w:p w14:paraId="5F8D6931">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center"/>
          </w:tcPr>
          <w:p w14:paraId="5D763974">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0</w:t>
            </w:r>
            <w:r>
              <w:rPr>
                <w:rFonts w:hint="eastAsia" w:asciiTheme="minorEastAsia" w:hAnsiTheme="minorEastAsia" w:eastAsiaTheme="minorEastAsia" w:cstheme="minorEastAsia"/>
                <w:spacing w:val="0"/>
                <w:sz w:val="24"/>
                <w:szCs w:val="24"/>
                <w:lang w:val="en-US" w:eastAsia="zh-CN"/>
              </w:rPr>
              <w:t>万元</w:t>
            </w:r>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02" w:type="dxa"/>
            <w:vMerge w:val="continue"/>
            <w:tcBorders>
              <w:top w:val="nil"/>
              <w:left w:val="nil"/>
            </w:tcBorders>
            <w:vAlign w:val="top"/>
          </w:tcPr>
          <w:p w14:paraId="3AEA6B58">
            <w:pPr>
              <w:rPr>
                <w:rFonts w:hint="eastAsia" w:asciiTheme="minorEastAsia" w:hAnsiTheme="minorEastAsia" w:eastAsiaTheme="minorEastAsia" w:cstheme="minorEastAsia"/>
                <w:spacing w:val="0"/>
                <w:sz w:val="24"/>
                <w:szCs w:val="24"/>
                <w:highlight w:val="none"/>
              </w:rPr>
            </w:pPr>
          </w:p>
        </w:tc>
        <w:tc>
          <w:tcPr>
            <w:tcW w:w="1807" w:type="dxa"/>
            <w:vAlign w:val="center"/>
          </w:tcPr>
          <w:p w14:paraId="0818A1CE">
            <w:pPr>
              <w:pStyle w:val="10"/>
              <w:spacing w:before="202" w:line="220" w:lineRule="auto"/>
              <w:ind w:left="309"/>
              <w:jc w:val="both"/>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100%</w:t>
            </w:r>
          </w:p>
        </w:tc>
      </w:tr>
    </w:tbl>
    <w:p w14:paraId="3298B6A8">
      <w:pPr>
        <w:spacing w:before="197" w:line="220" w:lineRule="auto"/>
        <w:ind w:left="331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p w14:paraId="3728A160">
      <w:pPr>
        <w:spacing w:line="83"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1" w:hRule="atLeast"/>
        </w:trPr>
        <w:tc>
          <w:tcPr>
            <w:tcW w:w="1393" w:type="dxa"/>
            <w:tcBorders>
              <w:left w:val="nil"/>
            </w:tcBorders>
            <w:vAlign w:val="center"/>
          </w:tcPr>
          <w:p w14:paraId="325593E1">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年度绩效</w:t>
            </w:r>
          </w:p>
          <w:p w14:paraId="6261B586">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目标</w:t>
            </w:r>
          </w:p>
        </w:tc>
        <w:tc>
          <w:tcPr>
            <w:tcW w:w="7136" w:type="dxa"/>
            <w:tcBorders>
              <w:right w:val="nil"/>
            </w:tcBorders>
            <w:vAlign w:val="top"/>
          </w:tcPr>
          <w:p w14:paraId="29431EB0">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lang w:eastAsia="zh-CN"/>
              </w:rPr>
            </w:pPr>
            <w:r>
              <w:rPr>
                <w:rFonts w:hint="eastAsia" w:asciiTheme="minorEastAsia" w:hAnsiTheme="minorEastAsia" w:eastAsiaTheme="minorEastAsia" w:cstheme="minorEastAsia"/>
                <w:lang w:eastAsia="zh-CN"/>
              </w:rPr>
              <w:t>保障单位全年工资福利、个人对家庭补助、公用经费、工会经费、目标考核奖、专项经费、“三公”会议费、培训费、各类社会保险以及政府采购预算等；组织召开团的各类会议，加强党组织队伍的建设，引领青年学习，支持青年创业，推进乡村经济振兴。</w:t>
            </w: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529" w:type="dxa"/>
            <w:gridSpan w:val="2"/>
            <w:tcBorders>
              <w:left w:val="nil"/>
              <w:right w:val="nil"/>
            </w:tcBorders>
            <w:vAlign w:val="top"/>
          </w:tcPr>
          <w:p w14:paraId="54E43F7D">
            <w:pPr>
              <w:pStyle w:val="10"/>
              <w:keepNext w:val="0"/>
              <w:keepLines/>
              <w:pageBreakBefore w:val="0"/>
              <w:widowControl w:val="0"/>
              <w:kinsoku/>
              <w:wordWrap/>
              <w:overflowPunct w:val="0"/>
              <w:topLinePunct/>
              <w:autoSpaceDE/>
              <w:autoSpaceDN/>
              <w:bidi w:val="0"/>
              <w:adjustRightInd w:val="0"/>
              <w:snapToGrid w:val="0"/>
              <w:spacing w:before="222" w:line="219" w:lineRule="auto"/>
              <w:ind w:left="331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exact"/>
        </w:trPr>
        <w:tc>
          <w:tcPr>
            <w:tcW w:w="1393" w:type="dxa"/>
            <w:tcBorders>
              <w:left w:val="nil"/>
            </w:tcBorders>
            <w:vAlign w:val="center"/>
          </w:tcPr>
          <w:p w14:paraId="4635A4B6">
            <w:pPr>
              <w:pStyle w:val="10"/>
              <w:keepNext w:val="0"/>
              <w:keepLines/>
              <w:pageBreakBefore w:val="0"/>
              <w:widowControl w:val="0"/>
              <w:kinsoku/>
              <w:wordWrap/>
              <w:overflowPunct w:val="0"/>
              <w:topLinePunct/>
              <w:autoSpaceDE/>
              <w:autoSpaceDN/>
              <w:bidi w:val="0"/>
              <w:adjustRightInd w:val="0"/>
              <w:snapToGrid w:val="0"/>
              <w:spacing w:before="78" w:line="219" w:lineRule="auto"/>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textAlignment w:val="auto"/>
              <w:rPr>
                <w:rFonts w:hint="eastAsia" w:asciiTheme="minorEastAsia" w:hAnsiTheme="minorEastAsia" w:eastAsiaTheme="minorEastAsia" w:cstheme="minorEastAsia"/>
                <w:spacing w:val="0"/>
                <w:szCs w:val="24"/>
              </w:rPr>
            </w:pPr>
            <w:r>
              <w:rPr>
                <w:rFonts w:hint="eastAsia" w:asciiTheme="minorEastAsia" w:hAnsiTheme="minorEastAsia" w:eastAsiaTheme="minorEastAsia" w:cstheme="minorEastAsia"/>
                <w:lang w:val="en-US" w:eastAsia="zh-CN"/>
              </w:rPr>
              <w:t>2024年度</w:t>
            </w:r>
            <w:r>
              <w:rPr>
                <w:rFonts w:hint="eastAsia" w:asciiTheme="minorEastAsia" w:hAnsiTheme="minorEastAsia" w:eastAsiaTheme="minorEastAsia" w:cstheme="minorEastAsia"/>
                <w:lang w:eastAsia="zh-CN"/>
              </w:rPr>
              <w:t>中国共产主义青年团合水县委员会</w:t>
            </w:r>
            <w:r>
              <w:rPr>
                <w:rFonts w:hint="eastAsia" w:asciiTheme="minorEastAsia" w:hAnsiTheme="minorEastAsia" w:eastAsiaTheme="minorEastAsia" w:cstheme="minorEastAsia"/>
              </w:rPr>
              <w:t>部门整体支出绩效评价</w:t>
            </w:r>
          </w:p>
        </w:tc>
      </w:tr>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3" w:type="dxa"/>
            <w:tcBorders>
              <w:left w:val="nil"/>
            </w:tcBorders>
            <w:vAlign w:val="center"/>
          </w:tcPr>
          <w:p w14:paraId="6A1272BF">
            <w:pPr>
              <w:pStyle w:val="10"/>
              <w:keepNext w:val="0"/>
              <w:keepLines/>
              <w:pageBreakBefore w:val="0"/>
              <w:widowControl w:val="0"/>
              <w:kinsoku/>
              <w:wordWrap/>
              <w:overflowPunct w:val="0"/>
              <w:topLinePunct/>
              <w:autoSpaceDE/>
              <w:autoSpaceDN/>
              <w:bidi w:val="0"/>
              <w:adjustRightInd w:val="0"/>
              <w:snapToGrid w:val="0"/>
              <w:spacing w:line="219"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36" w:type="dxa"/>
            <w:tcBorders>
              <w:right w:val="nil"/>
            </w:tcBorders>
            <w:vAlign w:val="top"/>
          </w:tcPr>
          <w:p w14:paraId="0A675F1D">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rPr>
            </w:pPr>
            <w:r>
              <w:rPr>
                <w:rFonts w:hint="eastAsia"/>
              </w:rPr>
              <w:t>1.《中华人民共和国预算法》；</w:t>
            </w:r>
          </w:p>
          <w:p w14:paraId="423F2509">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rPr>
            </w:pPr>
            <w:r>
              <w:rPr>
                <w:rFonts w:hint="eastAsia"/>
              </w:rPr>
              <w:t>2.《中共中央国务院关于全面实施预算绩效管理的管理》（中发〔2018〕34号）；</w:t>
            </w:r>
          </w:p>
          <w:p w14:paraId="78ADBC98">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rPr>
            </w:pPr>
            <w:r>
              <w:rPr>
                <w:rFonts w:hint="eastAsia"/>
              </w:rPr>
              <w:t>3.《财政部关于印发〈项目支出绩效评价管理办法〉的通知》（财预〔2020〕10号）；</w:t>
            </w:r>
          </w:p>
          <w:p w14:paraId="4779F297">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rPr>
            </w:pPr>
            <w:r>
              <w:rPr>
                <w:rFonts w:hint="eastAsia"/>
              </w:rPr>
              <w:t>4.《中共中央国务院关于全面实施预算绩效管理的意见》（中发〔2018〕34号）；</w:t>
            </w:r>
          </w:p>
          <w:p w14:paraId="02E8F96B">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rPr>
            </w:pPr>
            <w:r>
              <w:rPr>
                <w:rFonts w:hint="eastAsia"/>
              </w:rPr>
              <w:t>5.中共甘肃省委甘肃省人民政府《关于全面实施预算绩效管理的实施意见》（甘发〔2018〕32号）；</w:t>
            </w:r>
          </w:p>
          <w:p w14:paraId="33D58574">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default"/>
                <w:lang w:val="en-US" w:eastAsia="zh-CN"/>
              </w:rPr>
            </w:pPr>
            <w:r>
              <w:rPr>
                <w:rFonts w:hint="eastAsia"/>
                <w:lang w:val="en-US" w:eastAsia="zh-CN"/>
              </w:rPr>
              <w:t>6.《甘肃省财政厅关于印发预算绩效管理工作成效量化评分标准的通知》（甘财绩〔2025〕3号）</w:t>
            </w:r>
          </w:p>
          <w:p w14:paraId="5D24E64A">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rPr>
            </w:pPr>
            <w:r>
              <w:rPr>
                <w:rFonts w:hint="eastAsia"/>
                <w:lang w:val="en-US" w:eastAsia="zh-CN"/>
              </w:rPr>
              <w:t>7</w:t>
            </w:r>
            <w:r>
              <w:rPr>
                <w:rFonts w:hint="eastAsia"/>
              </w:rPr>
              <w:t>.《中共合水县委合水县人民政府关于进一步加强预算绩效管理工作的实施意见》（合发〔2024〕7号）；</w:t>
            </w:r>
          </w:p>
          <w:p w14:paraId="4CAEC29D">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lang w:eastAsia="zh-CN"/>
              </w:rPr>
            </w:pPr>
            <w:r>
              <w:rPr>
                <w:rFonts w:hint="eastAsia"/>
                <w:lang w:val="en-US" w:eastAsia="zh-CN"/>
              </w:rPr>
              <w:t>8</w:t>
            </w:r>
            <w:r>
              <w:rPr>
                <w:rFonts w:hint="eastAsia"/>
              </w:rPr>
              <w:t>.《关于开展2025年部门和财政重点绩效评价评估工作的通知》（合财发〔2025〕59号）</w:t>
            </w:r>
            <w:r>
              <w:rPr>
                <w:rFonts w:hint="eastAsia"/>
                <w:lang w:eastAsia="zh-CN"/>
              </w:rPr>
              <w:t>。</w:t>
            </w: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1393" w:type="dxa"/>
            <w:tcBorders>
              <w:left w:val="nil"/>
            </w:tcBorders>
            <w:vAlign w:val="center"/>
          </w:tcPr>
          <w:p w14:paraId="1D617D45">
            <w:pPr>
              <w:pStyle w:val="10"/>
              <w:keepNext w:val="0"/>
              <w:keepLines/>
              <w:pageBreakBefore w:val="0"/>
              <w:widowControl w:val="0"/>
              <w:kinsoku/>
              <w:wordWrap/>
              <w:overflowPunct w:val="0"/>
              <w:topLinePunct/>
              <w:autoSpaceDE/>
              <w:autoSpaceDN/>
              <w:bidi w:val="0"/>
              <w:adjustRightInd w:val="0"/>
              <w:snapToGrid w:val="0"/>
              <w:spacing w:line="219" w:lineRule="auto"/>
              <w:ind w:left="0"/>
              <w:jc w:val="center"/>
              <w:textAlignment w:val="auto"/>
              <w:rPr>
                <w:b/>
                <w:bCs/>
                <w:spacing w:val="0"/>
              </w:rPr>
            </w:pPr>
            <w:r>
              <w:rPr>
                <w:b/>
                <w:bCs/>
                <w:spacing w:val="0"/>
              </w:rPr>
              <w:t>绩效评价</w:t>
            </w:r>
          </w:p>
          <w:p w14:paraId="6D0697B8">
            <w:pPr>
              <w:pStyle w:val="10"/>
              <w:keepNext w:val="0"/>
              <w:keepLines/>
              <w:pageBreakBefore w:val="0"/>
              <w:widowControl w:val="0"/>
              <w:kinsoku/>
              <w:wordWrap/>
              <w:overflowPunct w:val="0"/>
              <w:topLinePunct/>
              <w:autoSpaceDE/>
              <w:autoSpaceDN/>
              <w:bidi w:val="0"/>
              <w:adjustRightInd w:val="0"/>
              <w:snapToGrid w:val="0"/>
              <w:spacing w:line="219" w:lineRule="auto"/>
              <w:ind w:left="0"/>
              <w:jc w:val="center"/>
              <w:textAlignment w:val="auto"/>
              <w:rPr>
                <w:rFonts w:hint="eastAsia" w:asciiTheme="minorEastAsia" w:hAnsiTheme="minorEastAsia" w:eastAsiaTheme="minorEastAsia" w:cstheme="minorEastAsia"/>
                <w:b/>
                <w:bCs/>
                <w:spacing w:val="0"/>
                <w:sz w:val="24"/>
                <w:szCs w:val="24"/>
              </w:rPr>
            </w:pPr>
            <w:r>
              <w:rPr>
                <w:b/>
                <w:bCs/>
                <w:spacing w:val="0"/>
              </w:rPr>
              <w:t>指标体系</w:t>
            </w:r>
          </w:p>
        </w:tc>
        <w:tc>
          <w:tcPr>
            <w:tcW w:w="7136" w:type="dxa"/>
            <w:tcBorders>
              <w:right w:val="nil"/>
            </w:tcBorders>
            <w:vAlign w:val="center"/>
          </w:tcPr>
          <w:p w14:paraId="1F1E9C00">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围绕部门规划、运行成本、管理效率、履职效能、社会效应、可持续发展能力、服务对象满意度等七个维度构建绩效评价指标体系，其中</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一级指标7个、二级指标1</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个、三级指标</w:t>
            </w:r>
            <w:r>
              <w:rPr>
                <w:rFonts w:hint="eastAsia" w:asciiTheme="minorEastAsia" w:hAnsiTheme="minorEastAsia" w:eastAsiaTheme="minorEastAsia" w:cstheme="minorEastAsia"/>
                <w:lang w:val="en-US" w:eastAsia="zh-CN"/>
              </w:rPr>
              <w:t>28</w:t>
            </w:r>
            <w:r>
              <w:rPr>
                <w:rFonts w:hint="eastAsia" w:asciiTheme="minorEastAsia" w:hAnsiTheme="minorEastAsia" w:eastAsiaTheme="minorEastAsia" w:cstheme="minorEastAsia"/>
              </w:rPr>
              <w:t>个。部门规划等一级指标占比分别为</w:t>
            </w:r>
            <w:r>
              <w:rPr>
                <w:rFonts w:hint="eastAsia" w:asciiTheme="minorEastAsia" w:hAnsiTheme="minorEastAsia" w:eastAsiaTheme="minorEastAsia" w:cstheme="minorEastAsia"/>
                <w:lang w:val="en-US" w:eastAsia="zh-CN"/>
              </w:rPr>
              <w:t>12</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23</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w:t>
            </w: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393" w:type="dxa"/>
            <w:tcBorders>
              <w:left w:val="nil"/>
            </w:tcBorders>
            <w:vAlign w:val="center"/>
          </w:tcPr>
          <w:p w14:paraId="590B79C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36" w:type="dxa"/>
            <w:tcBorders>
              <w:right w:val="nil"/>
            </w:tcBorders>
            <w:vAlign w:val="center"/>
          </w:tcPr>
          <w:p w14:paraId="532BE00F">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目标管理法、因素分析法、标杆管理法、比较法。</w:t>
            </w: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1393" w:type="dxa"/>
            <w:tcBorders>
              <w:left w:val="nil"/>
            </w:tcBorders>
            <w:vAlign w:val="center"/>
          </w:tcPr>
          <w:p w14:paraId="3C9BAD13">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数据采集</w:t>
            </w:r>
          </w:p>
          <w:p w14:paraId="43DFCB9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及处理办法</w:t>
            </w:r>
          </w:p>
        </w:tc>
        <w:tc>
          <w:tcPr>
            <w:tcW w:w="7136" w:type="dxa"/>
            <w:tcBorders>
              <w:right w:val="nil"/>
            </w:tcBorders>
            <w:vAlign w:val="center"/>
          </w:tcPr>
          <w:p w14:paraId="58423AA5">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信息与数据收集采取抽样调查、现场调研、结构式</w:t>
            </w:r>
            <w:r>
              <w:rPr>
                <w:rFonts w:hint="eastAsia" w:asciiTheme="minorEastAsia" w:hAnsiTheme="minorEastAsia" w:eastAsiaTheme="minorEastAsia" w:cstheme="minorEastAsia"/>
                <w:lang w:eastAsia="zh-CN"/>
              </w:rPr>
              <w:t>访谈</w:t>
            </w:r>
            <w:r>
              <w:rPr>
                <w:rFonts w:hint="eastAsia" w:asciiTheme="minorEastAsia" w:hAnsiTheme="minorEastAsia" w:eastAsiaTheme="minorEastAsia" w:cstheme="minorEastAsia"/>
              </w:rPr>
              <w:t>等方式进行，数据处理采取统计分析方法开展。</w:t>
            </w: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1393" w:type="dxa"/>
            <w:tcBorders>
              <w:left w:val="nil"/>
            </w:tcBorders>
            <w:vAlign w:val="center"/>
          </w:tcPr>
          <w:p w14:paraId="7F7AE554">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绩效评价</w:t>
            </w:r>
          </w:p>
          <w:p w14:paraId="7A26A08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工作过程</w:t>
            </w:r>
          </w:p>
        </w:tc>
        <w:tc>
          <w:tcPr>
            <w:tcW w:w="7136" w:type="dxa"/>
            <w:tcBorders>
              <w:right w:val="nil"/>
            </w:tcBorders>
            <w:vAlign w:val="center"/>
          </w:tcPr>
          <w:p w14:paraId="1733217E">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接受委托任务、</w:t>
            </w:r>
            <w:r>
              <w:rPr>
                <w:rFonts w:hint="eastAsia" w:asciiTheme="minorEastAsia" w:hAnsiTheme="minorEastAsia" w:eastAsiaTheme="minorEastAsia" w:cstheme="minorEastAsia"/>
                <w:lang w:eastAsia="zh-CN"/>
              </w:rPr>
              <w:t>拟订方案</w:t>
            </w:r>
            <w:r>
              <w:rPr>
                <w:rFonts w:hint="eastAsia" w:asciiTheme="minorEastAsia" w:hAnsiTheme="minorEastAsia" w:eastAsiaTheme="minorEastAsia" w:cstheme="minorEastAsia"/>
              </w:rPr>
              <w:t>、开展培训、现场评价、撰写报告、资料归档</w:t>
            </w:r>
            <w:r>
              <w:rPr>
                <w:rFonts w:hint="eastAsia" w:asciiTheme="minorEastAsia" w:hAnsiTheme="minorEastAsia" w:eastAsiaTheme="minorEastAsia" w:cstheme="minorEastAsia"/>
                <w:lang w:eastAsia="zh-CN"/>
              </w:rPr>
              <w:t>。</w:t>
            </w:r>
          </w:p>
        </w:tc>
      </w:tr>
    </w:tbl>
    <w:p w14:paraId="12ABA30F">
      <w:pPr>
        <w:pStyle w:val="2"/>
        <w:spacing w:before="238" w:line="219" w:lineRule="auto"/>
        <w:ind w:left="297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四、评价结论和绩效分析</w:t>
      </w:r>
    </w:p>
    <w:p w14:paraId="5945FE5F">
      <w:pPr>
        <w:spacing w:line="124"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779"/>
        <w:gridCol w:w="912"/>
        <w:gridCol w:w="696"/>
        <w:gridCol w:w="756"/>
        <w:gridCol w:w="832"/>
        <w:gridCol w:w="800"/>
        <w:gridCol w:w="1080"/>
        <w:gridCol w:w="996"/>
        <w:gridCol w:w="830"/>
      </w:tblGrid>
      <w:tr w14:paraId="40B1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848" w:type="dxa"/>
            <w:tcBorders>
              <w:left w:val="nil"/>
            </w:tcBorders>
            <w:vAlign w:val="center"/>
          </w:tcPr>
          <w:p w14:paraId="08AA7ECA">
            <w:pPr>
              <w:pStyle w:val="10"/>
              <w:keepNext w:val="0"/>
              <w:keepLines w:val="0"/>
              <w:pageBreakBefore w:val="0"/>
              <w:widowControl w:val="0"/>
              <w:kinsoku/>
              <w:wordWrap/>
              <w:overflowPunct w:val="0"/>
              <w:topLinePunct/>
              <w:autoSpaceDE/>
              <w:autoSpaceDN/>
              <w:bidi w:val="0"/>
              <w:adjustRightInd w:val="0"/>
              <w:snapToGrid w:val="0"/>
              <w:spacing w:line="220" w:lineRule="auto"/>
              <w:ind w:left="0"/>
              <w:jc w:val="center"/>
              <w:textAlignment w:val="baseline"/>
              <w:rPr>
                <w:rFonts w:hint="eastAsia" w:asciiTheme="minorEastAsia" w:hAnsiTheme="minorEastAsia" w:eastAsiaTheme="minorEastAsia" w:cstheme="minorEastAsia"/>
                <w:spacing w:val="0"/>
                <w:sz w:val="24"/>
                <w:szCs w:val="24"/>
              </w:rPr>
            </w:pPr>
            <w:r>
              <w:rPr>
                <w:b/>
                <w:bCs/>
                <w:spacing w:val="-6"/>
              </w:rPr>
              <w:t>综合评价结论</w:t>
            </w:r>
          </w:p>
        </w:tc>
        <w:tc>
          <w:tcPr>
            <w:tcW w:w="1691" w:type="dxa"/>
            <w:gridSpan w:val="2"/>
            <w:vAlign w:val="center"/>
          </w:tcPr>
          <w:p w14:paraId="45670BCB">
            <w:pPr>
              <w:pStyle w:val="10"/>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284" w:type="dxa"/>
            <w:gridSpan w:val="3"/>
            <w:vAlign w:val="center"/>
          </w:tcPr>
          <w:p w14:paraId="2D1E3793">
            <w:pPr>
              <w:pStyle w:val="10"/>
              <w:keepNext w:val="0"/>
              <w:keepLines w:val="0"/>
              <w:pageBreakBefore w:val="0"/>
              <w:widowControl w:val="0"/>
              <w:kinsoku/>
              <w:wordWrap/>
              <w:overflowPunct w:val="0"/>
              <w:topLinePunct/>
              <w:autoSpaceDE/>
              <w:autoSpaceDN/>
              <w:bidi w:val="0"/>
              <w:adjustRightInd w:val="0"/>
              <w:snapToGrid w:val="0"/>
              <w:spacing w:line="183" w:lineRule="auto"/>
              <w:ind w:left="0"/>
              <w:jc w:val="center"/>
              <w:textAlignment w:val="baseline"/>
              <w:rPr>
                <w:rFonts w:hint="eastAsia" w:asciiTheme="minorEastAsia" w:hAnsiTheme="minorEastAsia" w:eastAsiaTheme="minorEastAsia" w:cstheme="minorEastAsia"/>
                <w:spacing w:val="0"/>
                <w:sz w:val="24"/>
                <w:szCs w:val="24"/>
                <w:lang w:val="en-US" w:eastAsia="zh-CN"/>
              </w:rPr>
            </w:pPr>
          </w:p>
          <w:p w14:paraId="0D5E9CB2">
            <w:pPr>
              <w:pStyle w:val="10"/>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88.80分</w:t>
            </w:r>
          </w:p>
          <w:p w14:paraId="0D8C4482">
            <w:pPr>
              <w:pStyle w:val="10"/>
              <w:keepNext w:val="0"/>
              <w:keepLines w:val="0"/>
              <w:pageBreakBefore w:val="0"/>
              <w:widowControl w:val="0"/>
              <w:kinsoku/>
              <w:wordWrap/>
              <w:overflowPunct w:val="0"/>
              <w:topLinePunct/>
              <w:autoSpaceDE/>
              <w:autoSpaceDN/>
              <w:bidi w:val="0"/>
              <w:adjustRightInd w:val="0"/>
              <w:snapToGrid w:val="0"/>
              <w:spacing w:line="183" w:lineRule="auto"/>
              <w:ind w:left="0"/>
              <w:jc w:val="center"/>
              <w:textAlignment w:val="baseline"/>
              <w:rPr>
                <w:rFonts w:hint="eastAsia" w:asciiTheme="minorEastAsia" w:hAnsiTheme="minorEastAsia" w:eastAsiaTheme="minorEastAsia" w:cstheme="minorEastAsia"/>
                <w:spacing w:val="0"/>
                <w:sz w:val="24"/>
                <w:szCs w:val="24"/>
                <w:lang w:val="en-US" w:eastAsia="zh-CN"/>
              </w:rPr>
            </w:pPr>
          </w:p>
        </w:tc>
        <w:tc>
          <w:tcPr>
            <w:tcW w:w="1880" w:type="dxa"/>
            <w:gridSpan w:val="2"/>
            <w:vAlign w:val="center"/>
          </w:tcPr>
          <w:p w14:paraId="0722B496">
            <w:pPr>
              <w:pStyle w:val="10"/>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1826" w:type="dxa"/>
            <w:gridSpan w:val="2"/>
            <w:tcBorders>
              <w:right w:val="nil"/>
            </w:tcBorders>
            <w:vAlign w:val="center"/>
          </w:tcPr>
          <w:p w14:paraId="66253B33">
            <w:pPr>
              <w:pStyle w:val="10"/>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良</w:t>
            </w:r>
          </w:p>
        </w:tc>
      </w:tr>
      <w:tr w14:paraId="55DD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848" w:type="dxa"/>
            <w:vMerge w:val="restart"/>
            <w:tcBorders>
              <w:left w:val="nil"/>
              <w:bottom w:val="nil"/>
            </w:tcBorders>
            <w:vAlign w:val="center"/>
          </w:tcPr>
          <w:p w14:paraId="193A2183">
            <w:pPr>
              <w:pStyle w:val="10"/>
              <w:keepNext w:val="0"/>
              <w:keepLines w:val="0"/>
              <w:pageBreakBefore w:val="0"/>
              <w:widowControl w:val="0"/>
              <w:kinsoku/>
              <w:wordWrap/>
              <w:overflowPunct w:val="0"/>
              <w:topLinePunct/>
              <w:autoSpaceDE/>
              <w:autoSpaceDN/>
              <w:bidi w:val="0"/>
              <w:adjustRightInd w:val="0"/>
              <w:snapToGrid w:val="0"/>
              <w:spacing w:line="220" w:lineRule="auto"/>
              <w:ind w:left="0" w:right="0"/>
              <w:jc w:val="center"/>
              <w:textAlignment w:val="baseline"/>
            </w:pPr>
            <w:r>
              <w:rPr>
                <w:rFonts w:hint="eastAsia"/>
                <w:b/>
                <w:bCs/>
                <w:spacing w:val="-6"/>
                <w:lang w:eastAsia="zh-CN"/>
              </w:rPr>
              <w:t>绩</w:t>
            </w:r>
            <w:r>
              <w:rPr>
                <w:b/>
                <w:bCs/>
                <w:spacing w:val="-6"/>
              </w:rPr>
              <w:t>效</w:t>
            </w:r>
          </w:p>
          <w:p w14:paraId="4257DBB2">
            <w:pPr>
              <w:pStyle w:val="10"/>
              <w:keepNext w:val="0"/>
              <w:keepLines w:val="0"/>
              <w:pageBreakBefore w:val="0"/>
              <w:widowControl w:val="0"/>
              <w:kinsoku/>
              <w:wordWrap/>
              <w:overflowPunct w:val="0"/>
              <w:topLinePunct/>
              <w:autoSpaceDE/>
              <w:autoSpaceDN/>
              <w:bidi w:val="0"/>
              <w:adjustRightInd w:val="0"/>
              <w:snapToGrid w:val="0"/>
              <w:spacing w:line="230" w:lineRule="auto"/>
              <w:ind w:left="0" w:right="0"/>
              <w:jc w:val="center"/>
              <w:textAlignment w:val="baseline"/>
              <w:rPr>
                <w:rFonts w:hint="eastAsia" w:asciiTheme="minorEastAsia" w:hAnsiTheme="minorEastAsia" w:eastAsiaTheme="minorEastAsia" w:cstheme="minorEastAsia"/>
                <w:spacing w:val="0"/>
                <w:sz w:val="24"/>
                <w:szCs w:val="24"/>
              </w:rPr>
            </w:pPr>
            <w:r>
              <w:rPr>
                <w:b/>
                <w:bCs/>
                <w:spacing w:val="-5"/>
              </w:rPr>
              <w:t>分析</w:t>
            </w:r>
          </w:p>
        </w:tc>
        <w:tc>
          <w:tcPr>
            <w:tcW w:w="779" w:type="dxa"/>
            <w:vAlign w:val="center"/>
          </w:tcPr>
          <w:p w14:paraId="4DFEE862">
            <w:pPr>
              <w:pStyle w:val="10"/>
              <w:keepNext w:val="0"/>
              <w:keepLines w:val="0"/>
              <w:pageBreakBefore w:val="0"/>
              <w:widowControl w:val="0"/>
              <w:kinsoku/>
              <w:wordWrap/>
              <w:overflowPunct w:val="0"/>
              <w:topLinePunct/>
              <w:autoSpaceDE/>
              <w:autoSpaceDN/>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指标</w:t>
            </w:r>
          </w:p>
        </w:tc>
        <w:tc>
          <w:tcPr>
            <w:tcW w:w="912" w:type="dxa"/>
            <w:vAlign w:val="center"/>
          </w:tcPr>
          <w:p w14:paraId="303DEACB">
            <w:pPr>
              <w:pStyle w:val="10"/>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部门</w:t>
            </w:r>
          </w:p>
          <w:p w14:paraId="6FA6F1B0">
            <w:pPr>
              <w:pStyle w:val="10"/>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规划</w:t>
            </w:r>
          </w:p>
        </w:tc>
        <w:tc>
          <w:tcPr>
            <w:tcW w:w="696" w:type="dxa"/>
            <w:vAlign w:val="center"/>
          </w:tcPr>
          <w:p w14:paraId="53F34F75">
            <w:pPr>
              <w:pStyle w:val="10"/>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运行</w:t>
            </w:r>
          </w:p>
          <w:p w14:paraId="5282F746">
            <w:pPr>
              <w:pStyle w:val="10"/>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成本</w:t>
            </w:r>
          </w:p>
        </w:tc>
        <w:tc>
          <w:tcPr>
            <w:tcW w:w="756" w:type="dxa"/>
            <w:vAlign w:val="center"/>
          </w:tcPr>
          <w:p w14:paraId="161F1ED2">
            <w:pPr>
              <w:pStyle w:val="10"/>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管理</w:t>
            </w:r>
          </w:p>
          <w:p w14:paraId="1113C672">
            <w:pPr>
              <w:pStyle w:val="10"/>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效率</w:t>
            </w:r>
          </w:p>
        </w:tc>
        <w:tc>
          <w:tcPr>
            <w:tcW w:w="832" w:type="dxa"/>
            <w:vAlign w:val="center"/>
          </w:tcPr>
          <w:p w14:paraId="46381FF0">
            <w:pPr>
              <w:pStyle w:val="10"/>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履职</w:t>
            </w:r>
          </w:p>
          <w:p w14:paraId="690BEEBF">
            <w:pPr>
              <w:pStyle w:val="10"/>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效能</w:t>
            </w:r>
          </w:p>
        </w:tc>
        <w:tc>
          <w:tcPr>
            <w:tcW w:w="800" w:type="dxa"/>
            <w:vAlign w:val="center"/>
          </w:tcPr>
          <w:p w14:paraId="069193B5">
            <w:pPr>
              <w:pStyle w:val="10"/>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社会</w:t>
            </w:r>
          </w:p>
          <w:p w14:paraId="32ED4493">
            <w:pPr>
              <w:pStyle w:val="10"/>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效益</w:t>
            </w:r>
          </w:p>
        </w:tc>
        <w:tc>
          <w:tcPr>
            <w:tcW w:w="1080" w:type="dxa"/>
            <w:vAlign w:val="center"/>
          </w:tcPr>
          <w:p w14:paraId="57EBCBDA">
            <w:pPr>
              <w:pStyle w:val="10"/>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可持续</w:t>
            </w:r>
          </w:p>
          <w:p w14:paraId="77763604">
            <w:pPr>
              <w:pStyle w:val="10"/>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发展能力</w:t>
            </w:r>
          </w:p>
        </w:tc>
        <w:tc>
          <w:tcPr>
            <w:tcW w:w="996" w:type="dxa"/>
            <w:vAlign w:val="center"/>
          </w:tcPr>
          <w:p w14:paraId="67CCD9C3">
            <w:pPr>
              <w:pStyle w:val="10"/>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服务对象满意度</w:t>
            </w:r>
          </w:p>
        </w:tc>
        <w:tc>
          <w:tcPr>
            <w:tcW w:w="830" w:type="dxa"/>
            <w:tcBorders>
              <w:right w:val="nil"/>
            </w:tcBorders>
            <w:vAlign w:val="center"/>
          </w:tcPr>
          <w:p w14:paraId="2DB24984">
            <w:pPr>
              <w:pStyle w:val="10"/>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合计</w:t>
            </w:r>
          </w:p>
        </w:tc>
      </w:tr>
      <w:tr w14:paraId="49D5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848" w:type="dxa"/>
            <w:vMerge w:val="continue"/>
            <w:tcBorders>
              <w:top w:val="nil"/>
              <w:left w:val="nil"/>
            </w:tcBorders>
            <w:vAlign w:val="center"/>
          </w:tcPr>
          <w:p w14:paraId="5D5C8174">
            <w:pPr>
              <w:keepNext w:val="0"/>
              <w:keepLines w:val="0"/>
              <w:pageBreakBefore w:val="0"/>
              <w:widowControl w:val="0"/>
              <w:kinsoku/>
              <w:wordWrap/>
              <w:overflowPunct w:val="0"/>
              <w:topLinePunct/>
              <w:autoSpaceDE/>
              <w:autoSpaceDN/>
              <w:bidi w:val="0"/>
              <w:adjustRightInd w:val="0"/>
              <w:snapToGrid w:val="0"/>
              <w:ind w:left="0"/>
              <w:jc w:val="center"/>
              <w:textAlignment w:val="baseline"/>
              <w:rPr>
                <w:rFonts w:hint="eastAsia" w:asciiTheme="minorEastAsia" w:hAnsiTheme="minorEastAsia" w:eastAsiaTheme="minorEastAsia" w:cstheme="minorEastAsia"/>
                <w:spacing w:val="0"/>
                <w:sz w:val="24"/>
                <w:szCs w:val="24"/>
              </w:rPr>
            </w:pPr>
          </w:p>
        </w:tc>
        <w:tc>
          <w:tcPr>
            <w:tcW w:w="779" w:type="dxa"/>
            <w:vAlign w:val="center"/>
          </w:tcPr>
          <w:p w14:paraId="077BB81C">
            <w:pPr>
              <w:pStyle w:val="10"/>
              <w:keepNext w:val="0"/>
              <w:keepLines w:val="0"/>
              <w:pageBreakBefore w:val="0"/>
              <w:widowControl w:val="0"/>
              <w:kinsoku/>
              <w:wordWrap/>
              <w:overflowPunct w:val="0"/>
              <w:topLinePunct/>
              <w:autoSpaceDE/>
              <w:autoSpaceDN/>
              <w:bidi w:val="0"/>
              <w:adjustRightInd w:val="0"/>
              <w:snapToGrid w:val="0"/>
              <w:spacing w:line="284" w:lineRule="auto"/>
              <w:ind w:left="0" w:righ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得分率</w:t>
            </w:r>
          </w:p>
        </w:tc>
        <w:tc>
          <w:tcPr>
            <w:tcW w:w="912" w:type="dxa"/>
            <w:vAlign w:val="center"/>
          </w:tcPr>
          <w:p w14:paraId="410E4AED">
            <w:pPr>
              <w:pStyle w:val="10"/>
              <w:keepNext w:val="0"/>
              <w:keepLines w:val="0"/>
              <w:pageBreakBefore w:val="0"/>
              <w:widowControl w:val="0"/>
              <w:kinsoku/>
              <w:wordWrap/>
              <w:overflowPunct w:val="0"/>
              <w:topLinePunct/>
              <w:autoSpaceDE/>
              <w:autoSpaceDN/>
              <w:bidi w:val="0"/>
              <w:adjustRightInd w:val="0"/>
              <w:snapToGrid w:val="0"/>
              <w:spacing w:line="270" w:lineRule="exact"/>
              <w:ind w:left="0"/>
              <w:jc w:val="center"/>
              <w:textAlignment w:val="baseline"/>
              <w:rPr>
                <w:rFonts w:hint="default" w:asciiTheme="minorEastAsia" w:hAnsiTheme="minorEastAsia" w:eastAsiaTheme="minorEastAsia" w:cstheme="minorEastAsia"/>
                <w:spacing w:val="0"/>
                <w:sz w:val="24"/>
                <w:szCs w:val="24"/>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96.67%</w:t>
            </w:r>
          </w:p>
        </w:tc>
        <w:tc>
          <w:tcPr>
            <w:tcW w:w="696" w:type="dxa"/>
            <w:vAlign w:val="center"/>
          </w:tcPr>
          <w:p w14:paraId="17299B93">
            <w:pPr>
              <w:pStyle w:val="10"/>
              <w:keepNext w:val="0"/>
              <w:keepLines w:val="0"/>
              <w:pageBreakBefore w:val="0"/>
              <w:widowControl w:val="0"/>
              <w:kinsoku/>
              <w:wordWrap/>
              <w:overflowPunct w:val="0"/>
              <w:topLinePunct/>
              <w:autoSpaceDE/>
              <w:autoSpaceDN/>
              <w:bidi w:val="0"/>
              <w:adjustRightInd w:val="0"/>
              <w:snapToGrid w:val="0"/>
              <w:spacing w:line="270"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56" w:type="dxa"/>
            <w:vAlign w:val="center"/>
          </w:tcPr>
          <w:p w14:paraId="6BDA2AA6">
            <w:pPr>
              <w:pStyle w:val="10"/>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82.61%</w:t>
            </w:r>
          </w:p>
        </w:tc>
        <w:tc>
          <w:tcPr>
            <w:tcW w:w="832" w:type="dxa"/>
            <w:vAlign w:val="center"/>
          </w:tcPr>
          <w:p w14:paraId="6B7C5C6B">
            <w:pPr>
              <w:pStyle w:val="10"/>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90.33%</w:t>
            </w:r>
          </w:p>
        </w:tc>
        <w:tc>
          <w:tcPr>
            <w:tcW w:w="800" w:type="dxa"/>
            <w:vAlign w:val="center"/>
          </w:tcPr>
          <w:p w14:paraId="28CCF245">
            <w:pPr>
              <w:pStyle w:val="10"/>
              <w:keepNext w:val="0"/>
              <w:keepLines w:val="0"/>
              <w:pageBreakBefore w:val="0"/>
              <w:widowControl w:val="0"/>
              <w:kinsoku/>
              <w:wordWrap/>
              <w:overflowPunct w:val="0"/>
              <w:topLinePunct/>
              <w:autoSpaceDE/>
              <w:autoSpaceDN/>
              <w:bidi w:val="0"/>
              <w:adjustRightInd w:val="0"/>
              <w:snapToGrid w:val="0"/>
              <w:spacing w:line="270"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1080" w:type="dxa"/>
            <w:vAlign w:val="center"/>
          </w:tcPr>
          <w:p w14:paraId="29671117">
            <w:pPr>
              <w:pStyle w:val="10"/>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85%</w:t>
            </w:r>
          </w:p>
        </w:tc>
        <w:tc>
          <w:tcPr>
            <w:tcW w:w="996" w:type="dxa"/>
            <w:vAlign w:val="center"/>
          </w:tcPr>
          <w:p w14:paraId="55CF812C">
            <w:pPr>
              <w:pStyle w:val="10"/>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position w:val="1"/>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96%</w:t>
            </w:r>
          </w:p>
        </w:tc>
        <w:tc>
          <w:tcPr>
            <w:tcW w:w="830" w:type="dxa"/>
            <w:tcBorders>
              <w:right w:val="nil"/>
            </w:tcBorders>
            <w:vAlign w:val="center"/>
          </w:tcPr>
          <w:p w14:paraId="0614FB7D">
            <w:pPr>
              <w:pStyle w:val="10"/>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88.80%</w:t>
            </w:r>
          </w:p>
        </w:tc>
      </w:tr>
    </w:tbl>
    <w:p w14:paraId="12F5AC03">
      <w:pPr>
        <w:pStyle w:val="2"/>
        <w:keepNext/>
        <w:keepLines/>
        <w:pageBreakBefore w:val="0"/>
        <w:widowControl w:val="0"/>
        <w:kinsoku/>
        <w:wordWrap/>
        <w:overflowPunct w:val="0"/>
        <w:topLinePunct/>
        <w:autoSpaceDE/>
        <w:autoSpaceDN/>
        <w:bidi w:val="0"/>
        <w:adjustRightInd w:val="0"/>
        <w:snapToGrid w:val="0"/>
        <w:spacing w:before="238" w:line="219" w:lineRule="auto"/>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五、存在的问题</w:t>
      </w:r>
    </w:p>
    <w:p w14:paraId="010E9CDE">
      <w:pPr>
        <w:keepNext/>
        <w:keepLines/>
        <w:pageBreakBefore w:val="0"/>
        <w:widowControl w:val="0"/>
        <w:kinsoku/>
        <w:wordWrap/>
        <w:overflowPunct w:val="0"/>
        <w:topLinePunct/>
        <w:autoSpaceDE/>
        <w:autoSpaceDN/>
        <w:bidi w:val="0"/>
        <w:adjustRightInd w:val="0"/>
        <w:snapToGrid w:val="0"/>
        <w:spacing w:line="91" w:lineRule="auto"/>
        <w:textAlignment w:val="baseline"/>
        <w:rPr>
          <w:rFonts w:hint="eastAsia" w:asciiTheme="minorEastAsia" w:hAnsiTheme="minorEastAsia" w:eastAsiaTheme="minorEastAsia" w:cstheme="minorEastAsia"/>
          <w:spacing w:val="0"/>
          <w:sz w:val="24"/>
          <w:szCs w:val="24"/>
        </w:rPr>
      </w:pPr>
    </w:p>
    <w:tbl>
      <w:tblPr>
        <w:tblStyle w:val="9"/>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90" w:hRule="atLeast"/>
        </w:trPr>
        <w:tc>
          <w:tcPr>
            <w:tcW w:w="8530" w:type="dxa"/>
            <w:tcBorders>
              <w:tl2br w:val="nil"/>
              <w:tr2bl w:val="nil"/>
            </w:tcBorders>
            <w:vAlign w:val="center"/>
          </w:tcPr>
          <w:p w14:paraId="018B2D0F">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1.2024年以来，团县委虽然做了大量工作，较好地完成了全年工作任务，也取得了一定成绩。但与县委、县政府、团市委的要求和团员青年的期望相比，还存在着工作思路不够宽阔、工作进展不平衡、活动形式单一等问题；</w:t>
            </w:r>
          </w:p>
          <w:p w14:paraId="6385FBEA">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default"/>
                <w:lang w:val="en-US" w:eastAsia="zh-CN"/>
              </w:rPr>
            </w:pPr>
            <w:r>
              <w:rPr>
                <w:rFonts w:hint="eastAsia" w:asciiTheme="minorEastAsia" w:hAnsiTheme="minorEastAsia" w:eastAsiaTheme="minorEastAsia" w:cstheme="minorEastAsia"/>
                <w:lang w:val="en-US" w:eastAsia="zh-CN"/>
              </w:rPr>
              <w:t>2.内部监督机制不健全，现有的内部监督往往侧重于对财务收支的合规性审查，而对资金使用效益、预算执行效果、项目绩效等方面的监督较少涉及。</w:t>
            </w: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0"/>
              <w:keepNext/>
              <w:keepLines/>
              <w:pageBreakBefore w:val="0"/>
              <w:widowControl w:val="0"/>
              <w:kinsoku/>
              <w:wordWrap/>
              <w:overflowPunct w:val="0"/>
              <w:topLinePunct/>
              <w:autoSpaceDE/>
              <w:autoSpaceDN/>
              <w:bidi w:val="0"/>
              <w:adjustRightInd w:val="0"/>
              <w:snapToGrid w:val="0"/>
              <w:spacing w:before="193" w:line="220" w:lineRule="auto"/>
              <w:ind w:left="331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565" w:hRule="atLeast"/>
        </w:trPr>
        <w:tc>
          <w:tcPr>
            <w:tcW w:w="8530" w:type="dxa"/>
            <w:tcBorders>
              <w:tl2br w:val="nil"/>
              <w:tr2bl w:val="nil"/>
            </w:tcBorders>
            <w:vAlign w:val="center"/>
          </w:tcPr>
          <w:p w14:paraId="5520D759">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1.2025年，团县委将竭力围绕中心、服务大局，以勇立潮头、争当时代弄潮儿的志向和气魄，努力做好团属各项工作和团省市委、县委、县政府交办的其他工作任务，进一步创新青年活动新的载体，推动我县共青团工作再上新台阶</w:t>
            </w:r>
            <w:bookmarkStart w:id="0" w:name="_GoBack"/>
            <w:r>
              <w:rPr>
                <w:rFonts w:hint="eastAsia" w:asciiTheme="minorEastAsia" w:hAnsiTheme="minorEastAsia" w:eastAsiaTheme="minorEastAsia" w:cstheme="minorEastAsia"/>
                <w:lang w:val="en-US" w:eastAsia="zh-CN"/>
              </w:rPr>
              <w:t>；</w:t>
            </w:r>
            <w:bookmarkEnd w:id="0"/>
          </w:p>
          <w:p w14:paraId="29FB7136">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default"/>
                <w:lang w:val="en-US" w:eastAsia="zh-CN"/>
              </w:rPr>
            </w:pPr>
            <w:r>
              <w:rPr>
                <w:rFonts w:hint="eastAsia" w:asciiTheme="minorEastAsia" w:hAnsiTheme="minorEastAsia" w:eastAsiaTheme="minorEastAsia" w:cstheme="minorEastAsia"/>
                <w:lang w:val="en-US" w:eastAsia="zh-CN"/>
              </w:rPr>
              <w:t>2.将监督范围从以往单纯的财务收支合规性审查，拓展到资金使用效益、预算执行效果、项目绩效、资产管理、活动开展成效等多个方面。对团委的各项经济活动和工作环节进行全方位、全过程监督，确保无监督盲区。监督人员对日常财务报销、合同签订等业务进行实时监督，每月对预算执行情况、资金使用情况进行一次检查，每季度进行一次全面的财务审计。针对重点项目、大额资金使用等开展专项监督，同时定期开展综合监督，全面评估团委内部管理和工作开展情况。</w:t>
            </w: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48" w:hRule="atLeast"/>
        </w:trPr>
        <w:tc>
          <w:tcPr>
            <w:tcW w:w="8530" w:type="dxa"/>
            <w:tcBorders>
              <w:tl2br w:val="nil"/>
              <w:tr2bl w:val="nil"/>
            </w:tcBorders>
            <w:vAlign w:val="center"/>
          </w:tcPr>
          <w:p w14:paraId="45915C0D">
            <w:pPr>
              <w:pStyle w:val="10"/>
              <w:keepNext/>
              <w:keepLines/>
              <w:pageBreakBefore w:val="0"/>
              <w:widowControl w:val="0"/>
              <w:kinsoku/>
              <w:wordWrap/>
              <w:overflowPunct w:val="0"/>
              <w:topLinePunct/>
              <w:autoSpaceDE/>
              <w:autoSpaceDN/>
              <w:bidi w:val="0"/>
              <w:adjustRightInd w:val="0"/>
              <w:snapToGrid w:val="0"/>
              <w:spacing w:before="239" w:line="220" w:lineRule="auto"/>
              <w:ind w:left="319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995" w:hRule="atLeast"/>
        </w:trPr>
        <w:tc>
          <w:tcPr>
            <w:tcW w:w="8530" w:type="dxa"/>
            <w:tcBorders>
              <w:tl2br w:val="nil"/>
              <w:tr2bl w:val="nil"/>
            </w:tcBorders>
            <w:vAlign w:val="center"/>
          </w:tcPr>
          <w:p w14:paraId="42EDF515">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1.采取统筹规划评价工期、规范评价管理流程、严格评价机构筛选、强化评价过程管控、优化评价组织模式等措施，统筹推进项目实施；</w:t>
            </w:r>
          </w:p>
          <w:p w14:paraId="3CEE8BE1">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2.创新项目主评人“交叉评审”、第三方机构“内审+终审”“质费挂钩”等机制，提高绩效评价服务水平和报告质量；</w:t>
            </w:r>
          </w:p>
          <w:p w14:paraId="49465040">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asciiTheme="minorEastAsia" w:hAnsiTheme="minorEastAsia" w:eastAsiaTheme="minorEastAsia" w:cstheme="minorEastAsia"/>
                <w:spacing w:val="0"/>
                <w:szCs w:val="24"/>
              </w:rPr>
            </w:pPr>
            <w:r>
              <w:rPr>
                <w:rFonts w:hint="eastAsia" w:asciiTheme="minorEastAsia" w:hAnsiTheme="minorEastAsia" w:eastAsiaTheme="minorEastAsia" w:cstheme="minorEastAsia"/>
                <w:lang w:val="en-US" w:eastAsia="zh-CN"/>
              </w:rPr>
              <w:t>3.对财政绩效评价结果及有关情况进行了通报，要求各有关部门举一反三、跟踪落实问效，充分发挥“以评促改”的积极作用，对标对表分析本部门本行业在预算绩效管理方面存在的短板弱项，做好问题整改和政策落实。</w:t>
            </w:r>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2"/>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10D433E"/>
    <w:rsid w:val="017E6F26"/>
    <w:rsid w:val="02CE17E8"/>
    <w:rsid w:val="02E1776D"/>
    <w:rsid w:val="03F82FC0"/>
    <w:rsid w:val="049C7DEF"/>
    <w:rsid w:val="04D05CEB"/>
    <w:rsid w:val="04E377CC"/>
    <w:rsid w:val="0551724E"/>
    <w:rsid w:val="058663AA"/>
    <w:rsid w:val="065A37E2"/>
    <w:rsid w:val="067E2E92"/>
    <w:rsid w:val="067E3AD6"/>
    <w:rsid w:val="06D51397"/>
    <w:rsid w:val="07A86AAB"/>
    <w:rsid w:val="07BC4304"/>
    <w:rsid w:val="096A7D04"/>
    <w:rsid w:val="09B554AF"/>
    <w:rsid w:val="09ED2E9B"/>
    <w:rsid w:val="0A7D421F"/>
    <w:rsid w:val="0A8A06EA"/>
    <w:rsid w:val="0ADE7E9F"/>
    <w:rsid w:val="0BA852CC"/>
    <w:rsid w:val="0C264442"/>
    <w:rsid w:val="0C5E3BDC"/>
    <w:rsid w:val="0C6F7B97"/>
    <w:rsid w:val="0C8F3D96"/>
    <w:rsid w:val="0D9A6E96"/>
    <w:rsid w:val="0DF76096"/>
    <w:rsid w:val="0F987405"/>
    <w:rsid w:val="11A57E6D"/>
    <w:rsid w:val="12C329EB"/>
    <w:rsid w:val="13223BB5"/>
    <w:rsid w:val="138A3509"/>
    <w:rsid w:val="139C47A2"/>
    <w:rsid w:val="139D362F"/>
    <w:rsid w:val="13CB5FFB"/>
    <w:rsid w:val="147C72F5"/>
    <w:rsid w:val="14812B5E"/>
    <w:rsid w:val="163360DA"/>
    <w:rsid w:val="165F6ECF"/>
    <w:rsid w:val="16786951"/>
    <w:rsid w:val="16886A96"/>
    <w:rsid w:val="16A06327"/>
    <w:rsid w:val="16B9038D"/>
    <w:rsid w:val="1723614E"/>
    <w:rsid w:val="18D957E5"/>
    <w:rsid w:val="193C34F7"/>
    <w:rsid w:val="19AC41D9"/>
    <w:rsid w:val="1D444728"/>
    <w:rsid w:val="1D5242DB"/>
    <w:rsid w:val="1DFB5418"/>
    <w:rsid w:val="1E780F3D"/>
    <w:rsid w:val="1EEB7551"/>
    <w:rsid w:val="20FA3A7C"/>
    <w:rsid w:val="226B2757"/>
    <w:rsid w:val="22A5210D"/>
    <w:rsid w:val="22B934C3"/>
    <w:rsid w:val="2322550C"/>
    <w:rsid w:val="23264FFC"/>
    <w:rsid w:val="236D2C2B"/>
    <w:rsid w:val="241B6079"/>
    <w:rsid w:val="242B5451"/>
    <w:rsid w:val="248A3369"/>
    <w:rsid w:val="24F44C86"/>
    <w:rsid w:val="250255F5"/>
    <w:rsid w:val="25D441CD"/>
    <w:rsid w:val="26E86A6C"/>
    <w:rsid w:val="27EC60E8"/>
    <w:rsid w:val="28E7579C"/>
    <w:rsid w:val="2A011272"/>
    <w:rsid w:val="2B996587"/>
    <w:rsid w:val="2BFF6C28"/>
    <w:rsid w:val="2E206AEC"/>
    <w:rsid w:val="2E436AED"/>
    <w:rsid w:val="2E8157DC"/>
    <w:rsid w:val="2FD302BA"/>
    <w:rsid w:val="300E12C4"/>
    <w:rsid w:val="30640F12"/>
    <w:rsid w:val="308415B4"/>
    <w:rsid w:val="30AE6631"/>
    <w:rsid w:val="31091AB9"/>
    <w:rsid w:val="322E4D64"/>
    <w:rsid w:val="32335040"/>
    <w:rsid w:val="33707BCD"/>
    <w:rsid w:val="33723946"/>
    <w:rsid w:val="337B2999"/>
    <w:rsid w:val="34A00986"/>
    <w:rsid w:val="351078BA"/>
    <w:rsid w:val="351D434E"/>
    <w:rsid w:val="353531EB"/>
    <w:rsid w:val="35E82F17"/>
    <w:rsid w:val="380B27FE"/>
    <w:rsid w:val="38E01351"/>
    <w:rsid w:val="395C1320"/>
    <w:rsid w:val="39665CFB"/>
    <w:rsid w:val="39AB5E03"/>
    <w:rsid w:val="3AE53402"/>
    <w:rsid w:val="3AE55345"/>
    <w:rsid w:val="3B6E70E8"/>
    <w:rsid w:val="3BE253E0"/>
    <w:rsid w:val="3C28373B"/>
    <w:rsid w:val="3C502C92"/>
    <w:rsid w:val="3C5F1085"/>
    <w:rsid w:val="3D211F38"/>
    <w:rsid w:val="3D6E33D0"/>
    <w:rsid w:val="3DAA78F8"/>
    <w:rsid w:val="3F8E13F7"/>
    <w:rsid w:val="3FAF1A7E"/>
    <w:rsid w:val="40774C91"/>
    <w:rsid w:val="40A91259"/>
    <w:rsid w:val="422C3859"/>
    <w:rsid w:val="43EE7018"/>
    <w:rsid w:val="44305883"/>
    <w:rsid w:val="454315E6"/>
    <w:rsid w:val="455F19D3"/>
    <w:rsid w:val="45617CBE"/>
    <w:rsid w:val="46036521"/>
    <w:rsid w:val="46596265"/>
    <w:rsid w:val="4703102D"/>
    <w:rsid w:val="47422245"/>
    <w:rsid w:val="48904B42"/>
    <w:rsid w:val="491A440C"/>
    <w:rsid w:val="4D477799"/>
    <w:rsid w:val="4D5C1497"/>
    <w:rsid w:val="4DF72F6D"/>
    <w:rsid w:val="4EC56BC8"/>
    <w:rsid w:val="4EDB288F"/>
    <w:rsid w:val="4FAB2261"/>
    <w:rsid w:val="50CD4459"/>
    <w:rsid w:val="50F03FCE"/>
    <w:rsid w:val="519F1952"/>
    <w:rsid w:val="52374280"/>
    <w:rsid w:val="530F0D59"/>
    <w:rsid w:val="53424C8B"/>
    <w:rsid w:val="55B06320"/>
    <w:rsid w:val="5A225816"/>
    <w:rsid w:val="5A2E5F69"/>
    <w:rsid w:val="5A364E1D"/>
    <w:rsid w:val="5AE40D1D"/>
    <w:rsid w:val="5B1769FD"/>
    <w:rsid w:val="5BE30FD5"/>
    <w:rsid w:val="5C1178F0"/>
    <w:rsid w:val="5C98591B"/>
    <w:rsid w:val="5CB62246"/>
    <w:rsid w:val="5D123920"/>
    <w:rsid w:val="5E1436C8"/>
    <w:rsid w:val="5E8124E4"/>
    <w:rsid w:val="5F3C1128"/>
    <w:rsid w:val="5FE315A4"/>
    <w:rsid w:val="60A54AAB"/>
    <w:rsid w:val="60EC2A0D"/>
    <w:rsid w:val="61B76844"/>
    <w:rsid w:val="62373E29"/>
    <w:rsid w:val="62C03E1E"/>
    <w:rsid w:val="656C3DE9"/>
    <w:rsid w:val="65AD2600"/>
    <w:rsid w:val="65F0610C"/>
    <w:rsid w:val="66100C18"/>
    <w:rsid w:val="66A86C9C"/>
    <w:rsid w:val="677B6565"/>
    <w:rsid w:val="677F7E04"/>
    <w:rsid w:val="6913481E"/>
    <w:rsid w:val="691A2275"/>
    <w:rsid w:val="695157D0"/>
    <w:rsid w:val="699459AB"/>
    <w:rsid w:val="6A5F216E"/>
    <w:rsid w:val="6AB73D58"/>
    <w:rsid w:val="6AF9611F"/>
    <w:rsid w:val="6B0F5943"/>
    <w:rsid w:val="6C0234D9"/>
    <w:rsid w:val="6C67530A"/>
    <w:rsid w:val="6D437B25"/>
    <w:rsid w:val="6D513FF0"/>
    <w:rsid w:val="6DA700B4"/>
    <w:rsid w:val="6EEE3AC1"/>
    <w:rsid w:val="6F437969"/>
    <w:rsid w:val="706E686D"/>
    <w:rsid w:val="71614A1E"/>
    <w:rsid w:val="71940950"/>
    <w:rsid w:val="730218E9"/>
    <w:rsid w:val="74D86DA5"/>
    <w:rsid w:val="75C17839"/>
    <w:rsid w:val="788A485A"/>
    <w:rsid w:val="78D36201"/>
    <w:rsid w:val="79C97604"/>
    <w:rsid w:val="7AA8546C"/>
    <w:rsid w:val="7BC736D0"/>
    <w:rsid w:val="7BFC5A6F"/>
    <w:rsid w:val="7C3A6597"/>
    <w:rsid w:val="7C4116D4"/>
    <w:rsid w:val="7C464F3C"/>
    <w:rsid w:val="7C8021FC"/>
    <w:rsid w:val="7DCA74A7"/>
    <w:rsid w:val="7DE92023"/>
    <w:rsid w:val="7E3C027A"/>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1860</Words>
  <Characters>1997</Characters>
  <TotalTime>6</TotalTime>
  <ScaleCrop>false</ScaleCrop>
  <LinksUpToDate>false</LinksUpToDate>
  <CharactersWithSpaces>2006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张瑾</cp:lastModifiedBy>
  <dcterms:modified xsi:type="dcterms:W3CDTF">2025-09-19T09:48:35Z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2052-12.1.0.22529</vt:lpwstr>
  </property>
  <property fmtid="{D5CDD505-2E9C-101B-9397-08002B2CF9AE}" pid="5" name="ICV">
    <vt:lpwstr>31BB5D9FCE5E4B19BF8775DBE3CE227C_13</vt:lpwstr>
  </property>
  <property fmtid="{D5CDD505-2E9C-101B-9397-08002B2CF9AE}" pid="6" name="KSOTemplateDocerSaveRecord">
    <vt:lpwstr>eyJoZGlkIjoiY2MwMWVhMDU2OGZlNWU0NWEzZTM4YWQ4YTdhYWM3ZTUiLCJ1c2VySWQiOiI0MTA2NTQ0MTAifQ==</vt:lpwstr>
  </property>
</Properties>
</file>