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520D">
      <w:pPr>
        <w:spacing w:before="85" w:line="492" w:lineRule="exact"/>
        <w:jc w:val="center"/>
        <w:outlineLvl w:val="0"/>
        <w:rPr>
          <w:rFonts w:hint="eastAsia" w:asciiTheme="minorEastAsia" w:hAnsiTheme="minorEastAsia" w:eastAsiaTheme="minorEastAsia" w:cstheme="minorEastAsia"/>
          <w:b/>
          <w:bCs/>
          <w:spacing w:val="0"/>
          <w:position w:val="2"/>
          <w:sz w:val="36"/>
          <w:szCs w:val="36"/>
        </w:rPr>
      </w:pPr>
      <w:r>
        <w:rPr>
          <w:rFonts w:hint="eastAsia" w:asciiTheme="minorEastAsia" w:hAnsiTheme="minorEastAsia" w:eastAsiaTheme="minorEastAsia" w:cstheme="minorEastAsia"/>
          <w:b/>
          <w:bCs/>
          <w:spacing w:val="0"/>
          <w:position w:val="2"/>
          <w:sz w:val="36"/>
          <w:szCs w:val="36"/>
          <w:lang w:eastAsia="zh-CN"/>
        </w:rPr>
        <w:t>合水县段家集乡人民政府</w:t>
      </w:r>
      <w:r>
        <w:rPr>
          <w:rFonts w:hint="eastAsia" w:asciiTheme="minorEastAsia" w:hAnsiTheme="minorEastAsia" w:eastAsiaTheme="minorEastAsia" w:cstheme="minorEastAsia"/>
          <w:b/>
          <w:bCs/>
          <w:spacing w:val="0"/>
          <w:position w:val="2"/>
          <w:sz w:val="36"/>
          <w:szCs w:val="36"/>
        </w:rPr>
        <w:t>部门整体支出</w:t>
      </w:r>
    </w:p>
    <w:p w14:paraId="688B9A51">
      <w:pPr>
        <w:spacing w:before="85" w:line="492" w:lineRule="exact"/>
        <w:jc w:val="center"/>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绩效评价报告</w:t>
      </w:r>
    </w:p>
    <w:p w14:paraId="2877EE77">
      <w:pPr>
        <w:spacing w:line="55" w:lineRule="exact"/>
        <w:rPr>
          <w:rFonts w:hint="eastAsia" w:asciiTheme="minorEastAsia" w:hAnsiTheme="minorEastAsia" w:eastAsiaTheme="minorEastAsia" w:cstheme="minorEastAsia"/>
          <w:spacing w:val="0"/>
          <w:sz w:val="24"/>
          <w:szCs w:val="24"/>
        </w:rPr>
      </w:pPr>
    </w:p>
    <w:tbl>
      <w:tblPr>
        <w:tblStyle w:val="11"/>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811"/>
        <w:gridCol w:w="1963"/>
        <w:gridCol w:w="109"/>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9" w:type="dxa"/>
            <w:gridSpan w:val="6"/>
            <w:tcBorders>
              <w:left w:val="nil"/>
              <w:bottom w:val="nil"/>
              <w:right w:val="nil"/>
            </w:tcBorders>
            <w:vAlign w:val="center"/>
          </w:tcPr>
          <w:p w14:paraId="6E4CB95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 w:type="dxa"/>
            <w:vMerge w:val="restart"/>
            <w:tcBorders>
              <w:left w:val="nil"/>
              <w:bottom w:val="nil"/>
            </w:tcBorders>
            <w:textDirection w:val="tbRlV"/>
            <w:vAlign w:val="top"/>
          </w:tcPr>
          <w:p w14:paraId="75D206E8">
            <w:pPr>
              <w:pStyle w:val="12"/>
              <w:spacing w:before="229" w:line="209" w:lineRule="auto"/>
              <w:ind w:left="552"/>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center"/>
          </w:tcPr>
          <w:p w14:paraId="72555EE4">
            <w:pPr>
              <w:pStyle w:val="12"/>
              <w:keepNext w:val="0"/>
              <w:keepLines w:val="0"/>
              <w:pageBreakBefore w:val="0"/>
              <w:widowControl w:val="0"/>
              <w:kinsoku/>
              <w:wordWrap/>
              <w:overflowPunct w:val="0"/>
              <w:topLinePunct/>
              <w:autoSpaceDE/>
              <w:autoSpaceDN/>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center"/>
          </w:tcPr>
          <w:p w14:paraId="74F7AC73">
            <w:pPr>
              <w:pStyle w:val="12"/>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合水县段家集乡人民政府</w:t>
            </w:r>
            <w:r>
              <w:rPr>
                <w:rFonts w:hint="eastAsia" w:asciiTheme="minorEastAsia" w:hAnsiTheme="minorEastAsia" w:eastAsiaTheme="minorEastAsia" w:cstheme="minorEastAsia"/>
                <w:spacing w:val="0"/>
                <w:sz w:val="24"/>
                <w:szCs w:val="24"/>
              </w:rPr>
              <w:t>部门整体支出绩效评价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left w:val="nil"/>
              <w:bottom w:val="nil"/>
            </w:tcBorders>
            <w:textDirection w:val="tbRlV"/>
            <w:vAlign w:val="top"/>
          </w:tcPr>
          <w:p w14:paraId="6F7B67CA">
            <w:pPr>
              <w:rPr>
                <w:rFonts w:hint="eastAsia" w:asciiTheme="minorEastAsia" w:hAnsiTheme="minorEastAsia" w:eastAsiaTheme="minorEastAsia" w:cstheme="minorEastAsia"/>
                <w:spacing w:val="0"/>
                <w:sz w:val="24"/>
                <w:szCs w:val="24"/>
              </w:rPr>
            </w:pPr>
          </w:p>
        </w:tc>
        <w:tc>
          <w:tcPr>
            <w:tcW w:w="1807" w:type="dxa"/>
            <w:vAlign w:val="center"/>
          </w:tcPr>
          <w:p w14:paraId="2EA19E04">
            <w:pPr>
              <w:pStyle w:val="12"/>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811" w:type="dxa"/>
            <w:vAlign w:val="center"/>
          </w:tcPr>
          <w:p w14:paraId="0329762F">
            <w:pPr>
              <w:pStyle w:val="12"/>
              <w:keepNext w:val="0"/>
              <w:keepLines w:val="0"/>
              <w:pageBreakBefore w:val="0"/>
              <w:widowControl w:val="0"/>
              <w:kinsoku/>
              <w:wordWrap/>
              <w:overflowPunct w:val="0"/>
              <w:topLinePunct/>
              <w:autoSpaceDE/>
              <w:autoSpaceDN/>
              <w:bidi w:val="0"/>
              <w:adjustRightInd w:val="0"/>
              <w:snapToGrid w:val="0"/>
              <w:spacing w:line="220"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963" w:type="dxa"/>
            <w:vAlign w:val="center"/>
          </w:tcPr>
          <w:p w14:paraId="4C578508">
            <w:pPr>
              <w:pStyle w:val="12"/>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246" w:type="dxa"/>
            <w:gridSpan w:val="2"/>
            <w:tcBorders>
              <w:right w:val="nil"/>
            </w:tcBorders>
            <w:vAlign w:val="center"/>
          </w:tcPr>
          <w:p w14:paraId="224F3882">
            <w:pPr>
              <w:pStyle w:val="12"/>
              <w:keepNext w:val="0"/>
              <w:keepLines w:val="0"/>
              <w:pageBreakBefore w:val="0"/>
              <w:widowControl w:val="0"/>
              <w:kinsoku/>
              <w:wordWrap/>
              <w:overflowPunct w:val="0"/>
              <w:topLinePunct/>
              <w:autoSpaceDE/>
              <w:autoSpaceDN/>
              <w:bidi w:val="0"/>
              <w:adjustRightInd w:val="0"/>
              <w:snapToGrid w:val="0"/>
              <w:spacing w:line="219"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财政</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Merge w:val="continue"/>
            <w:tcBorders>
              <w:top w:val="nil"/>
              <w:left w:val="nil"/>
              <w:bottom w:val="nil"/>
            </w:tcBorders>
            <w:textDirection w:val="tbRlV"/>
            <w:vAlign w:val="top"/>
          </w:tcPr>
          <w:p w14:paraId="39E1F17B">
            <w:pPr>
              <w:rPr>
                <w:rFonts w:hint="eastAsia" w:asciiTheme="minorEastAsia" w:hAnsiTheme="minorEastAsia" w:eastAsiaTheme="minorEastAsia" w:cstheme="minorEastAsia"/>
                <w:spacing w:val="0"/>
                <w:sz w:val="24"/>
                <w:szCs w:val="24"/>
              </w:rPr>
            </w:pPr>
          </w:p>
        </w:tc>
        <w:tc>
          <w:tcPr>
            <w:tcW w:w="1807" w:type="dxa"/>
            <w:vAlign w:val="center"/>
          </w:tcPr>
          <w:p w14:paraId="64C60D4E">
            <w:pPr>
              <w:pStyle w:val="12"/>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委托评价单位</w:t>
            </w:r>
          </w:p>
        </w:tc>
        <w:tc>
          <w:tcPr>
            <w:tcW w:w="1811" w:type="dxa"/>
            <w:vAlign w:val="center"/>
          </w:tcPr>
          <w:p w14:paraId="5290E408">
            <w:pPr>
              <w:pStyle w:val="12"/>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县财政局</w:t>
            </w:r>
          </w:p>
        </w:tc>
        <w:tc>
          <w:tcPr>
            <w:tcW w:w="1963" w:type="dxa"/>
            <w:vAlign w:val="center"/>
          </w:tcPr>
          <w:p w14:paraId="6F2F0719">
            <w:pPr>
              <w:pStyle w:val="12"/>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评价机构名称</w:t>
            </w:r>
          </w:p>
        </w:tc>
        <w:tc>
          <w:tcPr>
            <w:tcW w:w="2246" w:type="dxa"/>
            <w:gridSpan w:val="2"/>
            <w:tcBorders>
              <w:right w:val="nil"/>
            </w:tcBorders>
            <w:vAlign w:val="center"/>
          </w:tcPr>
          <w:p w14:paraId="12367D41">
            <w:pPr>
              <w:pStyle w:val="12"/>
              <w:keepNext w:val="0"/>
              <w:keepLines w:val="0"/>
              <w:pageBreakBefore w:val="0"/>
              <w:widowControl w:val="0"/>
              <w:kinsoku/>
              <w:wordWrap/>
              <w:overflowPunct w:val="0"/>
              <w:topLinePunct/>
              <w:autoSpaceDE/>
              <w:autoSpaceDN/>
              <w:bidi w:val="0"/>
              <w:adjustRightInd w:val="0"/>
              <w:snapToGrid w:val="0"/>
              <w:spacing w:line="228" w:lineRule="auto"/>
              <w:ind w:left="0" w:righ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甘肃正成鸿诺会计师事务所（普通合伙）</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2" w:type="dxa"/>
            <w:vMerge w:val="continue"/>
            <w:tcBorders>
              <w:top w:val="nil"/>
              <w:left w:val="nil"/>
            </w:tcBorders>
            <w:textDirection w:val="tbRlV"/>
            <w:vAlign w:val="top"/>
          </w:tcPr>
          <w:p w14:paraId="287D7E1E">
            <w:pPr>
              <w:rPr>
                <w:rFonts w:hint="eastAsia" w:asciiTheme="minorEastAsia" w:hAnsiTheme="minorEastAsia" w:eastAsiaTheme="minorEastAsia" w:cstheme="minorEastAsia"/>
                <w:spacing w:val="0"/>
                <w:sz w:val="24"/>
                <w:szCs w:val="24"/>
              </w:rPr>
            </w:pPr>
          </w:p>
        </w:tc>
        <w:tc>
          <w:tcPr>
            <w:tcW w:w="1807" w:type="dxa"/>
            <w:vAlign w:val="center"/>
          </w:tcPr>
          <w:p w14:paraId="12295708">
            <w:pPr>
              <w:pStyle w:val="12"/>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center"/>
          </w:tcPr>
          <w:p w14:paraId="01CA1CD3">
            <w:pPr>
              <w:pStyle w:val="12"/>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合水县段家集乡人民政府</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702" w:type="dxa"/>
            <w:tcBorders>
              <w:left w:val="nil"/>
            </w:tcBorders>
            <w:textDirection w:val="tbRlV"/>
            <w:vAlign w:val="top"/>
          </w:tcPr>
          <w:p w14:paraId="3218D0BA">
            <w:pPr>
              <w:pStyle w:val="12"/>
              <w:spacing w:before="229" w:line="202" w:lineRule="auto"/>
              <w:ind w:left="20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实</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施</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position w:val="1"/>
                <w:sz w:val="24"/>
                <w:szCs w:val="24"/>
              </w:rPr>
              <w:t>目</w:t>
            </w:r>
            <w:r>
              <w:rPr>
                <w:rFonts w:hint="eastAsia" w:asciiTheme="minorEastAsia" w:hAnsiTheme="minorEastAsia" w:eastAsiaTheme="minorEastAsia" w:cstheme="minorEastAsia"/>
                <w:spacing w:val="0"/>
                <w:position w:val="1"/>
                <w:sz w:val="24"/>
                <w:szCs w:val="24"/>
              </w:rPr>
              <w:t xml:space="preserve"> </w:t>
            </w:r>
            <w:r>
              <w:rPr>
                <w:rFonts w:hint="eastAsia" w:asciiTheme="minorEastAsia" w:hAnsiTheme="minorEastAsia" w:eastAsiaTheme="minorEastAsia" w:cstheme="minorEastAsia"/>
                <w:b/>
                <w:bCs/>
                <w:spacing w:val="0"/>
                <w:sz w:val="24"/>
                <w:szCs w:val="24"/>
              </w:rPr>
              <w:t>的</w:t>
            </w:r>
          </w:p>
        </w:tc>
        <w:tc>
          <w:tcPr>
            <w:tcW w:w="7827" w:type="dxa"/>
            <w:gridSpan w:val="5"/>
            <w:tcBorders>
              <w:right w:val="nil"/>
            </w:tcBorders>
            <w:vAlign w:val="center"/>
          </w:tcPr>
          <w:p w14:paraId="44CDA8F0">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为强化部门支出责任，提升部门履职成效，提高财政资金使用效益，对</w:t>
            </w:r>
            <w:r>
              <w:rPr>
                <w:rFonts w:hint="eastAsia" w:asciiTheme="minorEastAsia" w:hAnsiTheme="minorEastAsia" w:eastAsiaTheme="minorEastAsia" w:cstheme="minorEastAsia"/>
                <w:spacing w:val="0"/>
                <w:sz w:val="24"/>
                <w:szCs w:val="24"/>
                <w:lang w:eastAsia="zh-CN"/>
              </w:rPr>
              <w:t>合水县段家集乡人民政府</w:t>
            </w:r>
            <w:r>
              <w:rPr>
                <w:rFonts w:hint="eastAsia" w:asciiTheme="minorEastAsia" w:hAnsiTheme="minorEastAsia" w:eastAsiaTheme="minorEastAsia" w:cstheme="minorEastAsia"/>
                <w:spacing w:val="0"/>
                <w:sz w:val="24"/>
                <w:szCs w:val="24"/>
                <w:lang w:val="en-US" w:eastAsia="zh-CN"/>
              </w:rPr>
              <w:t>2024</w:t>
            </w:r>
            <w:r>
              <w:rPr>
                <w:rFonts w:hint="eastAsia" w:asciiTheme="minorEastAsia" w:hAnsiTheme="minorEastAsia" w:eastAsiaTheme="minorEastAsia" w:cstheme="minorEastAsia"/>
                <w:spacing w:val="0"/>
                <w:sz w:val="24"/>
                <w:szCs w:val="24"/>
              </w:rPr>
              <w:t>年度部门整体支出开展绩效评价，评价工作以预算资金管理为主线，从部门规划、运行成本、管理效率、履职效能、社会效应、可持续发展能力和服务对象满意度等方面</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衡量部门整体及核心业务实施效果</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推动部门提高整体绩效水平。</w:t>
            </w: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left w:val="nil"/>
              <w:bottom w:val="nil"/>
            </w:tcBorders>
            <w:textDirection w:val="tbLrV"/>
            <w:vAlign w:val="top"/>
          </w:tcPr>
          <w:p w14:paraId="1ABA98AF">
            <w:pPr>
              <w:pStyle w:val="12"/>
              <w:spacing w:before="229" w:line="202" w:lineRule="auto"/>
              <w:ind w:left="204" w:leftChars="0" w:right="113" w:firstLine="241" w:firstLineChars="1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center"/>
          </w:tcPr>
          <w:p w14:paraId="41F20640">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811" w:type="dxa"/>
            <w:vAlign w:val="center"/>
          </w:tcPr>
          <w:p w14:paraId="2EE08C3F">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661.52</w:t>
            </w:r>
            <w:r>
              <w:rPr>
                <w:rFonts w:hint="eastAsia" w:asciiTheme="minorEastAsia" w:hAnsiTheme="minorEastAsia" w:eastAsiaTheme="minorEastAsia" w:cstheme="minorEastAsia"/>
                <w:spacing w:val="0"/>
                <w:sz w:val="24"/>
                <w:szCs w:val="24"/>
                <w:lang w:val="en-US" w:eastAsia="zh-CN"/>
              </w:rPr>
              <w:t>万元</w:t>
            </w:r>
          </w:p>
        </w:tc>
        <w:tc>
          <w:tcPr>
            <w:tcW w:w="2072" w:type="dxa"/>
            <w:gridSpan w:val="2"/>
            <w:vAlign w:val="center"/>
          </w:tcPr>
          <w:p w14:paraId="41C16993">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center"/>
          </w:tcPr>
          <w:p w14:paraId="05DBC0B0">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1,189.81</w:t>
            </w:r>
            <w:r>
              <w:rPr>
                <w:rFonts w:hint="eastAsia" w:asciiTheme="minorEastAsia" w:hAnsiTheme="minorEastAsia" w:eastAsiaTheme="minorEastAsia" w:cstheme="minorEastAsia"/>
                <w:spacing w:val="0"/>
                <w:sz w:val="24"/>
                <w:szCs w:val="24"/>
                <w:lang w:val="en-US" w:eastAsia="zh-CN"/>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E280996">
            <w:pPr>
              <w:rPr>
                <w:rFonts w:hint="eastAsia" w:asciiTheme="minorEastAsia" w:hAnsiTheme="minorEastAsia" w:eastAsiaTheme="minorEastAsia" w:cstheme="minorEastAsia"/>
                <w:spacing w:val="0"/>
                <w:sz w:val="24"/>
                <w:szCs w:val="24"/>
                <w:highlight w:val="none"/>
              </w:rPr>
            </w:pPr>
          </w:p>
        </w:tc>
        <w:tc>
          <w:tcPr>
            <w:tcW w:w="1807" w:type="dxa"/>
            <w:vAlign w:val="center"/>
          </w:tcPr>
          <w:p w14:paraId="4D05CF04">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right"/>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811" w:type="dxa"/>
            <w:vAlign w:val="center"/>
          </w:tcPr>
          <w:p w14:paraId="290B9AA6">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p>
        </w:tc>
        <w:tc>
          <w:tcPr>
            <w:tcW w:w="2072" w:type="dxa"/>
            <w:gridSpan w:val="2"/>
            <w:vAlign w:val="center"/>
          </w:tcPr>
          <w:p w14:paraId="66105287">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right"/>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center"/>
          </w:tcPr>
          <w:p w14:paraId="1C1E23BB">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imes New Roman" w:hAnsi="Times New Roman" w:eastAsia="仿宋_GB2312" w:cstheme="minorBidi"/>
                <w:b w:val="0"/>
                <w:bCs w:val="0"/>
                <w:kern w:val="2"/>
                <w:sz w:val="24"/>
                <w:szCs w:val="24"/>
                <w:lang w:val="en-US" w:eastAsia="zh-CN" w:bidi="ar-SA"/>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486ED73E">
            <w:pPr>
              <w:rPr>
                <w:rFonts w:hint="eastAsia" w:asciiTheme="minorEastAsia" w:hAnsiTheme="minorEastAsia" w:eastAsiaTheme="minorEastAsia" w:cstheme="minorEastAsia"/>
                <w:spacing w:val="0"/>
                <w:sz w:val="24"/>
                <w:szCs w:val="24"/>
                <w:highlight w:val="none"/>
              </w:rPr>
            </w:pPr>
          </w:p>
        </w:tc>
        <w:tc>
          <w:tcPr>
            <w:tcW w:w="1807" w:type="dxa"/>
            <w:vAlign w:val="center"/>
          </w:tcPr>
          <w:p w14:paraId="3B7E900E">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right"/>
              <w:textAlignment w:val="baseline"/>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811" w:type="dxa"/>
            <w:vAlign w:val="center"/>
          </w:tcPr>
          <w:p w14:paraId="190C312A">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661.52</w:t>
            </w:r>
            <w:r>
              <w:rPr>
                <w:rFonts w:hint="eastAsia" w:asciiTheme="minorEastAsia" w:hAnsiTheme="minorEastAsia" w:eastAsiaTheme="minorEastAsia" w:cstheme="minorEastAsia"/>
                <w:spacing w:val="0"/>
                <w:sz w:val="24"/>
                <w:szCs w:val="24"/>
                <w:lang w:val="en-US" w:eastAsia="zh-CN"/>
              </w:rPr>
              <w:t>万元</w:t>
            </w:r>
          </w:p>
        </w:tc>
        <w:tc>
          <w:tcPr>
            <w:tcW w:w="2072" w:type="dxa"/>
            <w:gridSpan w:val="2"/>
            <w:vAlign w:val="center"/>
          </w:tcPr>
          <w:p w14:paraId="2DF377AF">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right"/>
              <w:textAlignment w:val="baseline"/>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center"/>
          </w:tcPr>
          <w:p w14:paraId="3710645A">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1,189.81</w:t>
            </w:r>
            <w:r>
              <w:rPr>
                <w:rFonts w:hint="eastAsia" w:asciiTheme="minorEastAsia" w:hAnsiTheme="minorEastAsia" w:eastAsiaTheme="minorEastAsia" w:cstheme="minorEastAsia"/>
                <w:spacing w:val="0"/>
                <w:sz w:val="24"/>
                <w:szCs w:val="24"/>
                <w:lang w:val="en-US" w:eastAsia="zh-CN"/>
              </w:rPr>
              <w:t>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239453F">
            <w:pPr>
              <w:rPr>
                <w:rFonts w:hint="eastAsia" w:asciiTheme="minorEastAsia" w:hAnsiTheme="minorEastAsia" w:eastAsiaTheme="minorEastAsia" w:cstheme="minorEastAsia"/>
                <w:spacing w:val="0"/>
                <w:sz w:val="24"/>
                <w:szCs w:val="24"/>
                <w:highlight w:val="none"/>
              </w:rPr>
            </w:pPr>
          </w:p>
        </w:tc>
        <w:tc>
          <w:tcPr>
            <w:tcW w:w="1807" w:type="dxa"/>
            <w:vAlign w:val="center"/>
          </w:tcPr>
          <w:p w14:paraId="6A7167D4">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811" w:type="dxa"/>
            <w:vAlign w:val="center"/>
          </w:tcPr>
          <w:p w14:paraId="64F54DE7">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1,189.81</w:t>
            </w:r>
            <w:r>
              <w:rPr>
                <w:rFonts w:hint="eastAsia" w:asciiTheme="minorEastAsia" w:hAnsiTheme="minorEastAsia" w:eastAsiaTheme="minorEastAsia" w:cstheme="minorEastAsia"/>
                <w:spacing w:val="0"/>
                <w:sz w:val="24"/>
                <w:szCs w:val="24"/>
                <w:lang w:val="en-US" w:eastAsia="zh-CN"/>
              </w:rPr>
              <w:t>万元</w:t>
            </w:r>
          </w:p>
        </w:tc>
        <w:tc>
          <w:tcPr>
            <w:tcW w:w="2072" w:type="dxa"/>
            <w:gridSpan w:val="2"/>
            <w:vAlign w:val="center"/>
          </w:tcPr>
          <w:p w14:paraId="5F8D6931">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center"/>
          </w:tcPr>
          <w:p w14:paraId="5D763974">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default"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0</w:t>
            </w:r>
            <w:r>
              <w:rPr>
                <w:rFonts w:hint="eastAsia" w:asciiTheme="minorEastAsia" w:hAnsiTheme="minorEastAsia" w:eastAsiaTheme="minorEastAsia" w:cstheme="minorEastAsia"/>
                <w:spacing w:val="0"/>
                <w:sz w:val="24"/>
                <w:szCs w:val="24"/>
                <w:lang w:val="en-US" w:eastAsia="zh-CN"/>
              </w:rPr>
              <w:t>万元</w:t>
            </w:r>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2" w:type="dxa"/>
            <w:vMerge w:val="continue"/>
            <w:tcBorders>
              <w:top w:val="nil"/>
              <w:left w:val="nil"/>
            </w:tcBorders>
            <w:vAlign w:val="top"/>
          </w:tcPr>
          <w:p w14:paraId="3AEA6B58">
            <w:pPr>
              <w:rPr>
                <w:rFonts w:hint="eastAsia" w:asciiTheme="minorEastAsia" w:hAnsiTheme="minorEastAsia" w:eastAsiaTheme="minorEastAsia" w:cstheme="minorEastAsia"/>
                <w:spacing w:val="0"/>
                <w:sz w:val="24"/>
                <w:szCs w:val="24"/>
                <w:highlight w:val="none"/>
              </w:rPr>
            </w:pPr>
          </w:p>
        </w:tc>
        <w:tc>
          <w:tcPr>
            <w:tcW w:w="1807" w:type="dxa"/>
            <w:vAlign w:val="center"/>
          </w:tcPr>
          <w:p w14:paraId="0818A1CE">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100%</w:t>
            </w:r>
          </w:p>
        </w:tc>
      </w:tr>
    </w:tbl>
    <w:p w14:paraId="3298B6A8">
      <w:pPr>
        <w:spacing w:before="197" w:line="220" w:lineRule="auto"/>
        <w:ind w:left="331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p w14:paraId="3728A160">
      <w:pPr>
        <w:spacing w:line="83" w:lineRule="exact"/>
        <w:rPr>
          <w:rFonts w:hint="eastAsia" w:asciiTheme="minorEastAsia" w:hAnsiTheme="minorEastAsia" w:eastAsiaTheme="minorEastAsia" w:cstheme="minorEastAsia"/>
          <w:spacing w:val="0"/>
          <w:sz w:val="24"/>
          <w:szCs w:val="24"/>
        </w:rPr>
      </w:pPr>
    </w:p>
    <w:tbl>
      <w:tblPr>
        <w:tblStyle w:val="11"/>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13" w:hRule="atLeast"/>
        </w:trPr>
        <w:tc>
          <w:tcPr>
            <w:tcW w:w="1393" w:type="dxa"/>
            <w:tcBorders>
              <w:left w:val="nil"/>
            </w:tcBorders>
            <w:vAlign w:val="center"/>
          </w:tcPr>
          <w:p w14:paraId="325593E1">
            <w:pPr>
              <w:pStyle w:val="12"/>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年度绩效</w:t>
            </w:r>
          </w:p>
          <w:p w14:paraId="6261B586">
            <w:pPr>
              <w:pStyle w:val="12"/>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目标</w:t>
            </w:r>
          </w:p>
        </w:tc>
        <w:tc>
          <w:tcPr>
            <w:tcW w:w="7136" w:type="dxa"/>
            <w:tcBorders>
              <w:right w:val="nil"/>
            </w:tcBorders>
            <w:vAlign w:val="center"/>
          </w:tcPr>
          <w:p w14:paraId="2915ED1D">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1.促进经济发展、改善民生；</w:t>
            </w:r>
          </w:p>
          <w:p w14:paraId="6726342A">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2.加大对基础设施与公用设施建设的管理；</w:t>
            </w:r>
          </w:p>
          <w:p w14:paraId="61283A58">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3.大力发展文化事业，丰富人民群众文化生活，打造文明乡镇；</w:t>
            </w:r>
          </w:p>
          <w:p w14:paraId="6AFAE305">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highlight w:val="none"/>
                <w:lang w:val="en-US" w:eastAsia="zh-CN"/>
              </w:rPr>
              <w:t>4.改善农村环境，彻底解决农村环境卫生脏、乱、差问题，实现农村环境卫生管理的常态化</w:t>
            </w:r>
            <w:r>
              <w:rPr>
                <w:rFonts w:hint="eastAsia" w:asciiTheme="minorEastAsia" w:hAnsiTheme="minorEastAsia" w:eastAsiaTheme="minorEastAsia" w:cstheme="minorEastAsia"/>
                <w:spacing w:val="0"/>
                <w:sz w:val="24"/>
                <w:szCs w:val="24"/>
                <w:highlight w:val="none"/>
                <w:lang w:eastAsia="zh-CN"/>
              </w:rPr>
              <w:t>。</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529" w:type="dxa"/>
            <w:gridSpan w:val="2"/>
            <w:tcBorders>
              <w:left w:val="nil"/>
              <w:right w:val="nil"/>
            </w:tcBorders>
            <w:vAlign w:val="top"/>
          </w:tcPr>
          <w:p w14:paraId="54E43F7D">
            <w:pPr>
              <w:pStyle w:val="12"/>
              <w:spacing w:before="222" w:line="219" w:lineRule="auto"/>
              <w:ind w:left="331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3" w:type="dxa"/>
            <w:tcBorders>
              <w:left w:val="nil"/>
            </w:tcBorders>
            <w:vAlign w:val="center"/>
          </w:tcPr>
          <w:p w14:paraId="4635A4B6">
            <w:pPr>
              <w:pStyle w:val="12"/>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2"/>
              <w:keepNext w:val="0"/>
              <w:keepLines w:val="0"/>
              <w:pageBreakBefore w:val="0"/>
              <w:widowControl w:val="0"/>
              <w:kinsoku/>
              <w:wordWrap/>
              <w:overflowPunct w:val="0"/>
              <w:topLinePunct/>
              <w:autoSpaceDE/>
              <w:autoSpaceDN/>
              <w:bidi w:val="0"/>
              <w:adjustRightInd w:val="0"/>
              <w:snapToGrid w:val="0"/>
              <w:spacing w:line="400" w:lineRule="exact"/>
              <w:ind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2024年度</w:t>
            </w:r>
            <w:r>
              <w:rPr>
                <w:rFonts w:hint="eastAsia" w:asciiTheme="minorEastAsia" w:hAnsiTheme="minorEastAsia" w:eastAsiaTheme="minorEastAsia" w:cstheme="minorEastAsia"/>
                <w:spacing w:val="0"/>
                <w:sz w:val="24"/>
                <w:szCs w:val="24"/>
                <w:lang w:eastAsia="zh-CN"/>
              </w:rPr>
              <w:t>合水县段家集乡人民政府</w:t>
            </w:r>
            <w:r>
              <w:rPr>
                <w:rFonts w:hint="eastAsia" w:asciiTheme="minorEastAsia" w:hAnsiTheme="minorEastAsia" w:eastAsiaTheme="minorEastAsia" w:cstheme="minorEastAsia"/>
                <w:spacing w:val="0"/>
                <w:sz w:val="24"/>
                <w:szCs w:val="24"/>
              </w:rPr>
              <w:t>部门整体支出绩效评价</w:t>
            </w:r>
          </w:p>
        </w:tc>
      </w:tr>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3" w:type="dxa"/>
            <w:tcBorders>
              <w:left w:val="nil"/>
            </w:tcBorders>
            <w:vAlign w:val="center"/>
          </w:tcPr>
          <w:p w14:paraId="6A1272BF">
            <w:pPr>
              <w:pStyle w:val="12"/>
              <w:keepNext/>
              <w:keepLines/>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36" w:type="dxa"/>
            <w:tcBorders>
              <w:right w:val="nil"/>
            </w:tcBorders>
            <w:vAlign w:val="center"/>
          </w:tcPr>
          <w:p w14:paraId="0A675F1D">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1.《中华人民共和国预算法》；</w:t>
            </w:r>
          </w:p>
          <w:p w14:paraId="423F2509">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2.《中共中央国务院关于全面实施预算绩效管理的管理》（中发〔2018〕34号）；</w:t>
            </w:r>
          </w:p>
          <w:p w14:paraId="78ADBC98">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3.《财政部关于印发〈项目支出绩效评价管理办法〉的通知》（财预〔2020〕10号）；</w:t>
            </w:r>
          </w:p>
          <w:p w14:paraId="4779F297">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4.《中共中央国务院关于全面实施预算绩效管理的意见》（中发〔2018〕34号）；</w:t>
            </w:r>
          </w:p>
          <w:p w14:paraId="02E8F96B">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5.中共甘肃省委甘肃省人民政府《关于全面实施预算绩效管理的实施意见》（甘发〔2018〕32号）；</w:t>
            </w:r>
          </w:p>
          <w:p w14:paraId="33D58574">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6.《甘肃省财政厅关于印发预算绩效管理工作成效量化评分标准的通知》（甘财绩〔2025〕3号）；</w:t>
            </w:r>
          </w:p>
          <w:p w14:paraId="5D24E64A">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.《中共合水县委合水县人民政府关于进一步加强预算绩效管理工作的实施意见》（合发〔2024〕7号）；</w:t>
            </w:r>
          </w:p>
          <w:p w14:paraId="4CAEC29D">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.《关于开展2025年部门和财政重点绩效评价评估工作的通知》（合财发〔2025〕59号）</w:t>
            </w:r>
            <w:r>
              <w:rPr>
                <w:rFonts w:hint="eastAsia" w:asciiTheme="minorEastAsia" w:hAnsiTheme="minorEastAsia" w:eastAsiaTheme="minorEastAsia" w:cstheme="minorEastAsia"/>
                <w:spacing w:val="0"/>
                <w:sz w:val="24"/>
                <w:szCs w:val="24"/>
                <w:lang w:eastAsia="zh-CN"/>
              </w:rPr>
              <w:t>。</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1393" w:type="dxa"/>
            <w:tcBorders>
              <w:left w:val="nil"/>
            </w:tcBorders>
            <w:vAlign w:val="center"/>
          </w:tcPr>
          <w:p w14:paraId="6D0697B8">
            <w:pPr>
              <w:pStyle w:val="12"/>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绩效评价</w:t>
            </w:r>
            <w:r>
              <w:rPr>
                <w:rFonts w:hint="eastAsia"/>
                <w:b/>
                <w:bCs/>
                <w:spacing w:val="0"/>
                <w:lang w:val="en-US" w:eastAsia="zh-CN"/>
              </w:rPr>
              <w:t xml:space="preserve">  </w:t>
            </w:r>
            <w:bookmarkStart w:id="0" w:name="_GoBack"/>
            <w:bookmarkEnd w:id="0"/>
            <w:r>
              <w:rPr>
                <w:b/>
                <w:bCs/>
                <w:spacing w:val="0"/>
              </w:rPr>
              <w:t>指标体系</w:t>
            </w:r>
          </w:p>
        </w:tc>
        <w:tc>
          <w:tcPr>
            <w:tcW w:w="7136" w:type="dxa"/>
            <w:tcBorders>
              <w:right w:val="nil"/>
            </w:tcBorders>
            <w:vAlign w:val="center"/>
          </w:tcPr>
          <w:p w14:paraId="1F1E9C00">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spacing w:val="0"/>
              </w:rPr>
            </w:pPr>
            <w:r>
              <w:rPr>
                <w:rFonts w:hint="eastAsia" w:asciiTheme="minorEastAsia" w:hAnsiTheme="minorEastAsia" w:eastAsiaTheme="minorEastAsia" w:cstheme="minorEastAsia"/>
                <w:spacing w:val="0"/>
                <w:sz w:val="24"/>
                <w:szCs w:val="24"/>
              </w:rPr>
              <w:t>围绕部门规划、运行成本、管理效率、履职效能、社会效应、可持续发展能力、服务对象满意度等七个维度构建绩效评价指标体系，其中</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一级指标7个、二级指标1</w:t>
            </w:r>
            <w:r>
              <w:rPr>
                <w:rFonts w:hint="eastAsia" w:asciiTheme="minorEastAsia" w:hAnsiTheme="minorEastAsia" w:eastAsia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rPr>
              <w:t>个、三级指标</w:t>
            </w:r>
            <w:r>
              <w:rPr>
                <w:rFonts w:hint="eastAsia" w:asciiTheme="minorEastAsia" w:hAnsiTheme="minorEastAsia" w:eastAsiaTheme="minorEastAsia" w:cstheme="minorEastAsia"/>
                <w:spacing w:val="0"/>
                <w:sz w:val="24"/>
                <w:szCs w:val="24"/>
                <w:lang w:val="en-US" w:eastAsia="zh-CN"/>
              </w:rPr>
              <w:t>29</w:t>
            </w:r>
            <w:r>
              <w:rPr>
                <w:rFonts w:hint="eastAsia" w:asciiTheme="minorEastAsia" w:hAnsiTheme="minorEastAsia" w:eastAsiaTheme="minorEastAsia" w:cstheme="minorEastAsia"/>
                <w:spacing w:val="0"/>
                <w:sz w:val="24"/>
                <w:szCs w:val="24"/>
              </w:rPr>
              <w:t>个。部门规划等一级指标占比分别为</w:t>
            </w:r>
            <w:r>
              <w:rPr>
                <w:rFonts w:hint="eastAsia" w:asciiTheme="minorEastAsia" w:hAnsiTheme="minorEastAsia" w:eastAsiaTheme="minorEastAsia" w:cstheme="minorEastAsia"/>
                <w:spacing w:val="0"/>
                <w:sz w:val="24"/>
                <w:szCs w:val="24"/>
                <w:lang w:val="en-US" w:eastAsia="zh-CN"/>
              </w:rPr>
              <w:t>12</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23</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30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5</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393" w:type="dxa"/>
            <w:tcBorders>
              <w:left w:val="nil"/>
            </w:tcBorders>
            <w:vAlign w:val="center"/>
          </w:tcPr>
          <w:p w14:paraId="590B79C0">
            <w:pPr>
              <w:pStyle w:val="12"/>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36" w:type="dxa"/>
            <w:tcBorders>
              <w:right w:val="nil"/>
            </w:tcBorders>
            <w:vAlign w:val="center"/>
          </w:tcPr>
          <w:p w14:paraId="532BE00F">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393" w:type="dxa"/>
            <w:tcBorders>
              <w:left w:val="nil"/>
            </w:tcBorders>
            <w:vAlign w:val="center"/>
          </w:tcPr>
          <w:p w14:paraId="43DFCB98">
            <w:pPr>
              <w:pStyle w:val="12"/>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数据采集及处理办法</w:t>
            </w:r>
          </w:p>
        </w:tc>
        <w:tc>
          <w:tcPr>
            <w:tcW w:w="7136" w:type="dxa"/>
            <w:tcBorders>
              <w:right w:val="nil"/>
            </w:tcBorders>
            <w:vAlign w:val="center"/>
          </w:tcPr>
          <w:p w14:paraId="58423AA5">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信息与数据收集采取抽样调查、现场调研、结构式</w:t>
            </w:r>
            <w:r>
              <w:rPr>
                <w:rFonts w:hint="eastAsia" w:asciiTheme="minorEastAsia" w:hAnsiTheme="minorEastAsia" w:eastAsiaTheme="minorEastAsia" w:cstheme="minorEastAsia"/>
                <w:spacing w:val="0"/>
                <w:sz w:val="24"/>
                <w:szCs w:val="24"/>
                <w:lang w:eastAsia="zh-CN"/>
              </w:rPr>
              <w:t>访谈</w:t>
            </w:r>
            <w:r>
              <w:rPr>
                <w:rFonts w:hint="eastAsia" w:asciiTheme="minorEastAsia" w:hAnsiTheme="minorEastAsia" w:eastAsiaTheme="minorEastAsia" w:cstheme="minorEastAsia"/>
                <w:spacing w:val="0"/>
                <w:sz w:val="24"/>
                <w:szCs w:val="24"/>
              </w:rPr>
              <w:t>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393" w:type="dxa"/>
            <w:tcBorders>
              <w:left w:val="nil"/>
            </w:tcBorders>
            <w:vAlign w:val="center"/>
          </w:tcPr>
          <w:p w14:paraId="7A26A088">
            <w:pPr>
              <w:pStyle w:val="12"/>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绩效评价</w:t>
            </w:r>
            <w:r>
              <w:rPr>
                <w:rFonts w:hint="eastAsia"/>
                <w:b/>
                <w:bCs/>
                <w:spacing w:val="0"/>
                <w:lang w:val="en-US" w:eastAsia="zh-CN"/>
              </w:rPr>
              <w:t xml:space="preserve">  </w:t>
            </w:r>
            <w:r>
              <w:rPr>
                <w:b/>
                <w:bCs/>
                <w:spacing w:val="0"/>
              </w:rPr>
              <w:t>工作过程</w:t>
            </w:r>
          </w:p>
        </w:tc>
        <w:tc>
          <w:tcPr>
            <w:tcW w:w="7136" w:type="dxa"/>
            <w:tcBorders>
              <w:right w:val="nil"/>
            </w:tcBorders>
            <w:vAlign w:val="center"/>
          </w:tcPr>
          <w:p w14:paraId="1733217E">
            <w:pPr>
              <w:pStyle w:val="12"/>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接受委托任务、</w:t>
            </w:r>
            <w:r>
              <w:rPr>
                <w:rFonts w:hint="eastAsia" w:asciiTheme="minorEastAsia" w:hAnsiTheme="minorEastAsia" w:eastAsiaTheme="minorEastAsia" w:cstheme="minorEastAsia"/>
                <w:spacing w:val="0"/>
                <w:sz w:val="24"/>
                <w:szCs w:val="24"/>
                <w:lang w:eastAsia="zh-CN"/>
              </w:rPr>
              <w:t>拟订方案</w:t>
            </w:r>
            <w:r>
              <w:rPr>
                <w:rFonts w:hint="eastAsia" w:asciiTheme="minorEastAsia" w:hAnsiTheme="minorEastAsia" w:eastAsiaTheme="minorEastAsia" w:cstheme="minorEastAsia"/>
                <w:spacing w:val="0"/>
                <w:sz w:val="24"/>
                <w:szCs w:val="24"/>
              </w:rPr>
              <w:t>、开展培训、现场评价、撰写报告、资料归档</w:t>
            </w:r>
            <w:r>
              <w:rPr>
                <w:rFonts w:hint="eastAsia" w:asciiTheme="minorEastAsia" w:hAnsiTheme="minorEastAsia" w:eastAsiaTheme="minorEastAsia" w:cstheme="minorEastAsia"/>
                <w:spacing w:val="0"/>
                <w:sz w:val="24"/>
                <w:szCs w:val="24"/>
                <w:lang w:eastAsia="zh-CN"/>
              </w:rPr>
              <w:t>。</w:t>
            </w:r>
          </w:p>
        </w:tc>
      </w:tr>
    </w:tbl>
    <w:p w14:paraId="12ABA30F">
      <w:pPr>
        <w:pStyle w:val="3"/>
        <w:spacing w:before="238" w:line="219" w:lineRule="auto"/>
        <w:ind w:left="297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p w14:paraId="5945FE5F">
      <w:pPr>
        <w:spacing w:line="124" w:lineRule="exact"/>
        <w:rPr>
          <w:rFonts w:hint="eastAsia" w:asciiTheme="minorEastAsia" w:hAnsiTheme="minorEastAsia" w:eastAsiaTheme="minorEastAsia" w:cstheme="minorEastAsia"/>
          <w:spacing w:val="0"/>
          <w:sz w:val="24"/>
          <w:szCs w:val="24"/>
        </w:rPr>
      </w:pPr>
    </w:p>
    <w:tbl>
      <w:tblPr>
        <w:tblStyle w:val="11"/>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875"/>
        <w:gridCol w:w="855"/>
        <w:gridCol w:w="770"/>
        <w:gridCol w:w="814"/>
        <w:gridCol w:w="832"/>
        <w:gridCol w:w="668"/>
        <w:gridCol w:w="1080"/>
        <w:gridCol w:w="996"/>
        <w:gridCol w:w="830"/>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809" w:type="dxa"/>
            <w:tcBorders>
              <w:left w:val="nil"/>
            </w:tcBorders>
            <w:vAlign w:val="center"/>
          </w:tcPr>
          <w:p w14:paraId="08AA7ECA">
            <w:pPr>
              <w:pStyle w:val="12"/>
              <w:keepNext w:val="0"/>
              <w:keepLines w:val="0"/>
              <w:pageBreakBefore w:val="0"/>
              <w:widowControl w:val="0"/>
              <w:kinsoku/>
              <w:wordWrap/>
              <w:overflowPunct w:val="0"/>
              <w:topLinePunct/>
              <w:autoSpaceDE/>
              <w:autoSpaceDN/>
              <w:bidi w:val="0"/>
              <w:adjustRightInd w:val="0"/>
              <w:snapToGrid w:val="0"/>
              <w:spacing w:line="220" w:lineRule="auto"/>
              <w:ind w:left="0"/>
              <w:jc w:val="center"/>
              <w:textAlignment w:val="baseline"/>
              <w:rPr>
                <w:rFonts w:hint="eastAsia" w:asciiTheme="minorEastAsia" w:hAnsiTheme="minorEastAsia" w:eastAsiaTheme="minorEastAsia" w:cstheme="minorEastAsia"/>
                <w:spacing w:val="0"/>
                <w:sz w:val="24"/>
                <w:szCs w:val="24"/>
              </w:rPr>
            </w:pPr>
            <w:r>
              <w:rPr>
                <w:b/>
                <w:bCs/>
                <w:spacing w:val="-6"/>
              </w:rPr>
              <w:t>综合评价结论</w:t>
            </w:r>
          </w:p>
        </w:tc>
        <w:tc>
          <w:tcPr>
            <w:tcW w:w="1730" w:type="dxa"/>
            <w:gridSpan w:val="2"/>
            <w:vAlign w:val="center"/>
          </w:tcPr>
          <w:p w14:paraId="45670BCB">
            <w:pPr>
              <w:pStyle w:val="12"/>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416" w:type="dxa"/>
            <w:gridSpan w:val="3"/>
            <w:vAlign w:val="center"/>
          </w:tcPr>
          <w:p w14:paraId="2D1E3793">
            <w:pPr>
              <w:pStyle w:val="12"/>
              <w:keepNext w:val="0"/>
              <w:keepLines w:val="0"/>
              <w:pageBreakBefore w:val="0"/>
              <w:widowControl w:val="0"/>
              <w:kinsoku/>
              <w:wordWrap/>
              <w:overflowPunct w:val="0"/>
              <w:topLinePunct/>
              <w:autoSpaceDE/>
              <w:autoSpaceDN/>
              <w:bidi w:val="0"/>
              <w:adjustRightInd w:val="0"/>
              <w:snapToGrid w:val="0"/>
              <w:spacing w:line="183" w:lineRule="auto"/>
              <w:ind w:left="0"/>
              <w:jc w:val="center"/>
              <w:textAlignment w:val="baseline"/>
              <w:rPr>
                <w:rFonts w:hint="eastAsia" w:asciiTheme="minorEastAsia" w:hAnsiTheme="minorEastAsia" w:eastAsiaTheme="minorEastAsia" w:cstheme="minorEastAsia"/>
                <w:spacing w:val="0"/>
                <w:sz w:val="24"/>
                <w:szCs w:val="24"/>
                <w:lang w:val="en-US" w:eastAsia="zh-CN"/>
              </w:rPr>
            </w:pPr>
          </w:p>
          <w:p w14:paraId="0D5E9CB2">
            <w:pPr>
              <w:pStyle w:val="12"/>
              <w:keepNext w:val="0"/>
              <w:keepLines w:val="0"/>
              <w:pageBreakBefore w:val="0"/>
              <w:widowControl w:val="0"/>
              <w:kinsoku/>
              <w:wordWrap/>
              <w:overflowPunct w:val="0"/>
              <w:topLinePunct/>
              <w:autoSpaceDE/>
              <w:autoSpaceDN/>
              <w:bidi w:val="0"/>
              <w:adjustRightInd w:val="0"/>
              <w:snapToGrid w:val="0"/>
              <w:spacing w:line="183" w:lineRule="auto"/>
              <w:ind w:left="0"/>
              <w:jc w:val="center"/>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89分</w:t>
            </w:r>
          </w:p>
          <w:p w14:paraId="0D8C4482">
            <w:pPr>
              <w:pStyle w:val="12"/>
              <w:keepNext w:val="0"/>
              <w:keepLines w:val="0"/>
              <w:pageBreakBefore w:val="0"/>
              <w:widowControl w:val="0"/>
              <w:kinsoku/>
              <w:wordWrap/>
              <w:overflowPunct w:val="0"/>
              <w:topLinePunct/>
              <w:autoSpaceDE/>
              <w:autoSpaceDN/>
              <w:bidi w:val="0"/>
              <w:adjustRightInd w:val="0"/>
              <w:snapToGrid w:val="0"/>
              <w:spacing w:line="183" w:lineRule="auto"/>
              <w:ind w:left="0"/>
              <w:jc w:val="center"/>
              <w:textAlignment w:val="baseline"/>
              <w:rPr>
                <w:rFonts w:hint="eastAsia" w:asciiTheme="minorEastAsia" w:hAnsiTheme="minorEastAsia" w:eastAsiaTheme="minorEastAsia" w:cstheme="minorEastAsia"/>
                <w:spacing w:val="0"/>
                <w:sz w:val="24"/>
                <w:szCs w:val="24"/>
                <w:lang w:val="en-US" w:eastAsia="zh-CN"/>
              </w:rPr>
            </w:pPr>
          </w:p>
        </w:tc>
        <w:tc>
          <w:tcPr>
            <w:tcW w:w="1748" w:type="dxa"/>
            <w:gridSpan w:val="2"/>
            <w:vAlign w:val="center"/>
          </w:tcPr>
          <w:p w14:paraId="0722B496">
            <w:pPr>
              <w:pStyle w:val="12"/>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1826" w:type="dxa"/>
            <w:gridSpan w:val="2"/>
            <w:tcBorders>
              <w:right w:val="nil"/>
            </w:tcBorders>
            <w:vAlign w:val="center"/>
          </w:tcPr>
          <w:p w14:paraId="6BE09941">
            <w:pPr>
              <w:pStyle w:val="12"/>
              <w:keepNext w:val="0"/>
              <w:keepLines w:val="0"/>
              <w:pageBreakBefore w:val="0"/>
              <w:widowControl w:val="0"/>
              <w:kinsoku/>
              <w:wordWrap/>
              <w:overflowPunct w:val="0"/>
              <w:topLinePunct/>
              <w:autoSpaceDE/>
              <w:autoSpaceDN/>
              <w:bidi w:val="0"/>
              <w:adjustRightInd w:val="0"/>
              <w:snapToGrid w:val="0"/>
              <w:spacing w:line="182" w:lineRule="auto"/>
              <w:ind w:left="0"/>
              <w:jc w:val="center"/>
              <w:textAlignment w:val="baseline"/>
              <w:rPr>
                <w:rFonts w:hint="eastAsia" w:asciiTheme="minorEastAsia" w:hAnsiTheme="minorEastAsia" w:eastAsiaTheme="minorEastAsia" w:cstheme="minorEastAsia"/>
                <w:spacing w:val="0"/>
                <w:sz w:val="24"/>
                <w:szCs w:val="24"/>
                <w:lang w:val="en-US" w:eastAsia="zh-CN"/>
              </w:rPr>
            </w:pPr>
          </w:p>
          <w:p w14:paraId="55BDAB93">
            <w:pPr>
              <w:pStyle w:val="12"/>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良</w:t>
            </w:r>
          </w:p>
          <w:p w14:paraId="66253B33">
            <w:pPr>
              <w:pStyle w:val="12"/>
              <w:keepNext w:val="0"/>
              <w:keepLines w:val="0"/>
              <w:pageBreakBefore w:val="0"/>
              <w:widowControl w:val="0"/>
              <w:kinsoku/>
              <w:wordWrap/>
              <w:overflowPunct w:val="0"/>
              <w:topLinePunct/>
              <w:autoSpaceDE/>
              <w:autoSpaceDN/>
              <w:bidi w:val="0"/>
              <w:adjustRightInd w:val="0"/>
              <w:snapToGrid w:val="0"/>
              <w:spacing w:line="182" w:lineRule="auto"/>
              <w:ind w:left="0"/>
              <w:jc w:val="center"/>
              <w:textAlignment w:val="baseline"/>
              <w:rPr>
                <w:rFonts w:hint="eastAsia" w:asciiTheme="minorEastAsia" w:hAnsiTheme="minorEastAsia" w:eastAsiaTheme="minorEastAsia" w:cstheme="minorEastAsia"/>
                <w:spacing w:val="0"/>
                <w:sz w:val="24"/>
                <w:szCs w:val="24"/>
                <w:lang w:val="en-US" w:eastAsia="zh-CN"/>
              </w:rPr>
            </w:pP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809" w:type="dxa"/>
            <w:vMerge w:val="restart"/>
            <w:tcBorders>
              <w:left w:val="nil"/>
              <w:bottom w:val="nil"/>
            </w:tcBorders>
            <w:vAlign w:val="center"/>
          </w:tcPr>
          <w:p w14:paraId="4257DBB2">
            <w:pPr>
              <w:pStyle w:val="12"/>
              <w:keepNext w:val="0"/>
              <w:keepLines w:val="0"/>
              <w:pageBreakBefore w:val="0"/>
              <w:widowControl w:val="0"/>
              <w:kinsoku/>
              <w:wordWrap/>
              <w:overflowPunct w:val="0"/>
              <w:topLinePunct/>
              <w:autoSpaceDE/>
              <w:autoSpaceDN/>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b/>
                <w:bCs/>
                <w:spacing w:val="-6"/>
                <w:lang w:eastAsia="zh-CN"/>
              </w:rPr>
              <w:t>绩</w:t>
            </w:r>
            <w:r>
              <w:rPr>
                <w:b/>
                <w:bCs/>
                <w:spacing w:val="-6"/>
              </w:rPr>
              <w:t>效</w:t>
            </w:r>
            <w:r>
              <w:rPr>
                <w:rFonts w:hint="eastAsia"/>
                <w:b/>
                <w:bCs/>
                <w:spacing w:val="-6"/>
                <w:lang w:val="en-US" w:eastAsia="zh-CN"/>
              </w:rPr>
              <w:t xml:space="preserve"> </w:t>
            </w:r>
            <w:r>
              <w:rPr>
                <w:b/>
                <w:bCs/>
                <w:spacing w:val="-5"/>
              </w:rPr>
              <w:t>分析</w:t>
            </w:r>
          </w:p>
        </w:tc>
        <w:tc>
          <w:tcPr>
            <w:tcW w:w="875" w:type="dxa"/>
            <w:vAlign w:val="center"/>
          </w:tcPr>
          <w:p w14:paraId="4DFEE862">
            <w:pPr>
              <w:pStyle w:val="12"/>
              <w:keepNext w:val="0"/>
              <w:keepLines w:val="0"/>
              <w:pageBreakBefore w:val="0"/>
              <w:widowControl w:val="0"/>
              <w:kinsoku/>
              <w:wordWrap/>
              <w:overflowPunct w:val="0"/>
              <w:topLinePunct/>
              <w:autoSpaceDE/>
              <w:autoSpaceDN/>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855" w:type="dxa"/>
            <w:vAlign w:val="center"/>
          </w:tcPr>
          <w:p w14:paraId="303DEACB">
            <w:pPr>
              <w:pStyle w:val="12"/>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2"/>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770" w:type="dxa"/>
            <w:vAlign w:val="center"/>
          </w:tcPr>
          <w:p w14:paraId="53F34F75">
            <w:pPr>
              <w:pStyle w:val="12"/>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2"/>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814" w:type="dxa"/>
            <w:vAlign w:val="center"/>
          </w:tcPr>
          <w:p w14:paraId="161F1ED2">
            <w:pPr>
              <w:pStyle w:val="12"/>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2"/>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832" w:type="dxa"/>
            <w:vAlign w:val="center"/>
          </w:tcPr>
          <w:p w14:paraId="46381FF0">
            <w:pPr>
              <w:pStyle w:val="12"/>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2"/>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668" w:type="dxa"/>
            <w:vAlign w:val="center"/>
          </w:tcPr>
          <w:p w14:paraId="069193B5">
            <w:pPr>
              <w:pStyle w:val="12"/>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2"/>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1080" w:type="dxa"/>
            <w:vAlign w:val="center"/>
          </w:tcPr>
          <w:p w14:paraId="57EBCBDA">
            <w:pPr>
              <w:pStyle w:val="12"/>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2"/>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996" w:type="dxa"/>
            <w:vAlign w:val="center"/>
          </w:tcPr>
          <w:p w14:paraId="67CCD9C3">
            <w:pPr>
              <w:pStyle w:val="12"/>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830" w:type="dxa"/>
            <w:tcBorders>
              <w:right w:val="nil"/>
            </w:tcBorders>
            <w:vAlign w:val="center"/>
          </w:tcPr>
          <w:p w14:paraId="2DB24984">
            <w:pPr>
              <w:pStyle w:val="12"/>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809" w:type="dxa"/>
            <w:vMerge w:val="continue"/>
            <w:tcBorders>
              <w:top w:val="nil"/>
              <w:left w:val="nil"/>
            </w:tcBorders>
            <w:vAlign w:val="center"/>
          </w:tcPr>
          <w:p w14:paraId="5D5C8174">
            <w:pPr>
              <w:keepNext w:val="0"/>
              <w:keepLines w:val="0"/>
              <w:pageBreakBefore w:val="0"/>
              <w:widowControl w:val="0"/>
              <w:kinsoku/>
              <w:wordWrap/>
              <w:overflowPunct w:val="0"/>
              <w:topLinePunct/>
              <w:autoSpaceDE/>
              <w:autoSpaceDN/>
              <w:bidi w:val="0"/>
              <w:adjustRightInd w:val="0"/>
              <w:snapToGrid w:val="0"/>
              <w:ind w:left="0"/>
              <w:jc w:val="center"/>
              <w:textAlignment w:val="baseline"/>
              <w:rPr>
                <w:rFonts w:hint="eastAsia" w:asciiTheme="minorEastAsia" w:hAnsiTheme="minorEastAsia" w:eastAsiaTheme="minorEastAsia" w:cstheme="minorEastAsia"/>
                <w:spacing w:val="0"/>
                <w:sz w:val="24"/>
                <w:szCs w:val="24"/>
              </w:rPr>
            </w:pPr>
          </w:p>
        </w:tc>
        <w:tc>
          <w:tcPr>
            <w:tcW w:w="875" w:type="dxa"/>
            <w:vAlign w:val="center"/>
          </w:tcPr>
          <w:p w14:paraId="077BB81C">
            <w:pPr>
              <w:pStyle w:val="12"/>
              <w:keepNext w:val="0"/>
              <w:keepLines w:val="0"/>
              <w:pageBreakBefore w:val="0"/>
              <w:widowControl w:val="0"/>
              <w:kinsoku/>
              <w:wordWrap/>
              <w:overflowPunct w:val="0"/>
              <w:topLinePunct/>
              <w:autoSpaceDE/>
              <w:autoSpaceDN/>
              <w:bidi w:val="0"/>
              <w:adjustRightInd w:val="0"/>
              <w:snapToGrid w:val="0"/>
              <w:spacing w:line="284" w:lineRule="auto"/>
              <w:ind w:left="0" w:righ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得分率</w:t>
            </w:r>
          </w:p>
        </w:tc>
        <w:tc>
          <w:tcPr>
            <w:tcW w:w="855" w:type="dxa"/>
            <w:vAlign w:val="center"/>
          </w:tcPr>
          <w:p w14:paraId="410E4AED">
            <w:pPr>
              <w:pStyle w:val="12"/>
              <w:keepNext w:val="0"/>
              <w:keepLines w:val="0"/>
              <w:pageBreakBefore w:val="0"/>
              <w:widowControl w:val="0"/>
              <w:kinsoku/>
              <w:wordWrap/>
              <w:overflowPunct w:val="0"/>
              <w:topLinePunct/>
              <w:autoSpaceDE/>
              <w:autoSpaceDN/>
              <w:bidi w:val="0"/>
              <w:adjustRightInd w:val="0"/>
              <w:snapToGrid w:val="0"/>
              <w:spacing w:line="270" w:lineRule="exact"/>
              <w:ind w:left="0"/>
              <w:jc w:val="center"/>
              <w:textAlignment w:val="baseline"/>
              <w:rPr>
                <w:rFonts w:hint="default" w:asciiTheme="minorEastAsia" w:hAnsiTheme="minorEastAsia" w:eastAsiaTheme="minorEastAsia" w:cstheme="minorEastAsia"/>
                <w:spacing w:val="0"/>
                <w:sz w:val="24"/>
                <w:szCs w:val="24"/>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91.67%</w:t>
            </w:r>
          </w:p>
        </w:tc>
        <w:tc>
          <w:tcPr>
            <w:tcW w:w="770" w:type="dxa"/>
            <w:vAlign w:val="center"/>
          </w:tcPr>
          <w:p w14:paraId="17299B93">
            <w:pPr>
              <w:pStyle w:val="12"/>
              <w:keepNext w:val="0"/>
              <w:keepLines w:val="0"/>
              <w:pageBreakBefore w:val="0"/>
              <w:widowControl w:val="0"/>
              <w:kinsoku/>
              <w:wordWrap/>
              <w:overflowPunct w:val="0"/>
              <w:topLinePunct/>
              <w:autoSpaceDE/>
              <w:autoSpaceDN/>
              <w:bidi w:val="0"/>
              <w:adjustRightInd w:val="0"/>
              <w:snapToGrid w:val="0"/>
              <w:spacing w:line="270"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814" w:type="dxa"/>
            <w:vAlign w:val="center"/>
          </w:tcPr>
          <w:p w14:paraId="6BDA2AA6">
            <w:pPr>
              <w:pStyle w:val="12"/>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82.61%</w:t>
            </w:r>
          </w:p>
        </w:tc>
        <w:tc>
          <w:tcPr>
            <w:tcW w:w="832" w:type="dxa"/>
            <w:vAlign w:val="center"/>
          </w:tcPr>
          <w:p w14:paraId="6B7C5C6B">
            <w:pPr>
              <w:pStyle w:val="12"/>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93.33%</w:t>
            </w:r>
          </w:p>
        </w:tc>
        <w:tc>
          <w:tcPr>
            <w:tcW w:w="668" w:type="dxa"/>
            <w:vAlign w:val="center"/>
          </w:tcPr>
          <w:p w14:paraId="28CCF245">
            <w:pPr>
              <w:pStyle w:val="12"/>
              <w:keepNext w:val="0"/>
              <w:keepLines w:val="0"/>
              <w:pageBreakBefore w:val="0"/>
              <w:widowControl w:val="0"/>
              <w:kinsoku/>
              <w:wordWrap/>
              <w:overflowPunct w:val="0"/>
              <w:topLinePunct/>
              <w:autoSpaceDE/>
              <w:autoSpaceDN/>
              <w:bidi w:val="0"/>
              <w:adjustRightInd w:val="0"/>
              <w:snapToGrid w:val="0"/>
              <w:spacing w:line="270"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080" w:type="dxa"/>
            <w:vAlign w:val="center"/>
          </w:tcPr>
          <w:p w14:paraId="29671117">
            <w:pPr>
              <w:pStyle w:val="12"/>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996" w:type="dxa"/>
            <w:vAlign w:val="center"/>
          </w:tcPr>
          <w:p w14:paraId="55CF812C">
            <w:pPr>
              <w:pStyle w:val="12"/>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830" w:type="dxa"/>
            <w:tcBorders>
              <w:right w:val="nil"/>
            </w:tcBorders>
            <w:vAlign w:val="center"/>
          </w:tcPr>
          <w:p w14:paraId="0614FB7D">
            <w:pPr>
              <w:pStyle w:val="12"/>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89%</w:t>
            </w:r>
          </w:p>
        </w:tc>
      </w:tr>
    </w:tbl>
    <w:p w14:paraId="12F5AC03">
      <w:pPr>
        <w:pStyle w:val="3"/>
        <w:keepNext/>
        <w:keepLines/>
        <w:pageBreakBefore w:val="0"/>
        <w:widowControl w:val="0"/>
        <w:kinsoku/>
        <w:wordWrap/>
        <w:overflowPunct w:val="0"/>
        <w:topLinePunct/>
        <w:autoSpaceDE/>
        <w:autoSpaceDN/>
        <w:bidi w:val="0"/>
        <w:adjustRightInd w:val="0"/>
        <w:snapToGrid w:val="0"/>
        <w:spacing w:before="238" w:line="219" w:lineRule="auto"/>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五、存在的问题</w:t>
      </w:r>
    </w:p>
    <w:p w14:paraId="010E9CDE">
      <w:pPr>
        <w:keepNext/>
        <w:keepLines/>
        <w:pageBreakBefore w:val="0"/>
        <w:widowControl w:val="0"/>
        <w:kinsoku/>
        <w:wordWrap/>
        <w:overflowPunct w:val="0"/>
        <w:topLinePunct/>
        <w:autoSpaceDE/>
        <w:autoSpaceDN/>
        <w:bidi w:val="0"/>
        <w:adjustRightInd w:val="0"/>
        <w:snapToGrid w:val="0"/>
        <w:spacing w:line="91" w:lineRule="auto"/>
        <w:textAlignment w:val="baseline"/>
        <w:rPr>
          <w:rFonts w:hint="eastAsia" w:asciiTheme="minorEastAsia" w:hAnsiTheme="minorEastAsia" w:eastAsiaTheme="minorEastAsia" w:cstheme="minorEastAsia"/>
          <w:spacing w:val="0"/>
          <w:sz w:val="24"/>
          <w:szCs w:val="24"/>
        </w:rPr>
      </w:pPr>
    </w:p>
    <w:tbl>
      <w:tblPr>
        <w:tblStyle w:val="11"/>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695" w:hRule="atLeast"/>
        </w:trPr>
        <w:tc>
          <w:tcPr>
            <w:tcW w:w="8530" w:type="dxa"/>
            <w:tcBorders>
              <w:tl2br w:val="nil"/>
              <w:tr2bl w:val="nil"/>
            </w:tcBorders>
            <w:vAlign w:val="center"/>
          </w:tcPr>
          <w:p w14:paraId="35B3231C">
            <w:pPr>
              <w:pStyle w:val="12"/>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default"/>
                <w:spacing w:val="0"/>
                <w:lang w:val="en-US" w:eastAsia="zh-CN"/>
              </w:rPr>
            </w:pPr>
            <w:r>
              <w:rPr>
                <w:rFonts w:hint="default"/>
                <w:spacing w:val="0"/>
                <w:lang w:val="en-US" w:eastAsia="zh-CN"/>
              </w:rPr>
              <w:t>1.制度内容制定简单，流程简便，且未发现装订成册的制度</w:t>
            </w:r>
            <w:r>
              <w:rPr>
                <w:rFonts w:hint="eastAsia"/>
                <w:spacing w:val="0"/>
                <w:lang w:val="en-US" w:eastAsia="zh-CN"/>
              </w:rPr>
              <w:t>：</w:t>
            </w:r>
            <w:r>
              <w:rPr>
                <w:rFonts w:hint="default"/>
                <w:spacing w:val="0"/>
                <w:lang w:val="en-US" w:eastAsia="zh-CN"/>
              </w:rPr>
              <w:t>核心制度缺失或碎片化：部分组织缺乏基础性制度（如《全面预算管理制度》《资金支付审批管理办法》），或制度分散在不同文件中，未形成统一体系；内部监督独立性差，效能低下：监督频率低、覆盖面窄；问责机制不明确：制度中未明确“违规”行为的处罚标准；</w:t>
            </w:r>
          </w:p>
          <w:p w14:paraId="73A1D8AB">
            <w:pPr>
              <w:pStyle w:val="12"/>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default"/>
                <w:spacing w:val="0"/>
                <w:lang w:val="en-US" w:eastAsia="zh-CN"/>
              </w:rPr>
            </w:pPr>
            <w:r>
              <w:rPr>
                <w:rFonts w:hint="default"/>
                <w:spacing w:val="0"/>
                <w:lang w:val="en-US" w:eastAsia="zh-CN"/>
              </w:rPr>
              <w:t>2.现金及资产未按规定时间进行盘点并登记记录</w:t>
            </w:r>
            <w:r>
              <w:rPr>
                <w:rFonts w:hint="eastAsia"/>
                <w:spacing w:val="0"/>
                <w:lang w:val="en-US" w:eastAsia="zh-CN"/>
              </w:rPr>
              <w:t>：</w:t>
            </w:r>
            <w:r>
              <w:rPr>
                <w:rFonts w:hint="default"/>
                <w:spacing w:val="0"/>
                <w:lang w:val="en-US" w:eastAsia="zh-CN"/>
              </w:rPr>
              <w:t>盘点频次未达标，盘点记录不完整；</w:t>
            </w:r>
          </w:p>
          <w:p w14:paraId="554DF236">
            <w:pPr>
              <w:pStyle w:val="12"/>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default"/>
                <w:spacing w:val="0"/>
                <w:lang w:val="en-US" w:eastAsia="zh-CN"/>
              </w:rPr>
            </w:pPr>
            <w:r>
              <w:rPr>
                <w:rFonts w:hint="default"/>
                <w:spacing w:val="0"/>
                <w:lang w:val="en-US" w:eastAsia="zh-CN"/>
              </w:rPr>
              <w:t>3.培训效果评价与机制缺失</w:t>
            </w:r>
            <w:r>
              <w:rPr>
                <w:rFonts w:hint="eastAsia"/>
                <w:spacing w:val="0"/>
                <w:lang w:val="en-US" w:eastAsia="zh-CN"/>
              </w:rPr>
              <w:t>：</w:t>
            </w:r>
            <w:r>
              <w:rPr>
                <w:rFonts w:hint="default"/>
                <w:spacing w:val="0"/>
                <w:lang w:val="en-US" w:eastAsia="zh-CN"/>
              </w:rPr>
              <w:t>乡政府根据年初的培训计划，制定了自己的培训计划，并遵照，但培训资源有限，且缺乏专职人员负责培训需求调研与方案设计，导致组织能力不足；</w:t>
            </w:r>
          </w:p>
          <w:p w14:paraId="147C8C27">
            <w:pPr>
              <w:pStyle w:val="12"/>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default"/>
                <w:spacing w:val="0"/>
                <w:lang w:val="en-US" w:eastAsia="zh-CN"/>
              </w:rPr>
            </w:pPr>
            <w:r>
              <w:rPr>
                <w:rFonts w:hint="default"/>
                <w:spacing w:val="0"/>
                <w:lang w:val="en-US" w:eastAsia="zh-CN"/>
              </w:rPr>
              <w:t>4.中长期目标与年度目标衔接不紧密</w:t>
            </w:r>
            <w:r>
              <w:rPr>
                <w:rFonts w:hint="eastAsia"/>
                <w:spacing w:val="0"/>
                <w:lang w:val="en-US" w:eastAsia="zh-CN"/>
              </w:rPr>
              <w:t>：</w:t>
            </w:r>
            <w:r>
              <w:rPr>
                <w:rFonts w:hint="default"/>
                <w:spacing w:val="0"/>
                <w:lang w:val="en-US" w:eastAsia="zh-CN"/>
              </w:rPr>
              <w:t>未建立跨部门协同机制（例：业务、财务、技术部门共同参与规划制定），导致目标难以兼顾多维度需求</w:t>
            </w:r>
            <w:r>
              <w:rPr>
                <w:rFonts w:hint="eastAsia"/>
                <w:spacing w:val="0"/>
                <w:lang w:val="en-US" w:eastAsia="zh-CN"/>
              </w:rPr>
              <w:t>；</w:t>
            </w:r>
          </w:p>
          <w:p w14:paraId="0BB0E13D">
            <w:pPr>
              <w:pStyle w:val="12"/>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default"/>
                <w:spacing w:val="0"/>
                <w:lang w:val="en-US" w:eastAsia="zh-CN"/>
              </w:rPr>
            </w:pPr>
            <w:r>
              <w:rPr>
                <w:rFonts w:hint="default"/>
                <w:spacing w:val="0"/>
                <w:lang w:val="en-US" w:eastAsia="zh-CN"/>
              </w:rPr>
              <w:t>5.在职人员超编</w:t>
            </w:r>
            <w:r>
              <w:rPr>
                <w:rFonts w:hint="eastAsia"/>
                <w:spacing w:val="0"/>
                <w:lang w:val="en-US" w:eastAsia="zh-CN"/>
              </w:rPr>
              <w:t>：</w:t>
            </w:r>
            <w:r>
              <w:rPr>
                <w:rFonts w:hint="default"/>
                <w:spacing w:val="0"/>
                <w:lang w:val="en-US" w:eastAsia="zh-CN"/>
              </w:rPr>
              <w:t>合水县段家集乡人民政府2024年核定人员54名，实际在职人员64名，存在在职人员超编情况。</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2"/>
              <w:keepNext/>
              <w:keepLines/>
              <w:pageBreakBefore w:val="0"/>
              <w:widowControl w:val="0"/>
              <w:kinsoku/>
              <w:wordWrap/>
              <w:overflowPunct w:val="0"/>
              <w:topLinePunct/>
              <w:autoSpaceDE/>
              <w:autoSpaceDN/>
              <w:bidi w:val="0"/>
              <w:adjustRightInd w:val="0"/>
              <w:snapToGrid w:val="0"/>
              <w:spacing w:before="193" w:line="220" w:lineRule="auto"/>
              <w:ind w:left="331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3703" w:hRule="atLeast"/>
        </w:trPr>
        <w:tc>
          <w:tcPr>
            <w:tcW w:w="8530" w:type="dxa"/>
            <w:tcBorders>
              <w:tl2br w:val="nil"/>
              <w:tr2bl w:val="nil"/>
            </w:tcBorders>
            <w:vAlign w:val="center"/>
          </w:tcPr>
          <w:p w14:paraId="5AA4D326">
            <w:pPr>
              <w:pStyle w:val="12"/>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default"/>
                <w:spacing w:val="0"/>
                <w:lang w:val="en-US" w:eastAsia="zh-CN"/>
              </w:rPr>
            </w:pPr>
            <w:r>
              <w:rPr>
                <w:rFonts w:hint="default"/>
                <w:spacing w:val="0"/>
                <w:lang w:val="en-US" w:eastAsia="zh-CN"/>
              </w:rPr>
              <w:t>1.财务制度及资产管理制度</w:t>
            </w:r>
            <w:r>
              <w:rPr>
                <w:rFonts w:hint="eastAsia"/>
                <w:spacing w:val="0"/>
                <w:lang w:val="en-US" w:eastAsia="zh-CN"/>
              </w:rPr>
              <w:t>：</w:t>
            </w:r>
            <w:r>
              <w:rPr>
                <w:rFonts w:hint="default"/>
                <w:spacing w:val="0"/>
                <w:lang w:val="en-US" w:eastAsia="zh-CN"/>
              </w:rPr>
              <w:t>全面梳理并完善制度内容：系统排查现有制度缺口，细化关键环节规定；规范制度汇编与管理：统一格式并装订成册，</w:t>
            </w:r>
            <w:r>
              <w:rPr>
                <w:rFonts w:hint="eastAsia"/>
                <w:spacing w:val="0"/>
                <w:lang w:val="en-US" w:eastAsia="zh-CN"/>
              </w:rPr>
              <w:t>建立</w:t>
            </w:r>
            <w:r>
              <w:rPr>
                <w:rFonts w:hint="default"/>
                <w:spacing w:val="0"/>
                <w:lang w:val="en-US" w:eastAsia="zh-CN"/>
              </w:rPr>
              <w:t>电子版本的更新机制；强化制度执行与监督：开展制度培训，将制度执行情况纳入日常监督检查；实现财务及资产管理制度的“内容完善、形式规范、执行到位”，为项目资金安全和资产高效管理提供制度保障</w:t>
            </w:r>
            <w:r>
              <w:rPr>
                <w:rFonts w:hint="eastAsia"/>
                <w:spacing w:val="0"/>
                <w:lang w:val="en-US" w:eastAsia="zh-CN"/>
              </w:rPr>
              <w:t>；</w:t>
            </w:r>
          </w:p>
          <w:p w14:paraId="6D8747D5">
            <w:pPr>
              <w:pStyle w:val="12"/>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default"/>
                <w:spacing w:val="0"/>
                <w:lang w:val="en-US" w:eastAsia="zh-CN"/>
              </w:rPr>
            </w:pPr>
            <w:r>
              <w:rPr>
                <w:rFonts w:hint="default"/>
                <w:spacing w:val="0"/>
                <w:lang w:val="en-US" w:eastAsia="zh-CN"/>
              </w:rPr>
              <w:t>2.现金及资产盘点</w:t>
            </w:r>
            <w:r>
              <w:rPr>
                <w:rFonts w:hint="eastAsia"/>
                <w:spacing w:val="0"/>
                <w:lang w:val="en-US" w:eastAsia="zh-CN"/>
              </w:rPr>
              <w:t>：</w:t>
            </w:r>
            <w:r>
              <w:rPr>
                <w:rFonts w:hint="default"/>
                <w:spacing w:val="0"/>
                <w:lang w:val="en-US" w:eastAsia="zh-CN"/>
              </w:rPr>
              <w:t>明确盘点频次与标准，固化盘点流程：制定刚性盘点计划，统一盘点操作规范；规范盘点记录与归档，实现全程可追溯：设计标准化记录表单，建立记录归档机制；强化监督问责，保障制度落地：将抽查盘点结果纳入日常监督范围，建立问责机制；实现现金及资产盘点的“定时、定人、定流程、可追溯”，有效防范资金风险和资产流失，保障项目资产安全与账实一致</w:t>
            </w:r>
            <w:r>
              <w:rPr>
                <w:rFonts w:hint="eastAsia"/>
                <w:spacing w:val="0"/>
                <w:lang w:val="en-US" w:eastAsia="zh-CN"/>
              </w:rPr>
              <w:t>；</w:t>
            </w:r>
          </w:p>
          <w:p w14:paraId="3DD7A893">
            <w:pPr>
              <w:pStyle w:val="12"/>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default"/>
                <w:spacing w:val="0"/>
                <w:lang w:val="en-US" w:eastAsia="zh-CN"/>
              </w:rPr>
            </w:pPr>
            <w:r>
              <w:rPr>
                <w:rFonts w:hint="default"/>
                <w:spacing w:val="0"/>
                <w:lang w:val="en-US" w:eastAsia="zh-CN"/>
              </w:rPr>
              <w:t>3.培训效果与机制</w:t>
            </w:r>
            <w:r>
              <w:rPr>
                <w:rFonts w:hint="eastAsia"/>
                <w:spacing w:val="0"/>
                <w:lang w:val="en-US" w:eastAsia="zh-CN"/>
              </w:rPr>
              <w:t>：</w:t>
            </w:r>
            <w:r>
              <w:rPr>
                <w:rFonts w:hint="default"/>
                <w:spacing w:val="0"/>
                <w:lang w:val="en-US" w:eastAsia="zh-CN"/>
              </w:rPr>
              <w:t>深化思想认识，明确培训与项目绩效的关联：组织专题宣贯，纳入管理层考核；将培训全面融入项目整体规划流程：在项目立项阶段同步规划培训，培训预算与项目预算联动；建立培训与项目执行的动态联动机制：绑定项目节点与培训安排，以项目绩效数据反向优化培训；将培训从“程序性工作”转变为“支撑项目绩效的核心环节”，确保培训与项目规划、执行、评价全流程深度融合，切实发挥培训对提升项目质量与效率的保障作用</w:t>
            </w:r>
            <w:r>
              <w:rPr>
                <w:rFonts w:hint="eastAsia"/>
                <w:spacing w:val="0"/>
                <w:lang w:val="en-US" w:eastAsia="zh-CN"/>
              </w:rPr>
              <w:t>；</w:t>
            </w:r>
          </w:p>
          <w:p w14:paraId="4779DE69">
            <w:pPr>
              <w:pStyle w:val="12"/>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default"/>
                <w:spacing w:val="0"/>
                <w:lang w:val="en-US" w:eastAsia="zh-CN"/>
              </w:rPr>
            </w:pPr>
            <w:r>
              <w:rPr>
                <w:rFonts w:hint="default"/>
                <w:spacing w:val="0"/>
                <w:lang w:val="en-US" w:eastAsia="zh-CN"/>
              </w:rPr>
              <w:t>4.中长期目标与年度目标</w:t>
            </w:r>
            <w:r>
              <w:rPr>
                <w:rFonts w:hint="eastAsia"/>
                <w:spacing w:val="0"/>
                <w:lang w:val="en-US" w:eastAsia="zh-CN"/>
              </w:rPr>
              <w:t>：</w:t>
            </w:r>
            <w:r>
              <w:rPr>
                <w:rFonts w:hint="default"/>
                <w:spacing w:val="0"/>
                <w:lang w:val="en-US" w:eastAsia="zh-CN"/>
              </w:rPr>
              <w:t>构建跨部门协同组织架构，明确职责分工：成立专项协同工作组，划定部门协同权责；建立标准化协同流程，规范规划制定环节：设定协同参与节点，统一信息共享载体；强化协同保障与效果评价，确保机制落地：建立定期沟通机制，纳入部门考核与复盘；打破部门壁垒，实现“业务需求、财务约束、技术条件”的有机融合，确保规划目标既符合业务实际，又具备财务可行性和技术支撑力，从源头提升目标的科学性与落地性</w:t>
            </w:r>
            <w:r>
              <w:rPr>
                <w:rFonts w:hint="eastAsia"/>
                <w:spacing w:val="0"/>
                <w:lang w:val="en-US" w:eastAsia="zh-CN"/>
              </w:rPr>
              <w:t>；</w:t>
            </w:r>
          </w:p>
          <w:p w14:paraId="7E622F5F">
            <w:pPr>
              <w:pStyle w:val="12"/>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default"/>
                <w:spacing w:val="0"/>
                <w:lang w:val="en-US" w:eastAsia="zh-CN"/>
              </w:rPr>
            </w:pPr>
            <w:r>
              <w:rPr>
                <w:rFonts w:hint="default"/>
                <w:spacing w:val="0"/>
                <w:lang w:val="en-US" w:eastAsia="zh-CN"/>
              </w:rPr>
              <w:t>5.在职人员编制情况</w:t>
            </w:r>
            <w:r>
              <w:rPr>
                <w:rFonts w:hint="eastAsia"/>
                <w:spacing w:val="0"/>
                <w:lang w:val="en-US" w:eastAsia="zh-CN"/>
              </w:rPr>
              <w:t>：</w:t>
            </w:r>
            <w:r>
              <w:rPr>
                <w:rFonts w:hint="default"/>
                <w:spacing w:val="0"/>
                <w:lang w:val="en-US" w:eastAsia="zh-CN"/>
              </w:rPr>
              <w:t>强化监督检查，规范全程管理。一是明确提出机关事业单位用编进人编制使用审批前置制度，机关事业单位凡是无编制使用通知单的，一律不得调整补充人员；无上编通知单的，一律不核拨工资经费。二是形成多部门闭合工作链条，定期与组织、人社、财政等部门开展实名制数据专项核查，据实更新，及时调整，加强财政供养人员动态管理。</w:t>
            </w: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2"/>
              <w:keepNext/>
              <w:keepLines/>
              <w:pageBreakBefore w:val="0"/>
              <w:widowControl w:val="0"/>
              <w:kinsoku/>
              <w:wordWrap/>
              <w:overflowPunct w:val="0"/>
              <w:topLinePunct/>
              <w:autoSpaceDE/>
              <w:autoSpaceDN/>
              <w:bidi w:val="0"/>
              <w:adjustRightInd w:val="0"/>
              <w:snapToGrid w:val="0"/>
              <w:spacing w:before="239" w:line="220" w:lineRule="auto"/>
              <w:ind w:left="319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913" w:hRule="atLeast"/>
        </w:trPr>
        <w:tc>
          <w:tcPr>
            <w:tcW w:w="8530" w:type="dxa"/>
            <w:tcBorders>
              <w:tl2br w:val="nil"/>
              <w:tr2bl w:val="nil"/>
            </w:tcBorders>
            <w:vAlign w:val="center"/>
          </w:tcPr>
          <w:p w14:paraId="42EDF515">
            <w:pPr>
              <w:pStyle w:val="12"/>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eastAsia"/>
                <w:spacing w:val="0"/>
                <w:lang w:val="en-US" w:eastAsia="zh-CN"/>
              </w:rPr>
            </w:pPr>
            <w:r>
              <w:rPr>
                <w:rFonts w:hint="eastAsia"/>
                <w:spacing w:val="0"/>
                <w:lang w:val="en-US" w:eastAsia="zh-CN"/>
              </w:rPr>
              <w:t>1.采取统筹规划评价工期、规范评价管理流程、严格评价机构筛选、强化评价过程管控、优化评价组织模式等措施，统筹推进项目实施；</w:t>
            </w:r>
          </w:p>
          <w:p w14:paraId="3CEE8BE1">
            <w:pPr>
              <w:pStyle w:val="12"/>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eastAsia"/>
                <w:spacing w:val="0"/>
                <w:lang w:val="en-US" w:eastAsia="zh-CN"/>
              </w:rPr>
            </w:pPr>
            <w:r>
              <w:rPr>
                <w:rFonts w:hint="eastAsia"/>
                <w:spacing w:val="0"/>
                <w:lang w:val="en-US" w:eastAsia="zh-CN"/>
              </w:rPr>
              <w:t>2.创新项目主评人“交叉评审”、第三方机构“内审+终审”“质费挂钩”等机制，提高绩效评价服务水平和报告质量；</w:t>
            </w:r>
          </w:p>
          <w:p w14:paraId="49465040">
            <w:pPr>
              <w:pStyle w:val="12"/>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spacing w:val="0"/>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3"/>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10D433E"/>
    <w:rsid w:val="02E1776D"/>
    <w:rsid w:val="049C7DEF"/>
    <w:rsid w:val="058663AA"/>
    <w:rsid w:val="065A37E2"/>
    <w:rsid w:val="067E2E92"/>
    <w:rsid w:val="067E3AD6"/>
    <w:rsid w:val="07A86AAB"/>
    <w:rsid w:val="07BC4304"/>
    <w:rsid w:val="092F18AA"/>
    <w:rsid w:val="09B554AF"/>
    <w:rsid w:val="0ADE7E9F"/>
    <w:rsid w:val="0C8F3D96"/>
    <w:rsid w:val="11A57E6D"/>
    <w:rsid w:val="12C329EB"/>
    <w:rsid w:val="16A06327"/>
    <w:rsid w:val="18D957E5"/>
    <w:rsid w:val="19AC41D9"/>
    <w:rsid w:val="1D5242DB"/>
    <w:rsid w:val="20FA3A7C"/>
    <w:rsid w:val="226B2757"/>
    <w:rsid w:val="23264FFC"/>
    <w:rsid w:val="236D2C2B"/>
    <w:rsid w:val="248A3369"/>
    <w:rsid w:val="28E7579C"/>
    <w:rsid w:val="2E206AEC"/>
    <w:rsid w:val="300E12C4"/>
    <w:rsid w:val="30640F12"/>
    <w:rsid w:val="33707BCD"/>
    <w:rsid w:val="33723946"/>
    <w:rsid w:val="337B2999"/>
    <w:rsid w:val="353531EB"/>
    <w:rsid w:val="35E82F17"/>
    <w:rsid w:val="3B6E70E8"/>
    <w:rsid w:val="3BE253E0"/>
    <w:rsid w:val="3C28373B"/>
    <w:rsid w:val="3C5F1085"/>
    <w:rsid w:val="3F8E13F7"/>
    <w:rsid w:val="43EE7018"/>
    <w:rsid w:val="455F19D3"/>
    <w:rsid w:val="46596265"/>
    <w:rsid w:val="4703102D"/>
    <w:rsid w:val="47422245"/>
    <w:rsid w:val="48904B42"/>
    <w:rsid w:val="508B6AF3"/>
    <w:rsid w:val="50F66A8E"/>
    <w:rsid w:val="530F0D59"/>
    <w:rsid w:val="5A2E5F69"/>
    <w:rsid w:val="5BE30FD5"/>
    <w:rsid w:val="5CB62246"/>
    <w:rsid w:val="5E1436C8"/>
    <w:rsid w:val="5E8124E4"/>
    <w:rsid w:val="5F3C1128"/>
    <w:rsid w:val="65F0610C"/>
    <w:rsid w:val="6913481E"/>
    <w:rsid w:val="697F05E0"/>
    <w:rsid w:val="699459AB"/>
    <w:rsid w:val="6B457A68"/>
    <w:rsid w:val="6DA700B4"/>
    <w:rsid w:val="706E686D"/>
    <w:rsid w:val="74D86DA5"/>
    <w:rsid w:val="788A485A"/>
    <w:rsid w:val="7C4116D4"/>
    <w:rsid w:val="7C8021FC"/>
    <w:rsid w:val="7DCA74A7"/>
    <w:rsid w:val="7DE92023"/>
    <w:rsid w:val="7E3C027A"/>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19"/>
      <w:szCs w:val="19"/>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Body Text First Indent"/>
    <w:basedOn w:val="1"/>
    <w:qFormat/>
    <w:uiPriority w:val="0"/>
    <w:pPr>
      <w:ind w:firstLine="420" w:firstLineChars="100"/>
    </w:pPr>
    <w:rPr>
      <w:rFonts w:ascii="Times New Roman" w:hAnsi="Times New Roman" w:eastAsia="仿宋_GB2312"/>
      <w:sz w:val="32"/>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customStyle="1" w:styleId="13">
    <w:name w:val="Body Text First Indent 2_75375cd0-6dd5-4e0e-a182-e144e3e71415"/>
    <w:basedOn w:val="1"/>
    <w:qFormat/>
    <w:uiPriority w:val="0"/>
    <w:pPr>
      <w:ind w:left="420" w:leftChars="200"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2629</Words>
  <Characters>2774</Characters>
  <TotalTime>1</TotalTime>
  <ScaleCrop>false</ScaleCrop>
  <LinksUpToDate>false</LinksUpToDate>
  <CharactersWithSpaces>2784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袁小倩</cp:lastModifiedBy>
  <dcterms:modified xsi:type="dcterms:W3CDTF">2025-09-19T10:09:49Z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FF21AAF6C6D446CE8CA0FAFBCBC03E6E_13</vt:lpwstr>
  </property>
  <property fmtid="{D5CDD505-2E9C-101B-9397-08002B2CF9AE}" pid="6" name="KSOTemplateDocerSaveRecord">
    <vt:lpwstr>eyJoZGlkIjoiNTkwYmI5NDUxY2QxYTNjNGQyNDI2NjYyMzUwNDE0ZjciLCJ1c2VySWQiOiIzMTc5OTA1NSJ9</vt:lpwstr>
  </property>
</Properties>
</file>