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86D9A">
      <w:pPr>
        <w:keepNext/>
        <w:keepLines/>
        <w:pageBreakBefore w:val="0"/>
        <w:widowControl w:val="0"/>
        <w:kinsoku/>
        <w:wordWrap/>
        <w:overflowPunct w:val="0"/>
        <w:topLinePunct/>
        <w:autoSpaceDE/>
        <w:autoSpaceDN/>
        <w:bidi w:val="0"/>
        <w:adjustRightInd w:val="0"/>
        <w:snapToGrid w:val="0"/>
        <w:spacing w:before="85" w:line="492" w:lineRule="exact"/>
        <w:jc w:val="center"/>
        <w:textAlignment w:val="auto"/>
        <w:outlineLvl w:val="0"/>
        <w:rPr>
          <w:rFonts w:hint="eastAsia" w:asciiTheme="minorEastAsia" w:hAnsiTheme="minorEastAsia" w:eastAsiaTheme="minorEastAsia" w:cstheme="minorEastAsia"/>
          <w:b/>
          <w:bCs/>
          <w:spacing w:val="0"/>
          <w:position w:val="2"/>
          <w:sz w:val="36"/>
          <w:szCs w:val="36"/>
          <w:lang w:eastAsia="zh-CN"/>
        </w:rPr>
      </w:pPr>
      <w:r>
        <w:rPr>
          <w:rFonts w:hint="eastAsia" w:asciiTheme="minorEastAsia" w:hAnsiTheme="minorEastAsia" w:eastAsiaTheme="minorEastAsia" w:cstheme="minorEastAsia"/>
          <w:b/>
          <w:bCs/>
          <w:spacing w:val="0"/>
          <w:position w:val="2"/>
          <w:sz w:val="36"/>
          <w:szCs w:val="36"/>
        </w:rPr>
        <w:t>合水县</w:t>
      </w:r>
      <w:r>
        <w:rPr>
          <w:rFonts w:hint="eastAsia" w:asciiTheme="minorEastAsia" w:hAnsiTheme="minorEastAsia" w:eastAsiaTheme="minorEastAsia" w:cstheme="minorEastAsia"/>
          <w:b/>
          <w:bCs/>
          <w:spacing w:val="0"/>
          <w:position w:val="2"/>
          <w:sz w:val="36"/>
          <w:szCs w:val="36"/>
          <w:lang w:eastAsia="zh-CN"/>
        </w:rPr>
        <w:t>工业集中区管理委员会</w:t>
      </w:r>
    </w:p>
    <w:p w14:paraId="688B9A51">
      <w:pPr>
        <w:keepNext/>
        <w:keepLines/>
        <w:pageBreakBefore w:val="0"/>
        <w:widowControl w:val="0"/>
        <w:kinsoku/>
        <w:wordWrap/>
        <w:overflowPunct w:val="0"/>
        <w:topLinePunct/>
        <w:autoSpaceDE/>
        <w:autoSpaceDN/>
        <w:bidi w:val="0"/>
        <w:adjustRightInd w:val="0"/>
        <w:snapToGrid w:val="0"/>
        <w:spacing w:before="85" w:line="492" w:lineRule="exact"/>
        <w:jc w:val="center"/>
        <w:textAlignment w:val="auto"/>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lang w:eastAsia="zh-CN"/>
        </w:rPr>
        <w:t>部门</w:t>
      </w:r>
      <w:r>
        <w:rPr>
          <w:rFonts w:hint="eastAsia" w:asciiTheme="minorEastAsia" w:hAnsiTheme="minorEastAsia" w:eastAsiaTheme="minorEastAsia" w:cstheme="minorEastAsia"/>
          <w:b/>
          <w:bCs/>
          <w:spacing w:val="0"/>
          <w:position w:val="2"/>
          <w:sz w:val="36"/>
          <w:szCs w:val="36"/>
        </w:rPr>
        <w:t>整体支出绩效评价报告</w:t>
      </w:r>
    </w:p>
    <w:p w14:paraId="2877EE77">
      <w:pPr>
        <w:keepNext/>
        <w:keepLines/>
        <w:pageBreakBefore w:val="0"/>
        <w:widowControl w:val="0"/>
        <w:kinsoku/>
        <w:wordWrap/>
        <w:overflowPunct w:val="0"/>
        <w:topLinePunct/>
        <w:autoSpaceDE/>
        <w:autoSpaceDN/>
        <w:bidi w:val="0"/>
        <w:adjustRightInd w:val="0"/>
        <w:snapToGrid w:val="0"/>
        <w:spacing w:line="55" w:lineRule="exact"/>
        <w:textAlignment w:val="auto"/>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983"/>
        <w:gridCol w:w="1786"/>
        <w:gridCol w:w="11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keepNext/>
              <w:keepLines/>
              <w:pageBreakBefore w:val="0"/>
              <w:widowControl w:val="0"/>
              <w:kinsoku/>
              <w:wordWrap/>
              <w:overflowPunct w:val="0"/>
              <w:topLinePunct/>
              <w:autoSpaceDE/>
              <w:autoSpaceDN/>
              <w:bidi w:val="0"/>
              <w:adjustRightInd w:val="0"/>
              <w:snapToGrid w:val="0"/>
              <w:spacing w:before="229" w:line="209" w:lineRule="auto"/>
              <w:ind w:left="552"/>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keepNext/>
              <w:keepLines/>
              <w:pageBreakBefore w:val="0"/>
              <w:widowControl w:val="0"/>
              <w:kinsoku/>
              <w:wordWrap/>
              <w:overflowPunct w:val="0"/>
              <w:topLinePunct/>
              <w:autoSpaceDE/>
              <w:autoSpaceDN/>
              <w:bidi w:val="0"/>
              <w:adjustRightInd w:val="0"/>
              <w:snapToGrid w:val="0"/>
              <w:spacing w:before="201" w:line="221" w:lineRule="auto"/>
              <w:ind w:left="431"/>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top"/>
          </w:tcPr>
          <w:p w14:paraId="74F7AC73">
            <w:pPr>
              <w:pStyle w:val="10"/>
              <w:keepNext/>
              <w:keepLines/>
              <w:pageBreakBefore w:val="0"/>
              <w:widowControl w:val="0"/>
              <w:kinsoku/>
              <w:wordWrap/>
              <w:overflowPunct w:val="0"/>
              <w:topLinePunct/>
              <w:autoSpaceDE/>
              <w:autoSpaceDN/>
              <w:bidi w:val="0"/>
              <w:adjustRightInd w:val="0"/>
              <w:snapToGrid w:val="0"/>
              <w:spacing w:before="201" w:line="219" w:lineRule="auto"/>
              <w:ind w:firstLine="240" w:firstLineChars="1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合水县</w:t>
            </w:r>
            <w:r>
              <w:rPr>
                <w:rFonts w:hint="eastAsia" w:asciiTheme="minorEastAsia" w:hAnsiTheme="minorEastAsia" w:eastAsiaTheme="minorEastAsia" w:cstheme="minorEastAsia"/>
                <w:spacing w:val="0"/>
                <w:sz w:val="24"/>
                <w:szCs w:val="24"/>
                <w:lang w:eastAsia="zh-CN"/>
              </w:rPr>
              <w:t>工业集中区管理委员会</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1807" w:type="dxa"/>
            <w:vAlign w:val="top"/>
          </w:tcPr>
          <w:p w14:paraId="2EA19E04">
            <w:pPr>
              <w:pStyle w:val="10"/>
              <w:keepNext/>
              <w:keepLines/>
              <w:pageBreakBefore w:val="0"/>
              <w:widowControl w:val="0"/>
              <w:kinsoku/>
              <w:wordWrap/>
              <w:overflowPunct w:val="0"/>
              <w:topLinePunct/>
              <w:autoSpaceDE/>
              <w:autoSpaceDN/>
              <w:bidi w:val="0"/>
              <w:adjustRightInd w:val="0"/>
              <w:snapToGrid w:val="0"/>
              <w:spacing w:before="198" w:line="219" w:lineRule="auto"/>
              <w:ind w:left="42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983" w:type="dxa"/>
            <w:vAlign w:val="top"/>
          </w:tcPr>
          <w:p w14:paraId="0329762F">
            <w:pPr>
              <w:pStyle w:val="10"/>
              <w:keepNext/>
              <w:keepLines/>
              <w:pageBreakBefore w:val="0"/>
              <w:widowControl w:val="0"/>
              <w:kinsoku/>
              <w:wordWrap/>
              <w:overflowPunct w:val="0"/>
              <w:topLinePunct/>
              <w:autoSpaceDE/>
              <w:autoSpaceDN/>
              <w:bidi w:val="0"/>
              <w:adjustRightInd w:val="0"/>
              <w:snapToGrid w:val="0"/>
              <w:spacing w:before="199" w:line="220" w:lineRule="auto"/>
              <w:ind w:left="475"/>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786" w:type="dxa"/>
            <w:vAlign w:val="top"/>
          </w:tcPr>
          <w:p w14:paraId="4C578508">
            <w:pPr>
              <w:pStyle w:val="10"/>
              <w:keepNext/>
              <w:keepLines/>
              <w:pageBreakBefore w:val="0"/>
              <w:widowControl w:val="0"/>
              <w:kinsoku/>
              <w:wordWrap/>
              <w:overflowPunct w:val="0"/>
              <w:topLinePunct/>
              <w:autoSpaceDE/>
              <w:autoSpaceDN/>
              <w:bidi w:val="0"/>
              <w:adjustRightInd w:val="0"/>
              <w:snapToGrid w:val="0"/>
              <w:spacing w:before="198" w:line="219" w:lineRule="auto"/>
              <w:ind w:left="401"/>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251" w:type="dxa"/>
            <w:gridSpan w:val="2"/>
            <w:tcBorders>
              <w:right w:val="nil"/>
            </w:tcBorders>
            <w:vAlign w:val="top"/>
          </w:tcPr>
          <w:p w14:paraId="224F3882">
            <w:pPr>
              <w:pStyle w:val="10"/>
              <w:keepNext/>
              <w:keepLines/>
              <w:pageBreakBefore w:val="0"/>
              <w:widowControl w:val="0"/>
              <w:kinsoku/>
              <w:wordWrap/>
              <w:overflowPunct w:val="0"/>
              <w:topLinePunct/>
              <w:autoSpaceDE/>
              <w:autoSpaceDN/>
              <w:bidi w:val="0"/>
              <w:adjustRightInd w:val="0"/>
              <w:snapToGrid w:val="0"/>
              <w:spacing w:before="198" w:line="219" w:lineRule="auto"/>
              <w:ind w:left="645"/>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1807" w:type="dxa"/>
            <w:vAlign w:val="center"/>
          </w:tcPr>
          <w:p w14:paraId="64C60D4E">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b/>
                <w:bCs/>
                <w:i w:val="0"/>
                <w:iCs w:val="0"/>
                <w:snapToGrid w:val="0"/>
                <w:color w:val="000000"/>
                <w:kern w:val="0"/>
                <w:sz w:val="24"/>
                <w:szCs w:val="24"/>
                <w:u w:val="none"/>
                <w:lang w:val="en-US" w:eastAsia="zh-CN" w:bidi="ar"/>
              </w:rPr>
              <w:t>委托评价单位</w:t>
            </w:r>
          </w:p>
        </w:tc>
        <w:tc>
          <w:tcPr>
            <w:tcW w:w="1983" w:type="dxa"/>
            <w:vAlign w:val="center"/>
          </w:tcPr>
          <w:p w14:paraId="5290E408">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i w:val="0"/>
                <w:iCs w:val="0"/>
                <w:snapToGrid w:val="0"/>
                <w:color w:val="000000"/>
                <w:kern w:val="0"/>
                <w:sz w:val="24"/>
                <w:szCs w:val="24"/>
                <w:u w:val="none"/>
                <w:lang w:val="en-US" w:eastAsia="zh-CN" w:bidi="ar"/>
              </w:rPr>
              <w:t>合水县财政局</w:t>
            </w:r>
          </w:p>
        </w:tc>
        <w:tc>
          <w:tcPr>
            <w:tcW w:w="1786" w:type="dxa"/>
            <w:vAlign w:val="center"/>
          </w:tcPr>
          <w:p w14:paraId="6F2F0719">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b/>
                <w:bCs/>
                <w:i w:val="0"/>
                <w:iCs w:val="0"/>
                <w:snapToGrid w:val="0"/>
                <w:color w:val="000000"/>
                <w:kern w:val="0"/>
                <w:sz w:val="24"/>
                <w:szCs w:val="24"/>
                <w:u w:val="none"/>
                <w:lang w:val="en-US" w:eastAsia="zh-CN" w:bidi="ar"/>
              </w:rPr>
              <w:t>评价机构名称</w:t>
            </w:r>
          </w:p>
        </w:tc>
        <w:tc>
          <w:tcPr>
            <w:tcW w:w="2251" w:type="dxa"/>
            <w:gridSpan w:val="2"/>
            <w:tcBorders>
              <w:right w:val="nil"/>
            </w:tcBorders>
            <w:vAlign w:val="center"/>
          </w:tcPr>
          <w:p w14:paraId="686254E5">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i w:val="0"/>
                <w:iCs w:val="0"/>
                <w:snapToGrid w:val="0"/>
                <w:color w:val="000000"/>
                <w:kern w:val="0"/>
                <w:sz w:val="24"/>
                <w:szCs w:val="24"/>
                <w:u w:val="none"/>
                <w:lang w:val="en-US" w:eastAsia="zh-CN" w:bidi="ar"/>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02" w:type="dxa"/>
            <w:vMerge w:val="continue"/>
            <w:tcBorders>
              <w:top w:val="nil"/>
              <w:left w:val="nil"/>
            </w:tcBorders>
            <w:textDirection w:val="tbRlV"/>
            <w:vAlign w:val="top"/>
          </w:tcPr>
          <w:p w14:paraId="287D7E1E">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1807" w:type="dxa"/>
            <w:vAlign w:val="top"/>
          </w:tcPr>
          <w:p w14:paraId="12295708">
            <w:pPr>
              <w:pStyle w:val="10"/>
              <w:keepNext/>
              <w:keepLines/>
              <w:pageBreakBefore w:val="0"/>
              <w:widowControl w:val="0"/>
              <w:kinsoku/>
              <w:wordWrap/>
              <w:overflowPunct w:val="0"/>
              <w:topLinePunct/>
              <w:autoSpaceDE/>
              <w:autoSpaceDN/>
              <w:bidi w:val="0"/>
              <w:adjustRightInd w:val="0"/>
              <w:snapToGrid w:val="0"/>
              <w:spacing w:before="197" w:line="219" w:lineRule="auto"/>
              <w:ind w:left="18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top"/>
          </w:tcPr>
          <w:p w14:paraId="01CA1CD3">
            <w:pPr>
              <w:pStyle w:val="10"/>
              <w:keepNext/>
              <w:keepLines/>
              <w:pageBreakBefore w:val="0"/>
              <w:widowControl w:val="0"/>
              <w:kinsoku/>
              <w:wordWrap/>
              <w:overflowPunct w:val="0"/>
              <w:topLinePunct/>
              <w:autoSpaceDE/>
              <w:autoSpaceDN/>
              <w:bidi w:val="0"/>
              <w:adjustRightInd w:val="0"/>
              <w:snapToGrid w:val="0"/>
              <w:spacing w:before="19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合水县</w:t>
            </w:r>
            <w:r>
              <w:rPr>
                <w:rFonts w:hint="eastAsia" w:asciiTheme="minorEastAsia" w:hAnsiTheme="minorEastAsia" w:eastAsiaTheme="minorEastAsia" w:cstheme="minorEastAsia"/>
                <w:spacing w:val="0"/>
                <w:sz w:val="24"/>
                <w:szCs w:val="24"/>
                <w:lang w:eastAsia="zh-CN"/>
              </w:rPr>
              <w:t>工业集中区管理委员会</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702" w:type="dxa"/>
            <w:tcBorders>
              <w:left w:val="nil"/>
            </w:tcBorders>
            <w:textDirection w:val="tbRlV"/>
            <w:vAlign w:val="top"/>
          </w:tcPr>
          <w:p w14:paraId="3218D0BA">
            <w:pPr>
              <w:pStyle w:val="10"/>
              <w:keepNext/>
              <w:keepLines/>
              <w:pageBreakBefore w:val="0"/>
              <w:widowControl w:val="0"/>
              <w:kinsoku/>
              <w:wordWrap/>
              <w:overflowPunct w:val="0"/>
              <w:topLinePunct/>
              <w:autoSpaceDE/>
              <w:autoSpaceDN/>
              <w:bidi w:val="0"/>
              <w:adjustRightInd w:val="0"/>
              <w:snapToGrid w:val="0"/>
              <w:spacing w:before="229" w:line="202" w:lineRule="auto"/>
              <w:ind w:left="204"/>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highlight w:val="none"/>
              </w:rPr>
              <w:t>实</w:t>
            </w:r>
            <w:r>
              <w:rPr>
                <w:rFonts w:hint="eastAsia" w:asciiTheme="minorEastAsia" w:hAnsiTheme="minorEastAsia" w:eastAsiaTheme="minorEastAsia" w:cstheme="minorEastAsia"/>
                <w:spacing w:val="0"/>
                <w:sz w:val="24"/>
                <w:szCs w:val="24"/>
                <w:highlight w:val="none"/>
              </w:rPr>
              <w:t xml:space="preserve"> </w:t>
            </w:r>
            <w:r>
              <w:rPr>
                <w:rFonts w:hint="eastAsia" w:asciiTheme="minorEastAsia" w:hAnsiTheme="minorEastAsia" w:eastAsiaTheme="minorEastAsia" w:cstheme="minorEastAsia"/>
                <w:b/>
                <w:bCs/>
                <w:spacing w:val="0"/>
                <w:sz w:val="24"/>
                <w:szCs w:val="24"/>
                <w:highlight w:val="none"/>
              </w:rPr>
              <w:t>施</w:t>
            </w:r>
            <w:r>
              <w:rPr>
                <w:rFonts w:hint="eastAsia" w:asciiTheme="minorEastAsia" w:hAnsiTheme="minorEastAsia" w:eastAsiaTheme="minorEastAsia" w:cstheme="minorEastAsia"/>
                <w:spacing w:val="0"/>
                <w:sz w:val="24"/>
                <w:szCs w:val="24"/>
                <w:highlight w:val="none"/>
              </w:rPr>
              <w:t xml:space="preserve"> </w:t>
            </w:r>
            <w:r>
              <w:rPr>
                <w:rFonts w:hint="eastAsia" w:asciiTheme="minorEastAsia" w:hAnsiTheme="minorEastAsia" w:eastAsiaTheme="minorEastAsia" w:cstheme="minorEastAsia"/>
                <w:b/>
                <w:bCs/>
                <w:spacing w:val="0"/>
                <w:position w:val="1"/>
                <w:sz w:val="24"/>
                <w:szCs w:val="24"/>
                <w:highlight w:val="none"/>
              </w:rPr>
              <w:t>目</w:t>
            </w:r>
            <w:r>
              <w:rPr>
                <w:rFonts w:hint="eastAsia" w:asciiTheme="minorEastAsia" w:hAnsiTheme="minorEastAsia" w:eastAsiaTheme="minorEastAsia" w:cstheme="minorEastAsia"/>
                <w:spacing w:val="0"/>
                <w:position w:val="1"/>
                <w:sz w:val="24"/>
                <w:szCs w:val="24"/>
                <w:highlight w:val="none"/>
              </w:rPr>
              <w:t xml:space="preserve"> </w:t>
            </w:r>
            <w:r>
              <w:rPr>
                <w:rFonts w:hint="eastAsia" w:asciiTheme="minorEastAsia" w:hAnsiTheme="minorEastAsia" w:eastAsiaTheme="minorEastAsia" w:cstheme="minorEastAsia"/>
                <w:b/>
                <w:bCs/>
                <w:spacing w:val="0"/>
                <w:sz w:val="24"/>
                <w:szCs w:val="24"/>
                <w:highlight w:val="none"/>
              </w:rPr>
              <w:t>的</w:t>
            </w:r>
          </w:p>
        </w:tc>
        <w:tc>
          <w:tcPr>
            <w:tcW w:w="7827" w:type="dxa"/>
            <w:gridSpan w:val="5"/>
            <w:tcBorders>
              <w:right w:val="nil"/>
            </w:tcBorders>
            <w:vAlign w:val="top"/>
          </w:tcPr>
          <w:p w14:paraId="44CDA8F0">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合水县工业集中区管理委员会</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衡量部门整体及核心业务实施效果</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keepNext/>
              <w:keepLines/>
              <w:pageBreakBefore w:val="0"/>
              <w:widowControl w:val="0"/>
              <w:kinsoku/>
              <w:wordWrap/>
              <w:overflowPunct w:val="0"/>
              <w:topLinePunct/>
              <w:autoSpaceDE/>
              <w:autoSpaceDN/>
              <w:bidi w:val="0"/>
              <w:adjustRightInd w:val="0"/>
              <w:snapToGrid w:val="0"/>
              <w:spacing w:before="229" w:line="202" w:lineRule="auto"/>
              <w:ind w:left="204" w:leftChars="0" w:right="113" w:firstLine="241" w:firstLineChars="100"/>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keepNext/>
              <w:keepLines/>
              <w:pageBreakBefore w:val="0"/>
              <w:widowControl w:val="0"/>
              <w:kinsoku/>
              <w:wordWrap/>
              <w:overflowPunct w:val="0"/>
              <w:topLinePunct/>
              <w:autoSpaceDE/>
              <w:autoSpaceDN/>
              <w:bidi w:val="0"/>
              <w:adjustRightInd w:val="0"/>
              <w:snapToGrid w:val="0"/>
              <w:spacing w:before="200" w:line="220" w:lineRule="auto"/>
              <w:ind w:left="189"/>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983" w:type="dxa"/>
            <w:vAlign w:val="top"/>
          </w:tcPr>
          <w:p w14:paraId="2EE08C3F">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396.41</w:t>
            </w:r>
            <w:r>
              <w:rPr>
                <w:rFonts w:hint="eastAsia" w:asciiTheme="minorEastAsia" w:hAnsiTheme="minorEastAsia" w:eastAsiaTheme="minorEastAsia" w:cstheme="minorEastAsia"/>
                <w:b w:val="0"/>
                <w:bCs w:val="0"/>
                <w:kern w:val="2"/>
                <w:sz w:val="24"/>
                <w:szCs w:val="24"/>
                <w:lang w:val="en-US" w:eastAsia="zh-CN" w:bidi="ar-SA"/>
              </w:rPr>
              <w:t>万元</w:t>
            </w:r>
          </w:p>
        </w:tc>
        <w:tc>
          <w:tcPr>
            <w:tcW w:w="1900" w:type="dxa"/>
            <w:gridSpan w:val="2"/>
            <w:vAlign w:val="top"/>
          </w:tcPr>
          <w:p w14:paraId="41C16993">
            <w:pPr>
              <w:pStyle w:val="10"/>
              <w:keepNext/>
              <w:keepLines/>
              <w:pageBreakBefore w:val="0"/>
              <w:widowControl w:val="0"/>
              <w:kinsoku/>
              <w:wordWrap/>
              <w:overflowPunct w:val="0"/>
              <w:topLinePunct/>
              <w:autoSpaceDE/>
              <w:autoSpaceDN/>
              <w:bidi w:val="0"/>
              <w:adjustRightInd w:val="0"/>
              <w:snapToGrid w:val="0"/>
              <w:spacing w:before="200" w:line="221" w:lineRule="auto"/>
              <w:ind w:left="247"/>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474.16</w:t>
            </w:r>
            <w:r>
              <w:rPr>
                <w:rFonts w:hint="eastAsia" w:asciiTheme="minorEastAsia" w:hAnsiTheme="minorEastAsia" w:eastAsiaTheme="minorEastAsia" w:cstheme="minorEastAsia"/>
                <w:b w:val="0"/>
                <w:bCs w:val="0"/>
                <w:kern w:val="2"/>
                <w:sz w:val="24"/>
                <w:szCs w:val="24"/>
                <w:lang w:val="en-US" w:eastAsia="zh-CN" w:bidi="ar-SA"/>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keepNext/>
              <w:keepLines/>
              <w:pageBreakBefore w:val="0"/>
              <w:widowControl w:val="0"/>
              <w:kinsoku/>
              <w:wordWrap/>
              <w:overflowPunct w:val="0"/>
              <w:topLinePunct/>
              <w:autoSpaceDE/>
              <w:autoSpaceDN/>
              <w:bidi w:val="0"/>
              <w:adjustRightInd w:val="0"/>
              <w:snapToGrid w:val="0"/>
              <w:spacing w:before="200" w:line="221" w:lineRule="auto"/>
              <w:ind w:left="116"/>
              <w:jc w:val="right"/>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983" w:type="dxa"/>
            <w:vAlign w:val="top"/>
          </w:tcPr>
          <w:p w14:paraId="290B9AA6">
            <w:pPr>
              <w:pStyle w:val="10"/>
              <w:keepNext/>
              <w:keepLines/>
              <w:pageBreakBefore w:val="0"/>
              <w:widowControl w:val="0"/>
              <w:kinsoku/>
              <w:wordWrap/>
              <w:overflowPunct w:val="0"/>
              <w:topLinePunct/>
              <w:autoSpaceDE/>
              <w:autoSpaceDN/>
              <w:bidi w:val="0"/>
              <w:adjustRightInd w:val="0"/>
              <w:snapToGrid w:val="0"/>
              <w:spacing w:before="240" w:line="183" w:lineRule="auto"/>
              <w:jc w:val="center"/>
              <w:textAlignment w:val="auto"/>
              <w:rPr>
                <w:rFonts w:hint="eastAsia" w:asciiTheme="minorEastAsia" w:hAnsiTheme="minorEastAsia" w:eastAsiaTheme="minorEastAsia" w:cstheme="minorEastAsia"/>
                <w:spacing w:val="0"/>
                <w:sz w:val="24"/>
                <w:szCs w:val="24"/>
                <w:highlight w:val="none"/>
              </w:rPr>
            </w:pPr>
          </w:p>
        </w:tc>
        <w:tc>
          <w:tcPr>
            <w:tcW w:w="1900" w:type="dxa"/>
            <w:gridSpan w:val="2"/>
            <w:vAlign w:val="top"/>
          </w:tcPr>
          <w:p w14:paraId="66105287">
            <w:pPr>
              <w:pStyle w:val="10"/>
              <w:keepNext/>
              <w:keepLines/>
              <w:pageBreakBefore w:val="0"/>
              <w:widowControl w:val="0"/>
              <w:kinsoku/>
              <w:wordWrap/>
              <w:overflowPunct w:val="0"/>
              <w:topLinePunct/>
              <w:autoSpaceDE/>
              <w:autoSpaceDN/>
              <w:bidi w:val="0"/>
              <w:adjustRightInd w:val="0"/>
              <w:snapToGrid w:val="0"/>
              <w:spacing w:before="200" w:line="221" w:lineRule="auto"/>
              <w:ind w:left="127"/>
              <w:jc w:val="right"/>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keepNext/>
              <w:keepLines/>
              <w:pageBreakBefore w:val="0"/>
              <w:widowControl w:val="0"/>
              <w:kinsoku/>
              <w:wordWrap/>
              <w:overflowPunct w:val="0"/>
              <w:topLinePunct/>
              <w:autoSpaceDE/>
              <w:autoSpaceDN/>
              <w:bidi w:val="0"/>
              <w:adjustRightInd w:val="0"/>
              <w:snapToGrid w:val="0"/>
              <w:spacing w:before="240" w:beforeLines="0" w:afterLines="0" w:line="183" w:lineRule="auto"/>
              <w:jc w:val="center"/>
              <w:textAlignment w:val="auto"/>
              <w:rPr>
                <w:rFonts w:hint="eastAsia" w:asciiTheme="minorEastAsia" w:hAnsiTheme="minorEastAsia" w:eastAsiaTheme="minorEastAsia" w:cstheme="minorEastAsia"/>
                <w:spacing w:val="0"/>
                <w:sz w:val="24"/>
                <w:szCs w:val="24"/>
                <w:highlight w:val="none"/>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keepNext/>
              <w:keepLines/>
              <w:pageBreakBefore w:val="0"/>
              <w:widowControl w:val="0"/>
              <w:kinsoku/>
              <w:wordWrap/>
              <w:overflowPunct w:val="0"/>
              <w:topLinePunct/>
              <w:autoSpaceDE/>
              <w:autoSpaceDN/>
              <w:bidi w:val="0"/>
              <w:adjustRightInd w:val="0"/>
              <w:snapToGrid w:val="0"/>
              <w:spacing w:before="202" w:line="220" w:lineRule="auto"/>
              <w:jc w:val="righ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983" w:type="dxa"/>
            <w:vAlign w:val="top"/>
          </w:tcPr>
          <w:p w14:paraId="190C312A">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396.41</w:t>
            </w:r>
            <w:r>
              <w:rPr>
                <w:rFonts w:hint="eastAsia" w:asciiTheme="minorEastAsia" w:hAnsiTheme="minorEastAsia" w:eastAsiaTheme="minorEastAsia" w:cstheme="minorEastAsia"/>
                <w:b w:val="0"/>
                <w:bCs w:val="0"/>
                <w:kern w:val="2"/>
                <w:sz w:val="24"/>
                <w:szCs w:val="24"/>
                <w:lang w:val="en-US" w:eastAsia="zh-CN" w:bidi="ar-SA"/>
              </w:rPr>
              <w:t>万元</w:t>
            </w:r>
          </w:p>
        </w:tc>
        <w:tc>
          <w:tcPr>
            <w:tcW w:w="1900" w:type="dxa"/>
            <w:gridSpan w:val="2"/>
            <w:vAlign w:val="top"/>
          </w:tcPr>
          <w:p w14:paraId="2DF377AF">
            <w:pPr>
              <w:pStyle w:val="10"/>
              <w:keepNext/>
              <w:keepLines/>
              <w:pageBreakBefore w:val="0"/>
              <w:widowControl w:val="0"/>
              <w:kinsoku/>
              <w:wordWrap/>
              <w:overflowPunct w:val="0"/>
              <w:topLinePunct/>
              <w:autoSpaceDE/>
              <w:autoSpaceDN/>
              <w:bidi w:val="0"/>
              <w:adjustRightInd w:val="0"/>
              <w:snapToGrid w:val="0"/>
              <w:spacing w:before="202" w:line="220" w:lineRule="auto"/>
              <w:jc w:val="righ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474.16</w:t>
            </w:r>
            <w:r>
              <w:rPr>
                <w:rFonts w:hint="eastAsia" w:asciiTheme="minorEastAsia" w:hAnsiTheme="minorEastAsia" w:eastAsiaTheme="minorEastAsia" w:cstheme="minorEastAsia"/>
                <w:b w:val="0"/>
                <w:bCs w:val="0"/>
                <w:kern w:val="2"/>
                <w:sz w:val="24"/>
                <w:szCs w:val="24"/>
                <w:lang w:val="en-US" w:eastAsia="zh-CN" w:bidi="ar-SA"/>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keepNext/>
              <w:keepLines/>
              <w:pageBreakBefore w:val="0"/>
              <w:widowControl w:val="0"/>
              <w:kinsoku/>
              <w:wordWrap/>
              <w:overflowPunct w:val="0"/>
              <w:topLinePunct/>
              <w:autoSpaceDE/>
              <w:autoSpaceDN/>
              <w:bidi w:val="0"/>
              <w:adjustRightInd w:val="0"/>
              <w:snapToGrid w:val="0"/>
              <w:spacing w:before="200" w:line="221" w:lineRule="auto"/>
              <w:ind w:left="193"/>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983" w:type="dxa"/>
            <w:vAlign w:val="top"/>
          </w:tcPr>
          <w:p w14:paraId="64F54DE7">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474.16</w:t>
            </w:r>
            <w:r>
              <w:rPr>
                <w:rFonts w:hint="eastAsia" w:asciiTheme="minorEastAsia" w:hAnsiTheme="minorEastAsia" w:eastAsiaTheme="minorEastAsia" w:cstheme="minorEastAsia"/>
                <w:b w:val="0"/>
                <w:bCs w:val="0"/>
                <w:kern w:val="2"/>
                <w:sz w:val="24"/>
                <w:szCs w:val="24"/>
                <w:lang w:val="en-US" w:eastAsia="zh-CN" w:bidi="ar-SA"/>
              </w:rPr>
              <w:t>万元</w:t>
            </w:r>
          </w:p>
        </w:tc>
        <w:tc>
          <w:tcPr>
            <w:tcW w:w="1900" w:type="dxa"/>
            <w:gridSpan w:val="2"/>
            <w:vAlign w:val="top"/>
          </w:tcPr>
          <w:p w14:paraId="5F8D6931">
            <w:pPr>
              <w:pStyle w:val="10"/>
              <w:keepNext/>
              <w:keepLines/>
              <w:pageBreakBefore w:val="0"/>
              <w:widowControl w:val="0"/>
              <w:kinsoku/>
              <w:wordWrap/>
              <w:overflowPunct w:val="0"/>
              <w:topLinePunct/>
              <w:autoSpaceDE/>
              <w:autoSpaceDN/>
              <w:bidi w:val="0"/>
              <w:adjustRightInd w:val="0"/>
              <w:snapToGrid w:val="0"/>
              <w:spacing w:before="200" w:line="221" w:lineRule="auto"/>
              <w:ind w:left="247"/>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b w:val="0"/>
                <w:bCs w:val="0"/>
                <w:kern w:val="2"/>
                <w:sz w:val="24"/>
                <w:szCs w:val="24"/>
                <w:lang w:val="en-US" w:eastAsia="zh-CN" w:bidi="ar-SA"/>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keepNext/>
              <w:keepLines/>
              <w:pageBreakBefore w:val="0"/>
              <w:widowControl w:val="0"/>
              <w:kinsoku/>
              <w:wordWrap/>
              <w:overflowPunct w:val="0"/>
              <w:topLinePunct/>
              <w:autoSpaceDE/>
              <w:autoSpaceDN/>
              <w:bidi w:val="0"/>
              <w:adjustRightInd w:val="0"/>
              <w:snapToGrid w:val="0"/>
              <w:spacing w:before="202" w:line="220" w:lineRule="auto"/>
              <w:ind w:left="309"/>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728A160">
      <w:pPr>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393" w:type="dxa"/>
            <w:tcBorders>
              <w:left w:val="nil"/>
            </w:tcBorders>
            <w:vAlign w:val="center"/>
          </w:tcPr>
          <w:p w14:paraId="325593E1">
            <w:pPr>
              <w:pStyle w:val="10"/>
              <w:keepNext/>
              <w:keepLines/>
              <w:pageBreakBefore w:val="0"/>
              <w:widowControl w:val="0"/>
              <w:kinsoku/>
              <w:wordWrap/>
              <w:overflowPunct w:val="0"/>
              <w:topLinePunct/>
              <w:autoSpaceDE/>
              <w:autoSpaceDN/>
              <w:bidi w:val="0"/>
              <w:adjustRightInd w:val="0"/>
              <w:snapToGrid w:val="0"/>
              <w:spacing w:line="221" w:lineRule="auto"/>
              <w:ind w:left="0"/>
              <w:jc w:val="center"/>
              <w:textAlignment w:val="auto"/>
              <w:rPr>
                <w:rFonts w:hint="eastAsia" w:asciiTheme="minorEastAsia" w:hAnsiTheme="minorEastAsia" w:eastAsiaTheme="minorEastAsia" w:cstheme="minorEastAsia"/>
                <w:b/>
                <w:bCs/>
                <w:spacing w:val="0"/>
                <w:sz w:val="24"/>
                <w:szCs w:val="24"/>
                <w:highlight w:val="none"/>
              </w:rPr>
            </w:pPr>
            <w:r>
              <w:rPr>
                <w:rFonts w:hint="eastAsia" w:asciiTheme="minorEastAsia" w:hAnsiTheme="minorEastAsia" w:eastAsiaTheme="minorEastAsia" w:cstheme="minorEastAsia"/>
                <w:b/>
                <w:bCs/>
                <w:spacing w:val="0"/>
                <w:sz w:val="24"/>
                <w:szCs w:val="24"/>
                <w:highlight w:val="none"/>
              </w:rPr>
              <w:t>年度绩效</w:t>
            </w:r>
          </w:p>
          <w:p w14:paraId="6261B586">
            <w:pPr>
              <w:pStyle w:val="10"/>
              <w:keepNext/>
              <w:keepLines/>
              <w:pageBreakBefore w:val="0"/>
              <w:widowControl w:val="0"/>
              <w:kinsoku/>
              <w:wordWrap/>
              <w:overflowPunct w:val="0"/>
              <w:topLinePunct/>
              <w:autoSpaceDE/>
              <w:autoSpaceDN/>
              <w:bidi w:val="0"/>
              <w:adjustRightInd w:val="0"/>
              <w:snapToGrid w:val="0"/>
              <w:spacing w:line="221"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highlight w:val="none"/>
              </w:rPr>
              <w:t>目标</w:t>
            </w:r>
          </w:p>
        </w:tc>
        <w:tc>
          <w:tcPr>
            <w:tcW w:w="7136" w:type="dxa"/>
            <w:tcBorders>
              <w:right w:val="nil"/>
            </w:tcBorders>
            <w:vAlign w:val="top"/>
          </w:tcPr>
          <w:p w14:paraId="6AFAE305">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完成园区年度各项工作，包括省级开发区升级认定、基础设施建设、招商引资、企业服务、安全生产等。</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93" w:type="dxa"/>
            <w:tcBorders>
              <w:left w:val="nil"/>
            </w:tcBorders>
            <w:vAlign w:val="center"/>
          </w:tcPr>
          <w:p w14:paraId="4635A4B6">
            <w:pPr>
              <w:pStyle w:val="10"/>
              <w:keepNext/>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2024年度合水县工业集中区管理委员会部门整体支出绩效评价</w:t>
            </w:r>
          </w:p>
        </w:tc>
      </w:tr>
    </w:tbl>
    <w:p w14:paraId="6D80B9A0">
      <w:pPr>
        <w:keepNext/>
        <w:keepLines/>
        <w:pageBreakBefore w:val="0"/>
        <w:widowControl w:val="0"/>
        <w:kinsoku/>
        <w:wordWrap/>
        <w:overflowPunct w:val="0"/>
        <w:topLinePunct/>
        <w:autoSpaceDE/>
        <w:autoSpaceDN/>
        <w:bidi w:val="0"/>
        <w:adjustRightInd w:val="0"/>
        <w:snapToGrid w:val="0"/>
        <w:spacing w:line="91" w:lineRule="auto"/>
        <w:textAlignment w:val="auto"/>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7106"/>
      </w:tblGrid>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1423" w:type="dxa"/>
            <w:tcBorders>
              <w:left w:val="nil"/>
            </w:tcBorders>
            <w:vAlign w:val="center"/>
          </w:tcPr>
          <w:p w14:paraId="6A1272BF">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06" w:type="dxa"/>
            <w:tcBorders>
              <w:right w:val="nil"/>
            </w:tcBorders>
            <w:vAlign w:val="top"/>
          </w:tcPr>
          <w:p w14:paraId="70B710A0">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79E5C6E7">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264A9683">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4611DF">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7047C7AF">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5E2CD74D">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4E7BC76D">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10F99C59">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3" w:type="dxa"/>
            <w:tcBorders>
              <w:left w:val="nil"/>
            </w:tcBorders>
            <w:vAlign w:val="center"/>
          </w:tcPr>
          <w:p w14:paraId="6D0697B8">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b/>
                <w:bCs/>
                <w:spacing w:val="0"/>
              </w:rPr>
              <w:t>绩效评价指标体系</w:t>
            </w:r>
          </w:p>
        </w:tc>
        <w:tc>
          <w:tcPr>
            <w:tcW w:w="7106" w:type="dxa"/>
            <w:tcBorders>
              <w:right w:val="nil"/>
            </w:tcBorders>
            <w:vAlign w:val="center"/>
          </w:tcPr>
          <w:p w14:paraId="6A619EA5">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spacing w:val="0"/>
              </w:rPr>
            </w:pPr>
            <w:r>
              <w:rPr>
                <w:rFonts w:hint="eastAsia"/>
                <w:spacing w:val="0"/>
              </w:rPr>
              <w:t>围绕部门规划、运行成本、管理效率、履职效能、社会效应、可持续发展能力、服务对象满意度等七个维度构建绩效评价指标体系，其中</w:t>
            </w:r>
            <w:r>
              <w:rPr>
                <w:rFonts w:hint="eastAsia"/>
                <w:spacing w:val="0"/>
                <w:lang w:eastAsia="zh-CN"/>
              </w:rPr>
              <w:t>：</w:t>
            </w:r>
            <w:r>
              <w:rPr>
                <w:rFonts w:hint="eastAsia"/>
                <w:spacing w:val="0"/>
              </w:rPr>
              <w:t>一级指标7个、二级指标1</w:t>
            </w:r>
            <w:r>
              <w:rPr>
                <w:rFonts w:hint="eastAsia"/>
                <w:spacing w:val="0"/>
                <w:lang w:val="en-US" w:eastAsia="zh-CN"/>
              </w:rPr>
              <w:t>3</w:t>
            </w:r>
            <w:r>
              <w:rPr>
                <w:rFonts w:hint="eastAsia"/>
                <w:spacing w:val="0"/>
              </w:rPr>
              <w:t>个、三级指标</w:t>
            </w:r>
            <w:r>
              <w:rPr>
                <w:rFonts w:hint="eastAsia"/>
                <w:spacing w:val="0"/>
                <w:lang w:val="en-US" w:eastAsia="zh-CN"/>
              </w:rPr>
              <w:t>26</w:t>
            </w:r>
            <w:r>
              <w:rPr>
                <w:rFonts w:hint="eastAsia"/>
                <w:spacing w:val="0"/>
              </w:rPr>
              <w:t>个。部门规划等一级指标占比分别为</w:t>
            </w:r>
            <w:r>
              <w:rPr>
                <w:rFonts w:hint="eastAsia"/>
                <w:spacing w:val="0"/>
                <w:lang w:val="en-US" w:eastAsia="zh-CN"/>
              </w:rPr>
              <w:t>12</w:t>
            </w:r>
            <w:r>
              <w:rPr>
                <w:rFonts w:hint="eastAsia"/>
                <w:spacing w:val="0"/>
              </w:rPr>
              <w:t>%、</w:t>
            </w:r>
            <w:r>
              <w:rPr>
                <w:rFonts w:hint="eastAsia"/>
                <w:spacing w:val="0"/>
                <w:lang w:val="en-US" w:eastAsia="zh-CN"/>
              </w:rPr>
              <w:t>10</w:t>
            </w:r>
            <w:r>
              <w:rPr>
                <w:rFonts w:hint="eastAsia"/>
                <w:spacing w:val="0"/>
              </w:rPr>
              <w:t>%、</w:t>
            </w:r>
            <w:r>
              <w:rPr>
                <w:rFonts w:hint="eastAsia"/>
                <w:spacing w:val="0"/>
                <w:lang w:val="en-US" w:eastAsia="zh-CN"/>
              </w:rPr>
              <w:t>23</w:t>
            </w:r>
            <w:r>
              <w:rPr>
                <w:rFonts w:hint="eastAsia"/>
                <w:spacing w:val="0"/>
              </w:rPr>
              <w:t>%、</w:t>
            </w:r>
            <w:r>
              <w:rPr>
                <w:rFonts w:hint="eastAsia"/>
                <w:spacing w:val="0"/>
                <w:lang w:val="en-US" w:eastAsia="zh-CN"/>
              </w:rPr>
              <w:t>30</w:t>
            </w:r>
            <w:r>
              <w:rPr>
                <w:rFonts w:hint="eastAsia"/>
                <w:spacing w:val="0"/>
              </w:rPr>
              <w:t>%、</w:t>
            </w:r>
            <w:r>
              <w:rPr>
                <w:rFonts w:hint="eastAsia"/>
                <w:spacing w:val="0"/>
                <w:lang w:val="en-US" w:eastAsia="zh-CN"/>
              </w:rPr>
              <w:t>5</w:t>
            </w:r>
            <w:r>
              <w:rPr>
                <w:rFonts w:hint="eastAsia"/>
                <w:spacing w:val="0"/>
              </w:rPr>
              <w:t>%、</w:t>
            </w:r>
            <w:r>
              <w:rPr>
                <w:rFonts w:hint="eastAsia"/>
                <w:spacing w:val="0"/>
                <w:lang w:val="en-US" w:eastAsia="zh-CN"/>
              </w:rPr>
              <w:t>10</w:t>
            </w:r>
            <w:r>
              <w:rPr>
                <w:rFonts w:hint="eastAsia"/>
                <w:spacing w:val="0"/>
              </w:rPr>
              <w:t>%、</w:t>
            </w:r>
            <w:r>
              <w:rPr>
                <w:rFonts w:hint="eastAsia"/>
                <w:spacing w:val="0"/>
                <w:lang w:val="en-US" w:eastAsia="zh-CN"/>
              </w:rPr>
              <w:t>10</w:t>
            </w:r>
            <w:r>
              <w:rPr>
                <w:rFonts w:hint="eastAsia"/>
                <w:spacing w:val="0"/>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423" w:type="dxa"/>
            <w:tcBorders>
              <w:left w:val="nil"/>
            </w:tcBorders>
            <w:vAlign w:val="center"/>
          </w:tcPr>
          <w:p w14:paraId="590B79C0">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06" w:type="dxa"/>
            <w:tcBorders>
              <w:right w:val="nil"/>
            </w:tcBorders>
            <w:vAlign w:val="center"/>
          </w:tcPr>
          <w:p w14:paraId="532BE00F">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spacing w:val="0"/>
              </w:rPr>
            </w:pPr>
            <w:r>
              <w:rPr>
                <w:rFonts w:hint="eastAsia"/>
                <w:spacing w:val="0"/>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43DFCB98">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06" w:type="dxa"/>
            <w:tcBorders>
              <w:right w:val="nil"/>
            </w:tcBorders>
            <w:vAlign w:val="center"/>
          </w:tcPr>
          <w:p w14:paraId="58423AA5">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b/>
                <w:bCs/>
                <w:spacing w:val="0"/>
                <w:sz w:val="24"/>
                <w:szCs w:val="24"/>
              </w:rPr>
            </w:pPr>
            <w:r>
              <w:rPr>
                <w:rFonts w:hint="eastAsia"/>
                <w:spacing w:val="0"/>
              </w:rPr>
              <w:t>信息与数据收集采取抽样调查、现场调研、结构式访等方式进行，数据处理采取统计分析方法开展。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423" w:type="dxa"/>
            <w:tcBorders>
              <w:left w:val="nil"/>
            </w:tcBorders>
            <w:vAlign w:val="center"/>
          </w:tcPr>
          <w:p w14:paraId="7A26A088">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b/>
                <w:bCs/>
                <w:spacing w:val="0"/>
              </w:rPr>
            </w:pPr>
            <w:r>
              <w:rPr>
                <w:b/>
                <w:bCs/>
                <w:spacing w:val="0"/>
              </w:rPr>
              <w:t>绩效评价工作过程</w:t>
            </w:r>
          </w:p>
        </w:tc>
        <w:tc>
          <w:tcPr>
            <w:tcW w:w="7106" w:type="dxa"/>
            <w:tcBorders>
              <w:right w:val="nil"/>
            </w:tcBorders>
            <w:vAlign w:val="center"/>
          </w:tcPr>
          <w:p w14:paraId="1733217E">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en-US"/>
              </w:rPr>
            </w:pPr>
            <w:r>
              <w:rPr>
                <w:rFonts w:hint="eastAsia" w:asciiTheme="minorEastAsia" w:hAnsiTheme="minorEastAsia" w:eastAsiaTheme="minorEastAsia" w:cstheme="minorEastAsia"/>
                <w:spacing w:val="0"/>
                <w:sz w:val="24"/>
                <w:szCs w:val="24"/>
                <w:lang w:val="en-US" w:eastAsia="en-US"/>
              </w:rPr>
              <w:t>接受委托任务、拟定方案、开展培训、现场评价、撰写报告、资料归档。</w:t>
            </w:r>
          </w:p>
        </w:tc>
      </w:tr>
    </w:tbl>
    <w:p w14:paraId="5945FE5F">
      <w:pPr>
        <w:pStyle w:val="2"/>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857"/>
        <w:gridCol w:w="854"/>
        <w:gridCol w:w="664"/>
        <w:gridCol w:w="870"/>
        <w:gridCol w:w="840"/>
        <w:gridCol w:w="690"/>
        <w:gridCol w:w="986"/>
        <w:gridCol w:w="1020"/>
        <w:gridCol w:w="1046"/>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2" w:type="dxa"/>
            <w:tcBorders>
              <w:left w:val="nil"/>
            </w:tcBorders>
            <w:vAlign w:val="top"/>
          </w:tcPr>
          <w:p w14:paraId="08AA7ECA">
            <w:pPr>
              <w:pStyle w:val="10"/>
              <w:keepNext/>
              <w:keepLines/>
              <w:pageBreakBefore w:val="0"/>
              <w:widowControl w:val="0"/>
              <w:kinsoku/>
              <w:wordWrap/>
              <w:overflowPunct w:val="0"/>
              <w:topLinePunct/>
              <w:autoSpaceDE/>
              <w:autoSpaceDN/>
              <w:bidi w:val="0"/>
              <w:adjustRightInd w:val="0"/>
              <w:snapToGrid w:val="0"/>
              <w:spacing w:before="117" w:line="220" w:lineRule="auto"/>
              <w:ind w:left="146"/>
              <w:textAlignment w:val="auto"/>
              <w:rPr>
                <w:rFonts w:hint="eastAsia" w:asciiTheme="minorEastAsia" w:hAnsiTheme="minorEastAsia" w:eastAsiaTheme="minorEastAsia" w:cstheme="minorEastAsia"/>
                <w:spacing w:val="0"/>
                <w:sz w:val="24"/>
                <w:szCs w:val="24"/>
              </w:rPr>
            </w:pPr>
            <w:r>
              <w:rPr>
                <w:b/>
                <w:bCs/>
                <w:spacing w:val="-6"/>
              </w:rPr>
              <w:t>综合评价结论</w:t>
            </w:r>
          </w:p>
        </w:tc>
        <w:tc>
          <w:tcPr>
            <w:tcW w:w="1711" w:type="dxa"/>
            <w:gridSpan w:val="2"/>
            <w:vAlign w:val="center"/>
          </w:tcPr>
          <w:p w14:paraId="45670BCB">
            <w:pPr>
              <w:pStyle w:val="10"/>
              <w:keepNext/>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374" w:type="dxa"/>
            <w:gridSpan w:val="3"/>
            <w:vAlign w:val="center"/>
          </w:tcPr>
          <w:p w14:paraId="2D1E3793">
            <w:pPr>
              <w:pStyle w:val="10"/>
              <w:keepNext/>
              <w:keepLines/>
              <w:pageBreakBefore w:val="0"/>
              <w:widowControl w:val="0"/>
              <w:kinsoku/>
              <w:wordWrap/>
              <w:overflowPunct w:val="0"/>
              <w:topLinePunct/>
              <w:autoSpaceDE/>
              <w:autoSpaceDN/>
              <w:bidi w:val="0"/>
              <w:adjustRightInd w:val="0"/>
              <w:snapToGrid w:val="0"/>
              <w:spacing w:before="78" w:line="183" w:lineRule="auto"/>
              <w:ind w:left="714"/>
              <w:jc w:val="center"/>
              <w:textAlignment w:val="auto"/>
              <w:rPr>
                <w:rFonts w:hint="eastAsia" w:asciiTheme="minorEastAsia" w:hAnsiTheme="minorEastAsia" w:eastAsiaTheme="minorEastAsia" w:cstheme="minorEastAsia"/>
                <w:spacing w:val="0"/>
                <w:sz w:val="24"/>
                <w:szCs w:val="24"/>
                <w:lang w:val="en-US" w:eastAsia="zh-CN"/>
              </w:rPr>
            </w:pPr>
          </w:p>
          <w:p w14:paraId="0D5E9CB2">
            <w:pPr>
              <w:pStyle w:val="10"/>
              <w:keepNext/>
              <w:keepLines/>
              <w:pageBreakBefore w:val="0"/>
              <w:widowControl w:val="0"/>
              <w:kinsoku/>
              <w:wordWrap/>
              <w:overflowPunct w:val="0"/>
              <w:topLinePunct/>
              <w:autoSpaceDE/>
              <w:autoSpaceDN/>
              <w:bidi w:val="0"/>
              <w:adjustRightInd w:val="0"/>
              <w:snapToGrid w:val="0"/>
              <w:spacing w:before="78" w:line="183" w:lineRule="auto"/>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88.80分</w:t>
            </w:r>
            <w:bookmarkStart w:id="0" w:name="_GoBack"/>
            <w:bookmarkEnd w:id="0"/>
          </w:p>
          <w:p w14:paraId="0D8C4482">
            <w:pPr>
              <w:pStyle w:val="10"/>
              <w:keepNext/>
              <w:keepLines/>
              <w:pageBreakBefore w:val="0"/>
              <w:widowControl w:val="0"/>
              <w:kinsoku/>
              <w:wordWrap/>
              <w:overflowPunct w:val="0"/>
              <w:topLinePunct/>
              <w:autoSpaceDE/>
              <w:autoSpaceDN/>
              <w:bidi w:val="0"/>
              <w:adjustRightInd w:val="0"/>
              <w:snapToGrid w:val="0"/>
              <w:spacing w:before="78" w:line="183" w:lineRule="auto"/>
              <w:ind w:left="714"/>
              <w:jc w:val="center"/>
              <w:textAlignment w:val="auto"/>
              <w:rPr>
                <w:rFonts w:hint="eastAsia" w:asciiTheme="minorEastAsia" w:hAnsiTheme="minorEastAsia" w:eastAsiaTheme="minorEastAsia" w:cstheme="minorEastAsia"/>
                <w:spacing w:val="0"/>
                <w:sz w:val="24"/>
                <w:szCs w:val="24"/>
                <w:lang w:val="en-US" w:eastAsia="zh-CN"/>
              </w:rPr>
            </w:pPr>
          </w:p>
        </w:tc>
        <w:tc>
          <w:tcPr>
            <w:tcW w:w="1676" w:type="dxa"/>
            <w:gridSpan w:val="2"/>
            <w:vAlign w:val="center"/>
          </w:tcPr>
          <w:p w14:paraId="0722B496">
            <w:pPr>
              <w:pStyle w:val="10"/>
              <w:keepNext/>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2066" w:type="dxa"/>
            <w:gridSpan w:val="2"/>
            <w:tcBorders>
              <w:right w:val="nil"/>
            </w:tcBorders>
            <w:vAlign w:val="center"/>
          </w:tcPr>
          <w:p w14:paraId="7EA12F27">
            <w:pPr>
              <w:pStyle w:val="10"/>
              <w:keepNext/>
              <w:keepLines/>
              <w:pageBreakBefore w:val="0"/>
              <w:widowControl w:val="0"/>
              <w:kinsoku/>
              <w:wordWrap/>
              <w:overflowPunct w:val="0"/>
              <w:topLinePunct/>
              <w:autoSpaceDE/>
              <w:autoSpaceDN/>
              <w:bidi w:val="0"/>
              <w:adjustRightInd w:val="0"/>
              <w:snapToGrid w:val="0"/>
              <w:spacing w:before="78" w:line="182" w:lineRule="auto"/>
              <w:jc w:val="center"/>
              <w:textAlignment w:val="auto"/>
              <w:rPr>
                <w:rFonts w:hint="eastAsia" w:asciiTheme="minorEastAsia" w:hAnsiTheme="minorEastAsia" w:eastAsiaTheme="minorEastAsia" w:cstheme="minorEastAsia"/>
                <w:spacing w:val="0"/>
                <w:sz w:val="24"/>
                <w:szCs w:val="24"/>
                <w:lang w:val="en-US" w:eastAsia="zh-CN"/>
              </w:rPr>
            </w:pPr>
          </w:p>
          <w:p w14:paraId="6BE09941">
            <w:pPr>
              <w:pStyle w:val="10"/>
              <w:keepNext/>
              <w:keepLines/>
              <w:pageBreakBefore w:val="0"/>
              <w:widowControl w:val="0"/>
              <w:kinsoku/>
              <w:wordWrap/>
              <w:overflowPunct w:val="0"/>
              <w:topLinePunct/>
              <w:autoSpaceDE/>
              <w:autoSpaceDN/>
              <w:bidi w:val="0"/>
              <w:adjustRightInd w:val="0"/>
              <w:snapToGrid w:val="0"/>
              <w:spacing w:before="78" w:line="182"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keepNext/>
              <w:keepLines/>
              <w:pageBreakBefore w:val="0"/>
              <w:widowControl w:val="0"/>
              <w:kinsoku/>
              <w:wordWrap/>
              <w:overflowPunct w:val="0"/>
              <w:topLinePunct/>
              <w:autoSpaceDE/>
              <w:autoSpaceDN/>
              <w:bidi w:val="0"/>
              <w:adjustRightInd w:val="0"/>
              <w:snapToGrid w:val="0"/>
              <w:spacing w:before="78" w:line="182" w:lineRule="auto"/>
              <w:jc w:val="center"/>
              <w:textAlignment w:val="auto"/>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top"/>
          </w:tcPr>
          <w:p w14:paraId="573773EA">
            <w:pPr>
              <w:keepNext/>
              <w:keepLines/>
              <w:pageBreakBefore w:val="0"/>
              <w:widowControl w:val="0"/>
              <w:kinsoku/>
              <w:wordWrap/>
              <w:overflowPunct w:val="0"/>
              <w:topLinePunct/>
              <w:autoSpaceDE/>
              <w:autoSpaceDN/>
              <w:bidi w:val="0"/>
              <w:adjustRightInd w:val="0"/>
              <w:snapToGrid w:val="0"/>
              <w:spacing w:line="244" w:lineRule="auto"/>
              <w:textAlignment w:val="auto"/>
              <w:rPr>
                <w:rFonts w:hint="eastAsia" w:asciiTheme="minorEastAsia" w:hAnsiTheme="minorEastAsia" w:eastAsiaTheme="minorEastAsia" w:cstheme="minorEastAsia"/>
                <w:spacing w:val="0"/>
                <w:sz w:val="24"/>
                <w:szCs w:val="24"/>
              </w:rPr>
            </w:pPr>
          </w:p>
          <w:p w14:paraId="4B231BE8">
            <w:pPr>
              <w:pStyle w:val="10"/>
              <w:keepNext/>
              <w:keepLines/>
              <w:pageBreakBefore w:val="0"/>
              <w:widowControl w:val="0"/>
              <w:kinsoku/>
              <w:wordWrap/>
              <w:overflowPunct w:val="0"/>
              <w:topLinePunct/>
              <w:autoSpaceDE/>
              <w:autoSpaceDN/>
              <w:bidi w:val="0"/>
              <w:adjustRightInd w:val="0"/>
              <w:snapToGrid w:val="0"/>
              <w:spacing w:before="78" w:line="220" w:lineRule="auto"/>
              <w:jc w:val="center"/>
              <w:textAlignment w:val="auto"/>
              <w:rPr>
                <w:rFonts w:hint="eastAsia"/>
                <w:b/>
                <w:bCs/>
                <w:spacing w:val="-6"/>
                <w:lang w:eastAsia="zh-CN"/>
              </w:rPr>
            </w:pPr>
          </w:p>
          <w:p w14:paraId="193A2183">
            <w:pPr>
              <w:pStyle w:val="10"/>
              <w:keepNext/>
              <w:keepLines/>
              <w:pageBreakBefore w:val="0"/>
              <w:widowControl w:val="0"/>
              <w:kinsoku/>
              <w:wordWrap/>
              <w:overflowPunct w:val="0"/>
              <w:topLinePunct/>
              <w:autoSpaceDE/>
              <w:autoSpaceDN/>
              <w:bidi w:val="0"/>
              <w:adjustRightInd w:val="0"/>
              <w:snapToGrid w:val="0"/>
              <w:spacing w:before="78" w:line="220" w:lineRule="auto"/>
              <w:jc w:val="center"/>
              <w:textAlignment w:val="auto"/>
            </w:pPr>
            <w:r>
              <w:rPr>
                <w:rFonts w:hint="eastAsia"/>
                <w:b/>
                <w:bCs/>
                <w:spacing w:val="-6"/>
                <w:lang w:eastAsia="zh-CN"/>
              </w:rPr>
              <w:t>绩</w:t>
            </w:r>
            <w:r>
              <w:rPr>
                <w:b/>
                <w:bCs/>
                <w:spacing w:val="-6"/>
              </w:rPr>
              <w:t>效</w:t>
            </w:r>
          </w:p>
          <w:p w14:paraId="4257DBB2">
            <w:pPr>
              <w:pStyle w:val="10"/>
              <w:keepNext/>
              <w:keepLines/>
              <w:pageBreakBefore w:val="0"/>
              <w:widowControl w:val="0"/>
              <w:kinsoku/>
              <w:wordWrap/>
              <w:overflowPunct w:val="0"/>
              <w:topLinePunct/>
              <w:autoSpaceDE/>
              <w:autoSpaceDN/>
              <w:bidi w:val="0"/>
              <w:adjustRightInd w:val="0"/>
              <w:snapToGrid w:val="0"/>
              <w:spacing w:before="78" w:line="230" w:lineRule="auto"/>
              <w:ind w:right="109"/>
              <w:jc w:val="center"/>
              <w:textAlignment w:val="auto"/>
              <w:rPr>
                <w:rFonts w:hint="eastAsia" w:asciiTheme="minorEastAsia" w:hAnsiTheme="minorEastAsia" w:eastAsiaTheme="minorEastAsia" w:cstheme="minorEastAsia"/>
                <w:spacing w:val="0"/>
                <w:sz w:val="24"/>
                <w:szCs w:val="24"/>
              </w:rPr>
            </w:pPr>
            <w:r>
              <w:rPr>
                <w:b/>
                <w:bCs/>
                <w:spacing w:val="-5"/>
              </w:rPr>
              <w:t>分析</w:t>
            </w:r>
          </w:p>
        </w:tc>
        <w:tc>
          <w:tcPr>
            <w:tcW w:w="857" w:type="dxa"/>
            <w:vAlign w:val="center"/>
          </w:tcPr>
          <w:p w14:paraId="4DFEE862">
            <w:pPr>
              <w:pStyle w:val="10"/>
              <w:keepNext/>
              <w:keepLines/>
              <w:pageBreakBefore w:val="0"/>
              <w:widowControl w:val="0"/>
              <w:kinsoku/>
              <w:wordWrap/>
              <w:overflowPunct w:val="0"/>
              <w:topLinePunct/>
              <w:autoSpaceDE/>
              <w:autoSpaceDN/>
              <w:bidi w:val="0"/>
              <w:adjustRightInd w:val="0"/>
              <w:snapToGrid w:val="0"/>
              <w:spacing w:before="78" w:line="221" w:lineRule="auto"/>
              <w:ind w:left="178"/>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854" w:type="dxa"/>
            <w:vAlign w:val="center"/>
          </w:tcPr>
          <w:p w14:paraId="303DEACB">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64" w:type="dxa"/>
            <w:vAlign w:val="center"/>
          </w:tcPr>
          <w:p w14:paraId="53F34F75">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870" w:type="dxa"/>
            <w:vAlign w:val="center"/>
          </w:tcPr>
          <w:p w14:paraId="161F1ED2">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40" w:type="dxa"/>
            <w:vAlign w:val="center"/>
          </w:tcPr>
          <w:p w14:paraId="46381FF0">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690" w:type="dxa"/>
            <w:vAlign w:val="center"/>
          </w:tcPr>
          <w:p w14:paraId="069193B5">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986" w:type="dxa"/>
            <w:vAlign w:val="center"/>
          </w:tcPr>
          <w:p w14:paraId="57EBCBDA">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1020" w:type="dxa"/>
            <w:vAlign w:val="center"/>
          </w:tcPr>
          <w:p w14:paraId="67CCD9C3">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1046" w:type="dxa"/>
            <w:tcBorders>
              <w:right w:val="nil"/>
            </w:tcBorders>
            <w:vAlign w:val="center"/>
          </w:tcPr>
          <w:p w14:paraId="2DB24984">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702" w:type="dxa"/>
            <w:vMerge w:val="continue"/>
            <w:tcBorders>
              <w:top w:val="nil"/>
              <w:left w:val="nil"/>
            </w:tcBorders>
            <w:vAlign w:val="top"/>
          </w:tcPr>
          <w:p w14:paraId="5D5C8174">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857" w:type="dxa"/>
            <w:vAlign w:val="top"/>
          </w:tcPr>
          <w:p w14:paraId="077BB81C">
            <w:pPr>
              <w:pStyle w:val="10"/>
              <w:keepNext/>
              <w:keepLines/>
              <w:pageBreakBefore w:val="0"/>
              <w:widowControl w:val="0"/>
              <w:kinsoku/>
              <w:wordWrap/>
              <w:overflowPunct w:val="0"/>
              <w:topLinePunct/>
              <w:autoSpaceDE/>
              <w:autoSpaceDN/>
              <w:bidi w:val="0"/>
              <w:adjustRightInd w:val="0"/>
              <w:snapToGrid w:val="0"/>
              <w:spacing w:before="174" w:line="284" w:lineRule="auto"/>
              <w:ind w:left="304" w:right="169" w:hanging="11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854" w:type="dxa"/>
            <w:vAlign w:val="center"/>
          </w:tcPr>
          <w:p w14:paraId="410E4AED">
            <w:pPr>
              <w:pStyle w:val="10"/>
              <w:keepNext/>
              <w:keepLines/>
              <w:pageBreakBefore w:val="0"/>
              <w:widowControl w:val="0"/>
              <w:kinsoku/>
              <w:wordWrap/>
              <w:overflowPunct w:val="0"/>
              <w:topLinePunct/>
              <w:autoSpaceDE/>
              <w:autoSpaceDN/>
              <w:bidi w:val="0"/>
              <w:adjustRightInd w:val="0"/>
              <w:snapToGrid w:val="0"/>
              <w:spacing w:before="65" w:line="270"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87.5%</w:t>
            </w:r>
          </w:p>
        </w:tc>
        <w:tc>
          <w:tcPr>
            <w:tcW w:w="664" w:type="dxa"/>
            <w:vAlign w:val="center"/>
          </w:tcPr>
          <w:p w14:paraId="17299B93">
            <w:pPr>
              <w:pStyle w:val="10"/>
              <w:keepNext/>
              <w:keepLines/>
              <w:pageBreakBefore w:val="0"/>
              <w:widowControl w:val="0"/>
              <w:kinsoku/>
              <w:wordWrap/>
              <w:overflowPunct w:val="0"/>
              <w:topLinePunct/>
              <w:autoSpaceDE/>
              <w:autoSpaceDN/>
              <w:bidi w:val="0"/>
              <w:adjustRightInd w:val="0"/>
              <w:snapToGrid w:val="0"/>
              <w:spacing w:before="65" w:line="270"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100%</w:t>
            </w:r>
          </w:p>
        </w:tc>
        <w:tc>
          <w:tcPr>
            <w:tcW w:w="870" w:type="dxa"/>
            <w:vAlign w:val="center"/>
          </w:tcPr>
          <w:p w14:paraId="6BDA2AA6">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95.65%</w:t>
            </w:r>
          </w:p>
        </w:tc>
        <w:tc>
          <w:tcPr>
            <w:tcW w:w="840" w:type="dxa"/>
            <w:vAlign w:val="center"/>
          </w:tcPr>
          <w:p w14:paraId="6B7C5C6B">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81.67%</w:t>
            </w:r>
          </w:p>
        </w:tc>
        <w:tc>
          <w:tcPr>
            <w:tcW w:w="690" w:type="dxa"/>
            <w:vAlign w:val="center"/>
          </w:tcPr>
          <w:p w14:paraId="28CCF245">
            <w:pPr>
              <w:pStyle w:val="10"/>
              <w:keepNext/>
              <w:keepLines/>
              <w:pageBreakBefore w:val="0"/>
              <w:widowControl w:val="0"/>
              <w:kinsoku/>
              <w:wordWrap/>
              <w:overflowPunct w:val="0"/>
              <w:topLinePunct/>
              <w:autoSpaceDE/>
              <w:autoSpaceDN/>
              <w:bidi w:val="0"/>
              <w:adjustRightInd w:val="0"/>
              <w:snapToGrid w:val="0"/>
              <w:spacing w:before="65" w:line="270"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60%</w:t>
            </w:r>
          </w:p>
        </w:tc>
        <w:tc>
          <w:tcPr>
            <w:tcW w:w="986" w:type="dxa"/>
            <w:vAlign w:val="center"/>
          </w:tcPr>
          <w:p w14:paraId="29671117">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90%</w:t>
            </w:r>
          </w:p>
        </w:tc>
        <w:tc>
          <w:tcPr>
            <w:tcW w:w="1020" w:type="dxa"/>
            <w:vAlign w:val="center"/>
          </w:tcPr>
          <w:p w14:paraId="55CF812C">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spacing w:val="0"/>
                <w:position w:val="1"/>
                <w:sz w:val="24"/>
                <w:szCs w:val="24"/>
                <w:lang w:val="en-US" w:eastAsia="zh-CN"/>
              </w:rPr>
              <w:t>98%</w:t>
            </w:r>
          </w:p>
        </w:tc>
        <w:tc>
          <w:tcPr>
            <w:tcW w:w="1046" w:type="dxa"/>
            <w:tcBorders>
              <w:right w:val="nil"/>
            </w:tcBorders>
            <w:vAlign w:val="center"/>
          </w:tcPr>
          <w:p w14:paraId="0614FB7D">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88.80%</w:t>
            </w:r>
          </w:p>
        </w:tc>
      </w:tr>
    </w:tbl>
    <w:p w14:paraId="010E9CDE">
      <w:pPr>
        <w:pStyle w:val="2"/>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五、存在的问题</w:t>
      </w: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65" w:hRule="atLeast"/>
        </w:trPr>
        <w:tc>
          <w:tcPr>
            <w:tcW w:w="8530" w:type="dxa"/>
            <w:tcBorders>
              <w:tl2br w:val="nil"/>
              <w:tr2bl w:val="nil"/>
            </w:tcBorders>
            <w:vAlign w:val="center"/>
          </w:tcPr>
          <w:p w14:paraId="7B613685">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财务制度、中长期建设规划等内容不完善，未装订成册。</w:t>
            </w:r>
          </w:p>
          <w:p w14:paraId="0E28F51D">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val="en-US" w:eastAsia="en-US" w:bidi="ar-SA"/>
              </w:rPr>
              <w:t>1.</w:t>
            </w:r>
            <w:r>
              <w:rPr>
                <w:rFonts w:hint="eastAsia" w:asciiTheme="minorEastAsia" w:hAnsiTheme="minorEastAsia" w:eastAsiaTheme="minorEastAsia" w:cstheme="minorEastAsia"/>
                <w:spacing w:val="0"/>
                <w:sz w:val="24"/>
                <w:szCs w:val="24"/>
              </w:rPr>
              <w:t>核心制度缺失或碎片化：缺乏基础性制度或制度分散在不同文件中，未形成统一体系。</w:t>
            </w:r>
          </w:p>
          <w:p w14:paraId="6DD96422">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2.财务监督机制缺乏基础性制度，内容制定简单，流程简便。</w:t>
            </w:r>
          </w:p>
          <w:p w14:paraId="6756C930">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3.问责机制不明确，制度中未明确“违规”行为的处罚标准。</w:t>
            </w:r>
          </w:p>
          <w:p w14:paraId="38B54456">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4.资金使用日常监督缺位：未建立常态化资产清查，内部监督独立性差，效能低下，监督频率低、覆盖面窄。</w:t>
            </w:r>
          </w:p>
          <w:p w14:paraId="6AC4BE46">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5.分类标准不统一，缺乏明确的分类规则，档案可能会存在分散存放，影响后续检索。</w:t>
            </w:r>
          </w:p>
          <w:p w14:paraId="7E0FE5E0">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6.重点工作管理制度缺乏系统性，制度可能仅针对单一环节，但未覆盖全流程。</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55" w:hRule="atLeast"/>
        </w:trPr>
        <w:tc>
          <w:tcPr>
            <w:tcW w:w="8530" w:type="dxa"/>
            <w:tcBorders>
              <w:tl2br w:val="nil"/>
              <w:tr2bl w:val="nil"/>
            </w:tcBorders>
            <w:vAlign w:val="center"/>
          </w:tcPr>
          <w:p w14:paraId="46363C55">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val="en-US" w:eastAsia="en-US" w:bidi="ar-SA"/>
              </w:rPr>
              <w:t>1.</w:t>
            </w:r>
            <w:r>
              <w:rPr>
                <w:rFonts w:hint="eastAsia" w:asciiTheme="minorEastAsia" w:hAnsiTheme="minorEastAsia" w:eastAsiaTheme="minorEastAsia" w:cstheme="minorEastAsia"/>
                <w:spacing w:val="0"/>
                <w:sz w:val="24"/>
                <w:szCs w:val="24"/>
              </w:rPr>
              <w:t>强化预算管理：严格按照预算科目编制和执行预算，提高预算编制的准确性和精细度。建立预算执行监控机制，及时发现和纠正预算执行中的偏差，避免资金拨付迟缓等问题。</w:t>
            </w:r>
          </w:p>
          <w:p w14:paraId="5BBC39C0">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2.完善财务监督机制：建立内部审计制度，定期对财务收支情况进行审计，加强对财务人员的监督和管理。同时，接受外部审计和社会监督，提高财务透明度。</w:t>
            </w:r>
          </w:p>
          <w:p w14:paraId="1CE3C7BA">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3.规范履约验收和档案管理：制定详细的验收方案，明确验收时间、方式、程序等内容，确保采购项目质量符合要求。加强政府采购档案管理，定期对档案管理情况进行审查，引入现代化电子档案管理系统，提高档案检索效率和管理的透明度。</w:t>
            </w:r>
          </w:p>
          <w:p w14:paraId="204C378C">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4.相关盘点制度：严格落实盘点计划，通过设置电子提醒、建立台账跟踪机制，确保盘点工作按时开展；规范记录标准，统一使用标准化表格，详细记录盘点时间、参与人员、资产状态等信息，并由责任人签字确认。</w:t>
            </w:r>
          </w:p>
          <w:p w14:paraId="7A29416C">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5.制定档案管理制度：明确档案分类、归档范围、保管期限、移交程序等，确保各环节有章可循。</w:t>
            </w:r>
          </w:p>
          <w:p w14:paraId="1E729072">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6.标准化操作流程：建立档案收集、整理、鉴定、销毁等环节标准作业程序，减少人为疏漏。</w:t>
            </w:r>
          </w:p>
          <w:p w14:paraId="5C02953E">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7.科学调整目标：强化规划引领重新评价园区产业定位，结合本地资源禀赋（如农产品加工、特色制造业）制定差异化目标。</w:t>
            </w:r>
          </w:p>
          <w:p w14:paraId="10D36C2E">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8.加强业务培训：定期组织采购人员参加业务培训，学习政府采购法律法规、政策制度和操作流程，提高采购人员的业务水平和专业素养，组织培训或学习交流。</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20" w:hRule="atLeast"/>
        </w:trPr>
        <w:tc>
          <w:tcPr>
            <w:tcW w:w="8530" w:type="dxa"/>
            <w:tcBorders>
              <w:tl2br w:val="nil"/>
              <w:tr2bl w:val="nil"/>
            </w:tcBorders>
            <w:vAlign w:val="center"/>
          </w:tcPr>
          <w:p w14:paraId="6A39E7E7">
            <w:pPr>
              <w:pStyle w:val="5"/>
              <w:keepNext/>
              <w:keepLines/>
              <w:pageBreakBefore w:val="0"/>
              <w:widowControl w:val="0"/>
              <w:suppressLineNumbers w:val="0"/>
              <w:kinsoku/>
              <w:wordWrap/>
              <w:overflowPunct w:val="0"/>
              <w:topLinePunct/>
              <w:autoSpaceDE/>
              <w:autoSpaceDN/>
              <w:bidi w:val="0"/>
              <w:adjustRightInd w:val="0"/>
              <w:snapToGrid w:val="0"/>
              <w:spacing w:beforeAutospacing="0" w:after="0" w:afterAutospacing="0"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1.采取统筹规划评价工期、规范评价管理流程、严格评价机构筛选、强化评价过程管控、优化评价组织模式等措施，统筹推进项目实施。</w:t>
            </w:r>
          </w:p>
          <w:p w14:paraId="374311E4">
            <w:pPr>
              <w:pStyle w:val="5"/>
              <w:keepNext/>
              <w:keepLines/>
              <w:pageBreakBefore w:val="0"/>
              <w:widowControl w:val="0"/>
              <w:suppressLineNumbers w:val="0"/>
              <w:kinsoku/>
              <w:wordWrap/>
              <w:overflowPunct w:val="0"/>
              <w:topLinePunct/>
              <w:autoSpaceDE/>
              <w:autoSpaceDN/>
              <w:bidi w:val="0"/>
              <w:adjustRightInd w:val="0"/>
              <w:snapToGrid w:val="0"/>
              <w:spacing w:beforeAutospacing="0" w:after="0" w:afterAutospacing="0"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2.创新项目主评人“交叉评审”、第三方机构“内审+终审”“质费挂钩”等机制，提高绩效评价服务水平和报告质量。</w:t>
            </w:r>
          </w:p>
          <w:p w14:paraId="6D911465">
            <w:pPr>
              <w:pStyle w:val="5"/>
              <w:keepNext/>
              <w:keepLines/>
              <w:pageBreakBefore w:val="0"/>
              <w:widowControl w:val="0"/>
              <w:suppressLineNumbers w:val="0"/>
              <w:kinsoku/>
              <w:wordWrap/>
              <w:overflowPunct w:val="0"/>
              <w:topLinePunct/>
              <w:autoSpaceDE/>
              <w:autoSpaceDN/>
              <w:bidi w:val="0"/>
              <w:adjustRightInd w:val="0"/>
              <w:snapToGrid w:val="0"/>
              <w:spacing w:beforeAutospacing="0" w:after="0" w:afterAutospacing="0"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2E1776D"/>
    <w:rsid w:val="03382487"/>
    <w:rsid w:val="049C7DEF"/>
    <w:rsid w:val="058663AA"/>
    <w:rsid w:val="067E2E92"/>
    <w:rsid w:val="067E3AD6"/>
    <w:rsid w:val="07A86AAB"/>
    <w:rsid w:val="07BC4304"/>
    <w:rsid w:val="089B43F4"/>
    <w:rsid w:val="09B554AF"/>
    <w:rsid w:val="09DF7BEC"/>
    <w:rsid w:val="0C8F3D96"/>
    <w:rsid w:val="11A57E6D"/>
    <w:rsid w:val="129852CD"/>
    <w:rsid w:val="12C329EB"/>
    <w:rsid w:val="16A06327"/>
    <w:rsid w:val="18F95898"/>
    <w:rsid w:val="190E50EB"/>
    <w:rsid w:val="19AC41D9"/>
    <w:rsid w:val="1D5242DB"/>
    <w:rsid w:val="1E620575"/>
    <w:rsid w:val="20FA3A7C"/>
    <w:rsid w:val="226B2757"/>
    <w:rsid w:val="23264FFC"/>
    <w:rsid w:val="236D2C2B"/>
    <w:rsid w:val="248A3369"/>
    <w:rsid w:val="2843634A"/>
    <w:rsid w:val="28E7579C"/>
    <w:rsid w:val="2E206AEC"/>
    <w:rsid w:val="300E12C4"/>
    <w:rsid w:val="30640F12"/>
    <w:rsid w:val="33707BCD"/>
    <w:rsid w:val="33723946"/>
    <w:rsid w:val="337B2999"/>
    <w:rsid w:val="35E82F17"/>
    <w:rsid w:val="3B6E70E8"/>
    <w:rsid w:val="3BE253E0"/>
    <w:rsid w:val="3C28373B"/>
    <w:rsid w:val="3C5F1085"/>
    <w:rsid w:val="3CD30337"/>
    <w:rsid w:val="43EE7018"/>
    <w:rsid w:val="455F19D3"/>
    <w:rsid w:val="45B91667"/>
    <w:rsid w:val="46596265"/>
    <w:rsid w:val="4703102D"/>
    <w:rsid w:val="47422245"/>
    <w:rsid w:val="47B922BA"/>
    <w:rsid w:val="48904B42"/>
    <w:rsid w:val="530F0D59"/>
    <w:rsid w:val="5A2E5F69"/>
    <w:rsid w:val="5BE30FD5"/>
    <w:rsid w:val="5CB62246"/>
    <w:rsid w:val="5E1436C8"/>
    <w:rsid w:val="5E8124E4"/>
    <w:rsid w:val="5F3C1128"/>
    <w:rsid w:val="6913481E"/>
    <w:rsid w:val="6CAC37DE"/>
    <w:rsid w:val="6DA700B4"/>
    <w:rsid w:val="706E686D"/>
    <w:rsid w:val="74D86DA5"/>
    <w:rsid w:val="77584B43"/>
    <w:rsid w:val="77D375C4"/>
    <w:rsid w:val="788A485A"/>
    <w:rsid w:val="7C4116D4"/>
    <w:rsid w:val="7C8021FC"/>
    <w:rsid w:val="7DCA74A7"/>
    <w:rsid w:val="7DE92023"/>
    <w:rsid w:val="7E3C027A"/>
    <w:rsid w:val="7E9571CD"/>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2110</Words>
  <Characters>2248</Characters>
  <TotalTime>2</TotalTime>
  <ScaleCrop>false</ScaleCrop>
  <LinksUpToDate>false</LinksUpToDate>
  <CharactersWithSpaces>2257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张瑾</cp:lastModifiedBy>
  <dcterms:modified xsi:type="dcterms:W3CDTF">2025-09-19T09:57:01Z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DC727B1E64E94254B35E2F2776EFB386_13</vt:lpwstr>
  </property>
  <property fmtid="{D5CDD505-2E9C-101B-9397-08002B2CF9AE}" pid="6" name="KSOTemplateDocerSaveRecord">
    <vt:lpwstr>eyJoZGlkIjoiY2MwMWVhMDU2OGZlNWU0NWEzZTM4YWQ4YTdhYWM3ZTUiLCJ1c2VySWQiOiI0MTA2NTQ0MTAifQ==</vt:lpwstr>
  </property>
</Properties>
</file>