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合水县固城镇人民政府</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811"/>
        <w:gridCol w:w="1963"/>
        <w:gridCol w:w="109"/>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4"/>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center"/>
          </w:tcPr>
          <w:p w14:paraId="72555EE4">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合水县固城镇人民政府</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center"/>
          </w:tcPr>
          <w:p w14:paraId="2EA19E04">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811" w:type="dxa"/>
            <w:vAlign w:val="center"/>
          </w:tcPr>
          <w:p w14:paraId="0329762F">
            <w:pPr>
              <w:pStyle w:val="14"/>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963" w:type="dxa"/>
            <w:vAlign w:val="center"/>
          </w:tcPr>
          <w:p w14:paraId="4C5785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46" w:type="dxa"/>
            <w:gridSpan w:val="2"/>
            <w:tcBorders>
              <w:right w:val="nil"/>
            </w:tcBorders>
            <w:vAlign w:val="center"/>
          </w:tcPr>
          <w:p w14:paraId="224F3882">
            <w:pPr>
              <w:pStyle w:val="14"/>
              <w:keepNext w:val="0"/>
              <w:keepLines w:val="0"/>
              <w:pageBreakBefore w:val="0"/>
              <w:widowControl w:val="0"/>
              <w:kinsoku/>
              <w:wordWrap/>
              <w:overflowPunct w:val="0"/>
              <w:topLinePunct/>
              <w:autoSpaceDE/>
              <w:autoSpaceDN/>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center"/>
          </w:tcPr>
          <w:p w14:paraId="64C60D4E">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811" w:type="dxa"/>
            <w:vAlign w:val="center"/>
          </w:tcPr>
          <w:p w14:paraId="5290E4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963" w:type="dxa"/>
            <w:vAlign w:val="center"/>
          </w:tcPr>
          <w:p w14:paraId="6F2F0719">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246" w:type="dxa"/>
            <w:gridSpan w:val="2"/>
            <w:tcBorders>
              <w:right w:val="nil"/>
            </w:tcBorders>
            <w:vAlign w:val="center"/>
          </w:tcPr>
          <w:p w14:paraId="12367D41">
            <w:pPr>
              <w:pStyle w:val="14"/>
              <w:keepNext w:val="0"/>
              <w:keepLines w:val="0"/>
              <w:pageBreakBefore w:val="0"/>
              <w:widowControl w:val="0"/>
              <w:kinsoku/>
              <w:wordWrap/>
              <w:overflowPunct w:val="0"/>
              <w:topLinePunct/>
              <w:autoSpaceDE/>
              <w:autoSpaceDN/>
              <w:bidi w:val="0"/>
              <w:adjustRightInd w:val="0"/>
              <w:snapToGrid w:val="0"/>
              <w:spacing w:line="228"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center"/>
          </w:tcPr>
          <w:p w14:paraId="122957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合水县固城镇人民政府</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4"/>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center"/>
          </w:tcPr>
          <w:p w14:paraId="44CDA8F0">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合水县固城镇人民政府</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4"/>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center"/>
          </w:tcPr>
          <w:p w14:paraId="41F20640">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811" w:type="dxa"/>
            <w:vAlign w:val="center"/>
          </w:tcPr>
          <w:p w14:paraId="2EE08C3F">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974.88</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41C16993">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center"/>
          </w:tcPr>
          <w:p w14:paraId="05DBC0B0">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1,068.94</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center"/>
          </w:tcPr>
          <w:p w14:paraId="4D05CF0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811" w:type="dxa"/>
            <w:vAlign w:val="center"/>
          </w:tcPr>
          <w:p w14:paraId="290B9AA6">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p>
        </w:tc>
        <w:tc>
          <w:tcPr>
            <w:tcW w:w="2072" w:type="dxa"/>
            <w:gridSpan w:val="2"/>
            <w:vAlign w:val="center"/>
          </w:tcPr>
          <w:p w14:paraId="6610528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center"/>
          </w:tcPr>
          <w:p w14:paraId="1C1E23BB">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center"/>
          </w:tcPr>
          <w:p w14:paraId="3B7E900E">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811" w:type="dxa"/>
            <w:vAlign w:val="center"/>
          </w:tcPr>
          <w:p w14:paraId="190C312A">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974.88</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2DF377AF">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center"/>
          </w:tcPr>
          <w:p w14:paraId="3710645A">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1,068.94</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center"/>
          </w:tcPr>
          <w:p w14:paraId="6A7167D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811" w:type="dxa"/>
            <w:vAlign w:val="center"/>
          </w:tcPr>
          <w:p w14:paraId="64F54DE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1,068.94</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5F8D6931">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center"/>
          </w:tcPr>
          <w:p w14:paraId="5D76397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center"/>
          </w:tcPr>
          <w:p w14:paraId="0818A1CE">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393" w:type="dxa"/>
            <w:tcBorders>
              <w:left w:val="nil"/>
            </w:tcBorders>
            <w:vAlign w:val="center"/>
          </w:tcPr>
          <w:p w14:paraId="325593E1">
            <w:pPr>
              <w:pStyle w:val="1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center"/>
          </w:tcPr>
          <w:p w14:paraId="2915ED1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1.促进经济发展、改善民生；</w:t>
            </w:r>
          </w:p>
          <w:p w14:paraId="6726342A">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2.加大对基础设施与公用设施建设的管理；</w:t>
            </w:r>
          </w:p>
          <w:p w14:paraId="61283A58">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3.大力发展文化事业，丰富人民群众文化生活，打造文明乡镇；</w:t>
            </w:r>
          </w:p>
          <w:p w14:paraId="6AFAE305">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highlight w:val="none"/>
                <w:lang w:val="en-US" w:eastAsia="zh-CN"/>
              </w:rPr>
              <w:t>4.改善农村环境，彻底解决农村环境卫生脏、乱、差问题，实现农村环境卫生管理的常态化</w:t>
            </w:r>
            <w:r>
              <w:rPr>
                <w:rFonts w:hint="eastAsia" w:asciiTheme="minorEastAsia" w:hAnsiTheme="minorEastAsia" w:eastAsiaTheme="minorEastAsia" w:cstheme="minorEastAsia"/>
                <w:spacing w:val="0"/>
                <w:sz w:val="24"/>
                <w:szCs w:val="24"/>
                <w:highlight w:val="none"/>
                <w:lang w:eastAsia="zh-CN"/>
              </w:rPr>
              <w:t>。</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4"/>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4"/>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4"/>
              <w:keepNext w:val="0"/>
              <w:keepLines w:val="0"/>
              <w:pageBreakBefore w:val="0"/>
              <w:widowControl w:val="0"/>
              <w:kinsoku/>
              <w:wordWrap/>
              <w:overflowPunct w:val="0"/>
              <w:topLinePunct/>
              <w:autoSpaceDE/>
              <w:autoSpaceDN/>
              <w:bidi w:val="0"/>
              <w:adjustRightInd w:val="0"/>
              <w:snapToGrid w:val="0"/>
              <w:spacing w:line="400" w:lineRule="exact"/>
              <w:ind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合水县固城镇人民政府</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3" w:hRule="atLeast"/>
        </w:trPr>
        <w:tc>
          <w:tcPr>
            <w:tcW w:w="1393" w:type="dxa"/>
            <w:tcBorders>
              <w:left w:val="nil"/>
            </w:tcBorders>
            <w:vAlign w:val="center"/>
          </w:tcPr>
          <w:p w14:paraId="6A1272BF">
            <w:pPr>
              <w:pStyle w:val="14"/>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center"/>
          </w:tcPr>
          <w:p w14:paraId="0A675F1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w:t>
            </w:r>
            <w:r>
              <w:rPr>
                <w:rFonts w:hint="eastAsia"/>
                <w:b/>
                <w:bCs/>
                <w:spacing w:val="0"/>
                <w:lang w:val="en-US" w:eastAsia="zh-CN"/>
              </w:rPr>
              <w:t xml:space="preserve">  </w:t>
            </w:r>
            <w:r>
              <w:rPr>
                <w:b/>
                <w:bCs/>
                <w:spacing w:val="0"/>
              </w:rPr>
              <w:t>指标体系</w:t>
            </w:r>
          </w:p>
        </w:tc>
        <w:tc>
          <w:tcPr>
            <w:tcW w:w="7136" w:type="dxa"/>
            <w:tcBorders>
              <w:right w:val="nil"/>
            </w:tcBorders>
            <w:vAlign w:val="center"/>
          </w:tcPr>
          <w:p w14:paraId="1F1E9C00">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一级指标7个、二级指标1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29</w:t>
            </w:r>
            <w:r>
              <w:rPr>
                <w:rFonts w:hint="eastAsia" w:asciiTheme="minorEastAsia" w:hAnsiTheme="minorEastAsia" w:eastAsiaTheme="minorEastAsia" w:cstheme="minorEastAsia"/>
                <w:spacing w:val="0"/>
                <w:sz w:val="24"/>
                <w:szCs w:val="24"/>
              </w:rPr>
              <w:t>个。部门规划等一级指标占比分别为</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w:t>
            </w:r>
            <w:r>
              <w:rPr>
                <w:rFonts w:hint="eastAsia" w:asciiTheme="minorEastAsia" w:hAnsiTheme="minorEastAsia" w:eastAsiaTheme="minorEastAsia" w:cstheme="minorEastAsia"/>
                <w:spacing w:val="0"/>
                <w:sz w:val="24"/>
                <w:szCs w:val="24"/>
                <w:lang w:eastAsia="zh-CN"/>
              </w:rPr>
              <w:t>访谈</w:t>
            </w:r>
            <w:r>
              <w:rPr>
                <w:rFonts w:hint="eastAsia" w:asciiTheme="minorEastAsia" w:hAnsiTheme="minorEastAsia" w:eastAsiaTheme="minorEastAsia" w:cstheme="minorEastAsia"/>
                <w:spacing w:val="0"/>
                <w:sz w:val="24"/>
                <w:szCs w:val="24"/>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393" w:type="dxa"/>
            <w:tcBorders>
              <w:left w:val="nil"/>
            </w:tcBorders>
            <w:vAlign w:val="center"/>
          </w:tcPr>
          <w:p w14:paraId="7A26A08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w:t>
            </w:r>
            <w:r>
              <w:rPr>
                <w:rFonts w:hint="eastAsia"/>
                <w:b/>
                <w:bCs/>
                <w:spacing w:val="0"/>
                <w:lang w:val="en-US" w:eastAsia="zh-CN"/>
              </w:rPr>
              <w:t xml:space="preserve">  </w:t>
            </w:r>
            <w:r>
              <w:rPr>
                <w:b/>
                <w:bCs/>
                <w:spacing w:val="0"/>
              </w:rPr>
              <w:t>工作过程</w:t>
            </w:r>
          </w:p>
        </w:tc>
        <w:tc>
          <w:tcPr>
            <w:tcW w:w="7136" w:type="dxa"/>
            <w:tcBorders>
              <w:right w:val="nil"/>
            </w:tcBorders>
            <w:vAlign w:val="center"/>
          </w:tcPr>
          <w:p w14:paraId="1733217E">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5"/>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875"/>
        <w:gridCol w:w="855"/>
        <w:gridCol w:w="688"/>
        <w:gridCol w:w="870"/>
        <w:gridCol w:w="843"/>
        <w:gridCol w:w="683"/>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09" w:type="dxa"/>
            <w:tcBorders>
              <w:left w:val="nil"/>
            </w:tcBorders>
            <w:vAlign w:val="center"/>
          </w:tcPr>
          <w:p w14:paraId="08AA7ECA">
            <w:pPr>
              <w:pStyle w:val="14"/>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b/>
                <w:bCs/>
                <w:spacing w:val="-6"/>
              </w:rPr>
              <w:t>综合评价结论</w:t>
            </w:r>
          </w:p>
        </w:tc>
        <w:tc>
          <w:tcPr>
            <w:tcW w:w="1730" w:type="dxa"/>
            <w:gridSpan w:val="2"/>
            <w:vAlign w:val="center"/>
          </w:tcPr>
          <w:p w14:paraId="45670BCB">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401" w:type="dxa"/>
            <w:gridSpan w:val="3"/>
            <w:vAlign w:val="center"/>
          </w:tcPr>
          <w:p w14:paraId="2D1E3793">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0D5E9CB2">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87.9分</w:t>
            </w:r>
          </w:p>
          <w:p w14:paraId="0D8C4482">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c>
          <w:tcPr>
            <w:tcW w:w="1763" w:type="dxa"/>
            <w:gridSpan w:val="2"/>
            <w:vAlign w:val="center"/>
          </w:tcPr>
          <w:p w14:paraId="0722B496">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4"/>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212A363F">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4"/>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09" w:type="dxa"/>
            <w:vMerge w:val="restart"/>
            <w:tcBorders>
              <w:left w:val="nil"/>
              <w:bottom w:val="nil"/>
            </w:tcBorders>
            <w:vAlign w:val="center"/>
          </w:tcPr>
          <w:p w14:paraId="4257DBB2">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b/>
                <w:bCs/>
                <w:spacing w:val="-6"/>
                <w:lang w:eastAsia="zh-CN"/>
              </w:rPr>
              <w:t>绩</w:t>
            </w:r>
            <w:r>
              <w:rPr>
                <w:b/>
                <w:bCs/>
                <w:spacing w:val="-6"/>
              </w:rPr>
              <w:t>效</w:t>
            </w:r>
            <w:r>
              <w:rPr>
                <w:rFonts w:hint="eastAsia"/>
                <w:b/>
                <w:bCs/>
                <w:spacing w:val="-6"/>
                <w:lang w:val="en-US" w:eastAsia="zh-CN"/>
              </w:rPr>
              <w:t xml:space="preserve"> </w:t>
            </w:r>
            <w:r>
              <w:rPr>
                <w:b/>
                <w:bCs/>
                <w:spacing w:val="-5"/>
              </w:rPr>
              <w:t>分析</w:t>
            </w:r>
          </w:p>
        </w:tc>
        <w:tc>
          <w:tcPr>
            <w:tcW w:w="875" w:type="dxa"/>
            <w:vAlign w:val="center"/>
          </w:tcPr>
          <w:p w14:paraId="4DFEE862">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5" w:type="dxa"/>
            <w:vAlign w:val="center"/>
          </w:tcPr>
          <w:p w14:paraId="303DEACB">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88" w:type="dxa"/>
            <w:vAlign w:val="center"/>
          </w:tcPr>
          <w:p w14:paraId="53F34F75">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70" w:type="dxa"/>
            <w:vAlign w:val="center"/>
          </w:tcPr>
          <w:p w14:paraId="161F1ED2">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43" w:type="dxa"/>
            <w:vAlign w:val="center"/>
          </w:tcPr>
          <w:p w14:paraId="46381FF0">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683" w:type="dxa"/>
            <w:vAlign w:val="center"/>
          </w:tcPr>
          <w:p w14:paraId="069193B5">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09" w:type="dxa"/>
            <w:vMerge w:val="continue"/>
            <w:tcBorders>
              <w:top w:val="nil"/>
              <w:left w:val="nil"/>
            </w:tcBorders>
            <w:vAlign w:val="center"/>
          </w:tcPr>
          <w:p w14:paraId="5D5C8174">
            <w:pPr>
              <w:keepNext w:val="0"/>
              <w:keepLines w:val="0"/>
              <w:pageBreakBefore w:val="0"/>
              <w:widowControl w:val="0"/>
              <w:kinsoku/>
              <w:wordWrap/>
              <w:overflowPunct w:val="0"/>
              <w:topLinePunct/>
              <w:autoSpaceDE/>
              <w:autoSpaceDN/>
              <w:bidi w:val="0"/>
              <w:adjustRightInd w:val="0"/>
              <w:snapToGrid w:val="0"/>
              <w:ind w:left="0"/>
              <w:jc w:val="center"/>
              <w:textAlignment w:val="baseline"/>
              <w:rPr>
                <w:rFonts w:hint="eastAsia" w:asciiTheme="minorEastAsia" w:hAnsiTheme="minorEastAsia" w:eastAsiaTheme="minorEastAsia" w:cstheme="minorEastAsia"/>
                <w:spacing w:val="0"/>
                <w:sz w:val="24"/>
                <w:szCs w:val="24"/>
              </w:rPr>
            </w:pPr>
          </w:p>
        </w:tc>
        <w:tc>
          <w:tcPr>
            <w:tcW w:w="875" w:type="dxa"/>
            <w:vAlign w:val="center"/>
          </w:tcPr>
          <w:p w14:paraId="077BB81C">
            <w:pPr>
              <w:pStyle w:val="14"/>
              <w:keepNext w:val="0"/>
              <w:keepLines w:val="0"/>
              <w:pageBreakBefore w:val="0"/>
              <w:widowControl w:val="0"/>
              <w:kinsoku/>
              <w:wordWrap/>
              <w:overflowPunct w:val="0"/>
              <w:topLinePunct/>
              <w:autoSpaceDE/>
              <w:autoSpaceDN/>
              <w:bidi w:val="0"/>
              <w:adjustRightInd w:val="0"/>
              <w:snapToGrid w:val="0"/>
              <w:spacing w:line="284"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5" w:type="dxa"/>
            <w:vAlign w:val="center"/>
          </w:tcPr>
          <w:p w14:paraId="410E4AED">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98.33%</w:t>
            </w:r>
          </w:p>
        </w:tc>
        <w:tc>
          <w:tcPr>
            <w:tcW w:w="688" w:type="dxa"/>
            <w:vAlign w:val="center"/>
          </w:tcPr>
          <w:p w14:paraId="17299B93">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870" w:type="dxa"/>
            <w:vAlign w:val="center"/>
          </w:tcPr>
          <w:p w14:paraId="6BDA2AA6">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89.57%</w:t>
            </w:r>
          </w:p>
        </w:tc>
        <w:tc>
          <w:tcPr>
            <w:tcW w:w="843" w:type="dxa"/>
            <w:vAlign w:val="center"/>
          </w:tcPr>
          <w:p w14:paraId="6B7C5C6B">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96.67%</w:t>
            </w:r>
          </w:p>
        </w:tc>
        <w:tc>
          <w:tcPr>
            <w:tcW w:w="683" w:type="dxa"/>
            <w:vAlign w:val="center"/>
          </w:tcPr>
          <w:p w14:paraId="28CCF245">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80" w:type="dxa"/>
            <w:vAlign w:val="center"/>
          </w:tcPr>
          <w:p w14:paraId="29671117">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996" w:type="dxa"/>
            <w:vAlign w:val="center"/>
          </w:tcPr>
          <w:p w14:paraId="55CF812C">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830" w:type="dxa"/>
            <w:tcBorders>
              <w:right w:val="nil"/>
            </w:tcBorders>
            <w:vAlign w:val="center"/>
          </w:tcPr>
          <w:p w14:paraId="0614FB7D">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87.90%</w:t>
            </w:r>
          </w:p>
        </w:tc>
      </w:tr>
    </w:tbl>
    <w:p w14:paraId="12F5AC03">
      <w:pPr>
        <w:pStyle w:val="5"/>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13"/>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402" w:hRule="atLeast"/>
        </w:trPr>
        <w:tc>
          <w:tcPr>
            <w:tcW w:w="8530" w:type="dxa"/>
            <w:tcBorders>
              <w:tl2br w:val="nil"/>
              <w:tr2bl w:val="nil"/>
            </w:tcBorders>
            <w:vAlign w:val="center"/>
          </w:tcPr>
          <w:p w14:paraId="38BEAF64">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1.制度内容制定简单，流程简便，且未发现装订成册的制度</w:t>
            </w:r>
            <w:r>
              <w:rPr>
                <w:rFonts w:hint="eastAsia"/>
                <w:spacing w:val="0"/>
                <w:lang w:val="en-US" w:eastAsia="zh-CN"/>
              </w:rPr>
              <w:t>：</w:t>
            </w:r>
            <w:r>
              <w:rPr>
                <w:rFonts w:hint="default"/>
                <w:spacing w:val="0"/>
                <w:lang w:val="en-US" w:eastAsia="zh-CN"/>
              </w:rPr>
              <w:t>核心制度缺失或碎片化：部分组织缺乏基础性制度（如《全面预算管理制度》《资金支付审批管理办法》），或制度分散在不同文件中，未形成统一体系；内部监督独立性差，效能低下：监督频率低、覆盖面窄；问责机制不明确：制度中未明确“违规”行为的处罚标准；</w:t>
            </w:r>
          </w:p>
          <w:p w14:paraId="3F921E58">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2.现金及资产未按规定时间进行盘点并登记记录</w:t>
            </w:r>
            <w:r>
              <w:rPr>
                <w:rFonts w:hint="eastAsia"/>
                <w:spacing w:val="0"/>
                <w:lang w:val="en-US" w:eastAsia="zh-CN"/>
              </w:rPr>
              <w:t>：</w:t>
            </w:r>
            <w:r>
              <w:rPr>
                <w:rFonts w:hint="default"/>
                <w:spacing w:val="0"/>
                <w:lang w:val="en-US" w:eastAsia="zh-CN"/>
              </w:rPr>
              <w:t>盘点频次未达标，盘点记录不完整；</w:t>
            </w:r>
          </w:p>
          <w:p w14:paraId="7A899698">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3.培训效果评价与机制缺失</w:t>
            </w:r>
            <w:r>
              <w:rPr>
                <w:rFonts w:hint="eastAsia"/>
                <w:spacing w:val="0"/>
                <w:lang w:val="en-US" w:eastAsia="zh-CN"/>
              </w:rPr>
              <w:t>：</w:t>
            </w:r>
            <w:r>
              <w:rPr>
                <w:rFonts w:hint="default"/>
                <w:spacing w:val="0"/>
                <w:lang w:val="en-US" w:eastAsia="zh-CN"/>
              </w:rPr>
              <w:t>镇政府根据年初的培训计划，制定了自己的培训计划，并遵照，但培训资源有限，且缺乏专职人员负责培训需求调研与方案设计，导致组织能力不足；</w:t>
            </w:r>
          </w:p>
          <w:p w14:paraId="581D92FC">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4.实际在职人数超编</w:t>
            </w:r>
            <w:r>
              <w:rPr>
                <w:rFonts w:hint="eastAsia"/>
                <w:spacing w:val="0"/>
                <w:lang w:val="en-US" w:eastAsia="zh-CN"/>
              </w:rPr>
              <w:t>：</w:t>
            </w:r>
            <w:r>
              <w:rPr>
                <w:rFonts w:hint="default"/>
                <w:spacing w:val="0"/>
                <w:lang w:val="en-US" w:eastAsia="zh-CN"/>
              </w:rPr>
              <w:t>根据中共合水县委机构编制委员会关于印发《合水县三类乡镇内设机构事业单位职能配置、机构设置和人员编制规定》（合编委发〔2024〕33号）的通知要求，合水县固城镇人民政府核定人员编制52名，实际在职总人数62名，存在人员超编情况</w:t>
            </w:r>
            <w:r>
              <w:rPr>
                <w:rFonts w:hint="eastAsia"/>
                <w:spacing w:val="0"/>
                <w:lang w:val="en-US" w:eastAsia="zh-CN"/>
              </w:rPr>
              <w:t>；</w:t>
            </w:r>
          </w:p>
          <w:p w14:paraId="2DA05622">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5.未建立中长期规划</w:t>
            </w:r>
            <w:r>
              <w:rPr>
                <w:rFonts w:hint="eastAsia"/>
                <w:spacing w:val="0"/>
                <w:lang w:val="en-US" w:eastAsia="zh-CN"/>
              </w:rPr>
              <w:t>：</w:t>
            </w:r>
            <w:r>
              <w:rPr>
                <w:rFonts w:hint="default"/>
                <w:spacing w:val="0"/>
                <w:lang w:val="en-US" w:eastAsia="zh-CN"/>
              </w:rPr>
              <w:t>由于未构建覆盖产业培育、民生改善、基础设施建设等领域的中长期规划体系，乡政府年度工作目标制定多依赖上级临时部署或短期需求，缺乏对区域发展规律的深度研判和整体布局。部分项目因缺乏长期培育而半途而废，直接影响产业振兴类指标的达成。</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4"/>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4928" w:hRule="atLeast"/>
        </w:trPr>
        <w:tc>
          <w:tcPr>
            <w:tcW w:w="8530" w:type="dxa"/>
            <w:tcBorders>
              <w:tl2br w:val="nil"/>
              <w:tr2bl w:val="nil"/>
            </w:tcBorders>
            <w:vAlign w:val="center"/>
          </w:tcPr>
          <w:p w14:paraId="76A01925">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1.财务制度及资产管理制度</w:t>
            </w:r>
            <w:r>
              <w:rPr>
                <w:rFonts w:hint="eastAsia"/>
                <w:spacing w:val="0"/>
                <w:lang w:val="en-US" w:eastAsia="zh-CN"/>
              </w:rPr>
              <w:t>：</w:t>
            </w:r>
            <w:r>
              <w:rPr>
                <w:rFonts w:hint="default"/>
                <w:spacing w:val="0"/>
                <w:lang w:val="en-US" w:eastAsia="zh-CN"/>
              </w:rPr>
              <w:t>全面梳理并完善制度内容：系统排查现有制度缺口，细化关键环节规定；规范制度汇编与管理：统一格式并装订成册，建议</w:t>
            </w:r>
            <w:bookmarkStart w:id="0" w:name="_GoBack"/>
            <w:r>
              <w:rPr>
                <w:rFonts w:hint="eastAsia"/>
                <w:spacing w:val="0"/>
                <w:lang w:val="en-US" w:eastAsia="zh-CN"/>
              </w:rPr>
              <w:t>建立电子</w:t>
            </w:r>
            <w:bookmarkEnd w:id="0"/>
            <w:r>
              <w:rPr>
                <w:rFonts w:hint="default"/>
                <w:spacing w:val="0"/>
                <w:lang w:val="en-US" w:eastAsia="zh-CN"/>
              </w:rPr>
              <w:t>版本的更新机制；强化制度执行与监督：开展制度培训，将制度执行情况纳入日常监督检查；实现财务及资产管理制度的“内容完善、形式规范、执行到位”，为项目资金安全和资产高效管理提供制度保障</w:t>
            </w:r>
            <w:r>
              <w:rPr>
                <w:rFonts w:hint="eastAsia"/>
                <w:spacing w:val="0"/>
                <w:lang w:val="en-US" w:eastAsia="zh-CN"/>
              </w:rPr>
              <w:t>；</w:t>
            </w:r>
          </w:p>
          <w:p w14:paraId="21BDE82E">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2.现金及资产盘点</w:t>
            </w:r>
            <w:r>
              <w:rPr>
                <w:rFonts w:hint="eastAsia"/>
                <w:spacing w:val="0"/>
                <w:lang w:val="en-US" w:eastAsia="zh-CN"/>
              </w:rPr>
              <w:t>：</w:t>
            </w:r>
            <w:r>
              <w:rPr>
                <w:rFonts w:hint="default"/>
                <w:spacing w:val="0"/>
                <w:lang w:val="en-US" w:eastAsia="zh-CN"/>
              </w:rPr>
              <w:t>明确盘点频次与标准，固化盘点流程：制定刚性盘点计划，统一盘点操作规范；规范盘点记录与归档，实现全程可追溯：设计标准化记录表单，建立记录归档机制；强化监督问责，保障制度落地：将抽查盘点结果纳入日常监督范围，建立问责机制；实现现金及资产盘点的“定时、定人、定流程、可追溯”，有效防范资金风险和资产流失，保障项目资产安全与账实一致</w:t>
            </w:r>
            <w:r>
              <w:rPr>
                <w:rFonts w:hint="eastAsia"/>
                <w:spacing w:val="0"/>
                <w:lang w:val="en-US" w:eastAsia="zh-CN"/>
              </w:rPr>
              <w:t>；</w:t>
            </w:r>
          </w:p>
          <w:p w14:paraId="685480A5">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3.培训效果评价与机制</w:t>
            </w:r>
            <w:r>
              <w:rPr>
                <w:rFonts w:hint="eastAsia"/>
                <w:spacing w:val="0"/>
                <w:lang w:val="en-US" w:eastAsia="zh-CN"/>
              </w:rPr>
              <w:t>：</w:t>
            </w:r>
            <w:r>
              <w:rPr>
                <w:rFonts w:hint="default"/>
                <w:spacing w:val="0"/>
                <w:lang w:val="en-US" w:eastAsia="zh-CN"/>
              </w:rPr>
              <w:t>深化思想认识，明确培训与项目绩效的关联：组织专题宣贯，纳入管理层考核；将培训全面融入项目整体规划流程：在项目立项阶段同步规划培训，培训预算与项目预算联动；建立培训与项目执行的动态联动机制：绑定项目节点与培训安排， 以项目绩效数据反向优化培训；将培训从“程序性工作”转变为“支撑项目绩效的核心环节”，确保培训与项目规划、执行、评价全流程深度融合，切实发挥培训对提升项目质量与效率的保障作用</w:t>
            </w:r>
            <w:r>
              <w:rPr>
                <w:rFonts w:hint="eastAsia"/>
                <w:spacing w:val="0"/>
                <w:lang w:val="en-US" w:eastAsia="zh-CN"/>
              </w:rPr>
              <w:t>；</w:t>
            </w:r>
          </w:p>
          <w:p w14:paraId="635DA673">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4.加强财政供养人员管理，提高财政经费使用效率</w:t>
            </w:r>
            <w:r>
              <w:rPr>
                <w:rFonts w:hint="eastAsia"/>
                <w:spacing w:val="0"/>
                <w:lang w:val="en-US" w:eastAsia="zh-CN"/>
              </w:rPr>
              <w:t>：</w:t>
            </w:r>
            <w:r>
              <w:rPr>
                <w:rFonts w:hint="default"/>
                <w:spacing w:val="0"/>
                <w:lang w:val="en-US" w:eastAsia="zh-CN"/>
              </w:rPr>
              <w:t>强化监督检查，规范全程管理。一是明确提出机关事业单位用编进人编制使用审批前置制度，机关事业单位凡是无编制使用通知单的，一律不得调整补充人员；无上编通知单的，一律不核拨工资经费。二是形成多部门闭合工作链条，定期与组织、人社、财政等部门开展实名制数据专项核查，据实更新，及时调整，加强财政供养人员动态管理</w:t>
            </w:r>
            <w:r>
              <w:rPr>
                <w:rFonts w:hint="eastAsia"/>
                <w:spacing w:val="0"/>
                <w:lang w:val="en-US" w:eastAsia="zh-CN"/>
              </w:rPr>
              <w:t>；</w:t>
            </w:r>
          </w:p>
          <w:p w14:paraId="31C62E68">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default"/>
                <w:spacing w:val="0"/>
                <w:lang w:val="en-US" w:eastAsia="zh-CN"/>
              </w:rPr>
            </w:pPr>
            <w:r>
              <w:rPr>
                <w:rFonts w:hint="default"/>
                <w:spacing w:val="0"/>
                <w:lang w:val="en-US" w:eastAsia="zh-CN"/>
              </w:rPr>
              <w:t>5.中长期规划</w:t>
            </w:r>
            <w:r>
              <w:rPr>
                <w:rFonts w:hint="eastAsia"/>
                <w:spacing w:val="0"/>
                <w:lang w:val="en-US" w:eastAsia="zh-CN"/>
              </w:rPr>
              <w:t>：</w:t>
            </w:r>
            <w:r>
              <w:rPr>
                <w:rFonts w:hint="default"/>
                <w:spacing w:val="0"/>
                <w:lang w:val="en-US" w:eastAsia="zh-CN"/>
              </w:rPr>
              <w:t>快速启动规划制定，明确时间节点：成立专项工作组，扎实开展前期调研；构建科学规划体系，突出实用性：制定规划框架，强化目标量化与责任分工；建立动态管理机制，保障规划适应性：定期检测与评价，灵活调整机制；强化保障措施，推动落地见效：将规划纳入考核，加强全员宣贯。</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4"/>
              <w:keepNext/>
              <w:keepLines/>
              <w:pageBreakBefore w:val="0"/>
              <w:widowControl w:val="0"/>
              <w:kinsoku/>
              <w:wordWrap/>
              <w:overflowPunct w:val="0"/>
              <w:topLinePunct/>
              <w:autoSpaceDE/>
              <w:autoSpaceDN/>
              <w:bidi w:val="0"/>
              <w:adjustRightInd w:val="0"/>
              <w:snapToGrid w:val="0"/>
              <w:spacing w:before="239" w:line="220"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13" w:hRule="atLeast"/>
        </w:trPr>
        <w:tc>
          <w:tcPr>
            <w:tcW w:w="8530" w:type="dxa"/>
            <w:tcBorders>
              <w:tl2br w:val="nil"/>
              <w:tr2bl w:val="nil"/>
            </w:tcBorders>
            <w:vAlign w:val="center"/>
          </w:tcPr>
          <w:p w14:paraId="42EDF515">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5"/>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13666D5"/>
    <w:rsid w:val="02353434"/>
    <w:rsid w:val="02E1776D"/>
    <w:rsid w:val="049C7DEF"/>
    <w:rsid w:val="058663AA"/>
    <w:rsid w:val="065A37E2"/>
    <w:rsid w:val="067E2E92"/>
    <w:rsid w:val="067E3AD6"/>
    <w:rsid w:val="07A86AAB"/>
    <w:rsid w:val="07BC4304"/>
    <w:rsid w:val="09B554AF"/>
    <w:rsid w:val="0ADE7E9F"/>
    <w:rsid w:val="0BB37651"/>
    <w:rsid w:val="0C8F3D96"/>
    <w:rsid w:val="11A57E6D"/>
    <w:rsid w:val="12C329EB"/>
    <w:rsid w:val="13C822F1"/>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4897D07"/>
    <w:rsid w:val="353531EB"/>
    <w:rsid w:val="35E82F17"/>
    <w:rsid w:val="3B6E70E8"/>
    <w:rsid w:val="3BE253E0"/>
    <w:rsid w:val="3C28373B"/>
    <w:rsid w:val="3C5F1085"/>
    <w:rsid w:val="3F8E13F7"/>
    <w:rsid w:val="43EE7018"/>
    <w:rsid w:val="455F19D3"/>
    <w:rsid w:val="46596265"/>
    <w:rsid w:val="46DA5BBC"/>
    <w:rsid w:val="4703102D"/>
    <w:rsid w:val="47422245"/>
    <w:rsid w:val="48904B42"/>
    <w:rsid w:val="4C044BF7"/>
    <w:rsid w:val="530F0D59"/>
    <w:rsid w:val="5A2E5F69"/>
    <w:rsid w:val="5BE30FD5"/>
    <w:rsid w:val="5CB62246"/>
    <w:rsid w:val="5E1436C8"/>
    <w:rsid w:val="5E8124E4"/>
    <w:rsid w:val="5F3C1128"/>
    <w:rsid w:val="65F0610C"/>
    <w:rsid w:val="6913481E"/>
    <w:rsid w:val="697F05E0"/>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_75375cd0-6dd5-4e0e-a182-e144e3e71415"/>
    <w:basedOn w:val="1"/>
    <w:qFormat/>
    <w:uiPriority w:val="0"/>
    <w:pPr>
      <w:ind w:left="420" w:leftChars="200" w:firstLine="420" w:firstLineChars="200"/>
    </w:pPr>
  </w:style>
  <w:style w:type="paragraph" w:styleId="5">
    <w:name w:val="Body Text"/>
    <w:basedOn w:val="1"/>
    <w:semiHidden/>
    <w:qFormat/>
    <w:uiPriority w:val="0"/>
    <w:rPr>
      <w:rFonts w:ascii="宋体" w:hAnsi="宋体" w:eastAsia="宋体" w:cs="宋体"/>
      <w:sz w:val="19"/>
      <w:szCs w:val="19"/>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1"/>
    <w:qFormat/>
    <w:uiPriority w:val="0"/>
    <w:pPr>
      <w:ind w:firstLine="420" w:firstLineChars="100"/>
    </w:pPr>
    <w:rPr>
      <w:rFonts w:ascii="Times New Roman" w:hAnsi="Times New Roman" w:eastAsia="仿宋_GB2312"/>
      <w:sz w:val="32"/>
    </w:r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2700</Words>
  <Characters>2850</Characters>
  <TotalTime>2</TotalTime>
  <ScaleCrop>false</ScaleCrop>
  <LinksUpToDate>false</LinksUpToDate>
  <CharactersWithSpaces>2865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2025-09-19T10:03:44Z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FF21AAF6C6D446CE8CA0FAFBCBC03E6E_13</vt:lpwstr>
  </property>
  <property fmtid="{D5CDD505-2E9C-101B-9397-08002B2CF9AE}" pid="6" name="KSOTemplateDocerSaveRecord">
    <vt:lpwstr>eyJoZGlkIjoiNTkwYmI5NDUxY2QxYTNjNGQyNDI2NjYyMzUwNDE0ZjciLCJ1c2VySWQiOiIzMTc5OTA1NSJ9</vt:lpwstr>
  </property>
</Properties>
</file>