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合水县卫生健康局</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575"/>
        <w:gridCol w:w="1740"/>
        <w:gridCol w:w="568"/>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spacing w:before="201"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合水县卫生健康局</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575" w:type="dxa"/>
            <w:vAlign w:val="top"/>
          </w:tcPr>
          <w:p w14:paraId="0329762F">
            <w:pPr>
              <w:pStyle w:val="10"/>
              <w:spacing w:before="19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740" w:type="dxa"/>
            <w:vAlign w:val="top"/>
          </w:tcPr>
          <w:p w14:paraId="4C578508">
            <w:pPr>
              <w:pStyle w:val="10"/>
              <w:spacing w:before="198" w:line="219" w:lineRule="auto"/>
              <w:ind w:left="40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705" w:type="dxa"/>
            <w:gridSpan w:val="2"/>
            <w:tcBorders>
              <w:right w:val="nil"/>
            </w:tcBorders>
            <w:vAlign w:val="top"/>
          </w:tcPr>
          <w:p w14:paraId="224F3882">
            <w:pPr>
              <w:pStyle w:val="10"/>
              <w:spacing w:before="198" w:line="219" w:lineRule="auto"/>
              <w:ind w:firstLine="480" w:firstLineChars="20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部门</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575" w:type="dxa"/>
            <w:vAlign w:val="top"/>
          </w:tcPr>
          <w:p w14:paraId="5290E408">
            <w:pPr>
              <w:pStyle w:val="10"/>
              <w:spacing w:before="286"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740" w:type="dxa"/>
            <w:vAlign w:val="top"/>
          </w:tcPr>
          <w:p w14:paraId="6F2F0719">
            <w:pPr>
              <w:pStyle w:val="10"/>
              <w:spacing w:before="285" w:line="219" w:lineRule="auto"/>
              <w:ind w:left="16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705" w:type="dxa"/>
            <w:gridSpan w:val="2"/>
            <w:tcBorders>
              <w:right w:val="nil"/>
            </w:tcBorders>
            <w:vAlign w:val="top"/>
          </w:tcPr>
          <w:p w14:paraId="12367D41">
            <w:pPr>
              <w:pStyle w:val="10"/>
              <w:spacing w:before="96" w:line="229" w:lineRule="auto"/>
              <w:ind w:right="292"/>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spacing w:before="198" w:line="219" w:lineRule="auto"/>
              <w:jc w:val="center"/>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合水县卫生健康局</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kinsoku/>
              <w:wordWrap/>
              <w:overflowPunct/>
              <w:topLinePunct w:val="0"/>
              <w:autoSpaceDE w:val="0"/>
              <w:autoSpaceDN w:val="0"/>
              <w:bidi w:val="0"/>
              <w:adjustRightInd w:val="0"/>
              <w:snapToGrid w:val="0"/>
              <w:spacing w:before="193" w:line="303"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合水县卫生健康局</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衡量部门整体及核心业务实施效果,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575"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11,</w:t>
            </w:r>
            <w:r>
              <w:rPr>
                <w:rFonts w:hint="eastAsia" w:ascii="Times New Roman" w:hAnsi="Times New Roman" w:eastAsia="仿宋_GB2312" w:cstheme="minorBidi"/>
                <w:b w:val="0"/>
                <w:bCs w:val="0"/>
                <w:kern w:val="2"/>
                <w:sz w:val="24"/>
                <w:szCs w:val="24"/>
                <w:lang w:val="en-US" w:eastAsia="zh-CN" w:bidi="ar-SA"/>
              </w:rPr>
              <w:t>235.28</w:t>
            </w:r>
            <w:r>
              <w:rPr>
                <w:rFonts w:hint="eastAsia" w:asciiTheme="minorEastAsia" w:hAnsiTheme="minorEastAsia" w:eastAsiaTheme="minorEastAsia" w:cstheme="minorEastAsia"/>
                <w:spacing w:val="0"/>
                <w:sz w:val="24"/>
                <w:szCs w:val="24"/>
                <w:lang w:val="en-US" w:eastAsia="zh-CN"/>
              </w:rPr>
              <w:t>万元</w:t>
            </w:r>
          </w:p>
        </w:tc>
        <w:tc>
          <w:tcPr>
            <w:tcW w:w="2308"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30,293.83</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575"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2308"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575" w:type="dxa"/>
            <w:vAlign w:val="top"/>
          </w:tcPr>
          <w:p w14:paraId="190C312A">
            <w:pPr>
              <w:pStyle w:val="10"/>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11,235.28</w:t>
            </w:r>
            <w:r>
              <w:rPr>
                <w:rFonts w:hint="eastAsia" w:asciiTheme="minorEastAsia" w:hAnsiTheme="minorEastAsia" w:eastAsiaTheme="minorEastAsia" w:cstheme="minorEastAsia"/>
                <w:spacing w:val="0"/>
                <w:sz w:val="24"/>
                <w:szCs w:val="24"/>
                <w:lang w:val="en-US" w:eastAsia="zh-CN"/>
              </w:rPr>
              <w:t>万元</w:t>
            </w:r>
          </w:p>
        </w:tc>
        <w:tc>
          <w:tcPr>
            <w:tcW w:w="2308"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30,293.83</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575"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30,293.83</w:t>
            </w:r>
            <w:r>
              <w:rPr>
                <w:rFonts w:hint="eastAsia" w:asciiTheme="minorEastAsia" w:hAnsiTheme="minorEastAsia" w:eastAsiaTheme="minorEastAsia" w:cstheme="minorEastAsia"/>
                <w:spacing w:val="0"/>
                <w:sz w:val="24"/>
                <w:szCs w:val="24"/>
                <w:lang w:val="en-US" w:eastAsia="zh-CN"/>
              </w:rPr>
              <w:t>万元</w:t>
            </w:r>
          </w:p>
        </w:tc>
        <w:tc>
          <w:tcPr>
            <w:tcW w:w="2308"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spacing w:before="239"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5BCCC21D">
            <w:pPr>
              <w:pStyle w:val="10"/>
              <w:keepNext w:val="0"/>
              <w:keepLines w:val="0"/>
              <w:pageBreakBefore w:val="0"/>
              <w:widowControl/>
              <w:kinsoku/>
              <w:wordWrap/>
              <w:overflowPunct/>
              <w:topLinePunct w:val="0"/>
              <w:autoSpaceDE w:val="0"/>
              <w:autoSpaceDN w:val="0"/>
              <w:bidi w:val="0"/>
              <w:adjustRightInd w:val="0"/>
              <w:snapToGrid w:val="0"/>
              <w:spacing w:before="44" w:line="305"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提升公共卫生服务水平。通过加强疾病预防控制体系建设、开展健康教育宣传活动等措施，有效控制了传染病发病率，居民健康素养水平得到显著提高。</w:t>
            </w:r>
          </w:p>
          <w:p w14:paraId="22CF56EE">
            <w:pPr>
              <w:pStyle w:val="10"/>
              <w:keepNext w:val="0"/>
              <w:keepLines w:val="0"/>
              <w:pageBreakBefore w:val="0"/>
              <w:widowControl/>
              <w:kinsoku/>
              <w:wordWrap/>
              <w:overflowPunct/>
              <w:topLinePunct w:val="0"/>
              <w:autoSpaceDE w:val="0"/>
              <w:autoSpaceDN w:val="0"/>
              <w:bidi w:val="0"/>
              <w:adjustRightInd w:val="0"/>
              <w:snapToGrid w:val="0"/>
              <w:spacing w:before="44" w:line="305"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提高医疗服务质量。推进医共体建设，加强医疗机构管理和医务人员培训，医疗服务能力不断提升，患者满意度有所提高。</w:t>
            </w:r>
          </w:p>
          <w:p w14:paraId="3EA760E2">
            <w:pPr>
              <w:pStyle w:val="10"/>
              <w:keepNext w:val="0"/>
              <w:keepLines w:val="0"/>
              <w:pageBreakBefore w:val="0"/>
              <w:widowControl/>
              <w:kinsoku/>
              <w:wordWrap/>
              <w:overflowPunct/>
              <w:topLinePunct w:val="0"/>
              <w:autoSpaceDE w:val="0"/>
              <w:autoSpaceDN w:val="0"/>
              <w:bidi w:val="0"/>
              <w:adjustRightInd w:val="0"/>
              <w:snapToGrid w:val="0"/>
              <w:spacing w:before="44" w:line="305"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实际完成情况：以公立医院改革与高质量发展示范项目为抓手，全面加强临床重点专科、人才队伍、县域医共体和区域信息一体化建设，积极推进优质医疗资源下沉。完成了年初目标。</w:t>
            </w:r>
          </w:p>
          <w:p w14:paraId="5D9CAB35">
            <w:pPr>
              <w:pStyle w:val="10"/>
              <w:keepNext w:val="0"/>
              <w:keepLines w:val="0"/>
              <w:pageBreakBefore w:val="0"/>
              <w:widowControl/>
              <w:kinsoku/>
              <w:wordWrap/>
              <w:overflowPunct/>
              <w:topLinePunct w:val="0"/>
              <w:autoSpaceDE w:val="0"/>
              <w:autoSpaceDN w:val="0"/>
              <w:bidi w:val="0"/>
              <w:adjustRightInd w:val="0"/>
              <w:snapToGrid w:val="0"/>
              <w:spacing w:before="44" w:line="305" w:lineRule="auto"/>
              <w:ind w:left="113" w:right="108" w:firstLine="482"/>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积极开展“公共卫生服务规范年”活动，稳步推进基本公共卫生服务能力建设再上新台阶；扎实开展“医疗服务质量提升年”“改善就医感受提升患者体验”活动，全力打造信息化就医新模式</w:t>
            </w:r>
            <w:r>
              <w:rPr>
                <w:rFonts w:hint="eastAsia" w:asciiTheme="minorEastAsia" w:hAnsiTheme="minorEastAsia" w:eastAsiaTheme="minorEastAsia" w:cstheme="minorEastAsia"/>
                <w:spacing w:val="0"/>
                <w:sz w:val="24"/>
                <w:szCs w:val="24"/>
                <w:lang w:eastAsia="zh-CN"/>
              </w:rPr>
              <w:t>。</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spacing w:before="38" w:line="303" w:lineRule="auto"/>
              <w:ind w:left="116" w:right="151" w:firstLine="478"/>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合水县卫生健康局</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7" w:hRule="atLeast"/>
        </w:trPr>
        <w:tc>
          <w:tcPr>
            <w:tcW w:w="1393" w:type="dxa"/>
            <w:tcBorders>
              <w:left w:val="nil"/>
            </w:tcBorders>
            <w:vAlign w:val="center"/>
          </w:tcPr>
          <w:p w14:paraId="6A1272BF">
            <w:pPr>
              <w:pStyle w:val="10"/>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31F11F03">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07A6B554">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22371790">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7C095BAB">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6037956F">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30B44E1D">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374119BD">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139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36" w:type="dxa"/>
            <w:tcBorders>
              <w:right w:val="nil"/>
            </w:tcBorders>
            <w:vAlign w:val="center"/>
          </w:tcPr>
          <w:p w14:paraId="1F1E9C00">
            <w:pPr>
              <w:pStyle w:val="10"/>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both"/>
              <w:textAlignment w:val="baseline"/>
              <w:rPr>
                <w:rFonts w:hint="eastAsia"/>
                <w:spacing w:val="0"/>
              </w:rPr>
            </w:pPr>
            <w:r>
              <w:rPr>
                <w:rFonts w:hint="eastAsia"/>
                <w:spacing w:val="0"/>
              </w:rPr>
              <w:t>围绕部门规划、运行成本、管理效率、履职效能、社会效应、可持续发展能力、服务对象满意度等七个维度构建绩效评价指标体系，其中:一级指标7个、二级指标12</w:t>
            </w:r>
            <w:bookmarkStart w:id="4" w:name="_GoBack"/>
            <w:bookmarkEnd w:id="4"/>
            <w:r>
              <w:rPr>
                <w:rFonts w:hint="eastAsia"/>
                <w:spacing w:val="0"/>
              </w:rPr>
              <w:t xml:space="preserve">个、三级指标32个。部门规划等一级指标占比分别为 </w:t>
            </w:r>
            <w:r>
              <w:rPr>
                <w:rFonts w:hint="eastAsia"/>
                <w:spacing w:val="0"/>
                <w:lang w:val="en-US" w:eastAsia="zh-CN"/>
              </w:rPr>
              <w:t>12</w:t>
            </w:r>
            <w:r>
              <w:rPr>
                <w:rFonts w:hint="eastAsia"/>
                <w:spacing w:val="0"/>
              </w:rPr>
              <w:t>%、1</w:t>
            </w:r>
            <w:r>
              <w:rPr>
                <w:rFonts w:hint="eastAsia"/>
                <w:spacing w:val="0"/>
                <w:lang w:val="en-US" w:eastAsia="zh-CN"/>
              </w:rPr>
              <w:t>0</w:t>
            </w:r>
            <w:r>
              <w:rPr>
                <w:rFonts w:hint="eastAsia"/>
                <w:spacing w:val="0"/>
              </w:rPr>
              <w:t>%、20%、</w:t>
            </w:r>
            <w:r>
              <w:rPr>
                <w:rFonts w:hint="eastAsia"/>
                <w:spacing w:val="0"/>
                <w:lang w:val="en-US" w:eastAsia="zh-CN"/>
              </w:rPr>
              <w:t>34</w:t>
            </w:r>
            <w:r>
              <w:rPr>
                <w:rFonts w:hint="eastAsia"/>
                <w:spacing w:val="0"/>
              </w:rPr>
              <w:t>%、</w:t>
            </w:r>
            <w:r>
              <w:rPr>
                <w:rFonts w:hint="eastAsia"/>
                <w:spacing w:val="0"/>
                <w:lang w:val="en-US" w:eastAsia="zh-CN"/>
              </w:rPr>
              <w:t>4</w:t>
            </w:r>
            <w:r>
              <w:rPr>
                <w:rFonts w:hint="eastAsia"/>
                <w:spacing w:val="0"/>
              </w:rPr>
              <w:t>%、</w:t>
            </w:r>
            <w:r>
              <w:rPr>
                <w:rFonts w:hint="eastAsia"/>
                <w:spacing w:val="0"/>
                <w:lang w:val="en-US" w:eastAsia="zh-CN"/>
              </w:rPr>
              <w:t>10</w:t>
            </w:r>
            <w:r>
              <w:rPr>
                <w:rFonts w:hint="eastAsia"/>
                <w:spacing w:val="0"/>
              </w:rPr>
              <w:t>%、</w:t>
            </w:r>
            <w:r>
              <w:rPr>
                <w:rFonts w:hint="eastAsia"/>
                <w:spacing w:val="0"/>
                <w:lang w:val="en-US" w:eastAsia="zh-CN"/>
              </w:rPr>
              <w:t>10</w:t>
            </w:r>
            <w:r>
              <w:rPr>
                <w:rFonts w:hint="eastAsia"/>
                <w:spacing w:val="0"/>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spacing w:val="0"/>
              </w:rPr>
            </w:pPr>
            <w:r>
              <w:rPr>
                <w:rFonts w:hint="eastAsia"/>
                <w:spacing w:val="0"/>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asciiTheme="minorEastAsia" w:hAnsiTheme="minorEastAsia" w:eastAsiaTheme="minorEastAsia" w:cstheme="minorEastAsia"/>
                <w:b/>
                <w:bCs/>
                <w:spacing w:val="0"/>
                <w:sz w:val="24"/>
                <w:szCs w:val="24"/>
              </w:rPr>
            </w:pPr>
            <w:r>
              <w:rPr>
                <w:rFonts w:hint="eastAsia"/>
                <w:spacing w:val="0"/>
              </w:rPr>
              <w:t>信息与数据收集采取抽样调查、现场调研、结构式访等方式进行，数据处理采取统计分析方法开展。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36" w:type="dxa"/>
            <w:tcBorders>
              <w:right w:val="nil"/>
            </w:tcBorders>
            <w:vAlign w:val="center"/>
          </w:tcPr>
          <w:p w14:paraId="1733217E">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eastAsia="宋体"/>
                <w:spacing w:val="0"/>
                <w:lang w:eastAsia="zh-CN"/>
              </w:rPr>
            </w:pPr>
            <w:r>
              <w:rPr>
                <w:rFonts w:hint="eastAsia"/>
                <w:spacing w:val="0"/>
              </w:rPr>
              <w:t>接受委托任务、拟定方案、开展培训、现场评价、撰写报告、资料归档</w:t>
            </w:r>
            <w:r>
              <w:rPr>
                <w:rFonts w:hint="eastAsia"/>
                <w:spacing w:val="0"/>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857"/>
        <w:gridCol w:w="854"/>
        <w:gridCol w:w="750"/>
        <w:gridCol w:w="720"/>
        <w:gridCol w:w="780"/>
        <w:gridCol w:w="750"/>
        <w:gridCol w:w="1050"/>
        <w:gridCol w:w="1020"/>
        <w:gridCol w:w="1046"/>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02" w:type="dxa"/>
            <w:tcBorders>
              <w:left w:val="nil"/>
            </w:tcBorders>
            <w:vAlign w:val="top"/>
          </w:tcPr>
          <w:p w14:paraId="08AA7ECA">
            <w:pPr>
              <w:pStyle w:val="10"/>
              <w:spacing w:before="117" w:line="220" w:lineRule="auto"/>
              <w:ind w:left="146"/>
              <w:rPr>
                <w:rFonts w:hint="eastAsia" w:asciiTheme="minorEastAsia" w:hAnsiTheme="minorEastAsia" w:eastAsiaTheme="minorEastAsia" w:cstheme="minorEastAsia"/>
                <w:spacing w:val="0"/>
                <w:sz w:val="24"/>
                <w:szCs w:val="24"/>
              </w:rPr>
            </w:pPr>
            <w:r>
              <w:rPr>
                <w:b/>
                <w:bCs/>
                <w:spacing w:val="-6"/>
              </w:rPr>
              <w:t>综合评价结论</w:t>
            </w:r>
          </w:p>
        </w:tc>
        <w:tc>
          <w:tcPr>
            <w:tcW w:w="1711"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250"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87分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180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2066"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212A363F">
            <w:pPr>
              <w:pStyle w:val="10"/>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spacing w:before="78" w:line="182" w:lineRule="auto"/>
              <w:jc w:val="both"/>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top"/>
          </w:tcPr>
          <w:p w14:paraId="573773EA">
            <w:pPr>
              <w:spacing w:line="244" w:lineRule="auto"/>
              <w:rPr>
                <w:rFonts w:hint="eastAsia" w:asciiTheme="minorEastAsia" w:hAnsiTheme="minorEastAsia" w:eastAsiaTheme="minorEastAsia" w:cstheme="minorEastAsia"/>
                <w:spacing w:val="0"/>
                <w:sz w:val="24"/>
                <w:szCs w:val="24"/>
              </w:rPr>
            </w:pPr>
          </w:p>
          <w:p w14:paraId="4B231BE8">
            <w:pPr>
              <w:pStyle w:val="10"/>
              <w:spacing w:before="78" w:line="220" w:lineRule="auto"/>
              <w:jc w:val="center"/>
              <w:rPr>
                <w:rFonts w:hint="eastAsia"/>
                <w:b/>
                <w:bCs/>
                <w:spacing w:val="-6"/>
                <w:lang w:eastAsia="zh-CN"/>
              </w:rPr>
            </w:pPr>
          </w:p>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rFonts w:hint="eastAsia"/>
                <w:b/>
                <w:bCs/>
                <w:spacing w:val="-5"/>
                <w:lang w:val="en-US" w:eastAsia="zh-CN"/>
              </w:rPr>
              <w:t xml:space="preserve"> </w:t>
            </w:r>
            <w:r>
              <w:rPr>
                <w:b/>
                <w:bCs/>
                <w:spacing w:val="-5"/>
              </w:rPr>
              <w:t>分析</w:t>
            </w:r>
          </w:p>
        </w:tc>
        <w:tc>
          <w:tcPr>
            <w:tcW w:w="857" w:type="dxa"/>
            <w:vAlign w:val="center"/>
          </w:tcPr>
          <w:p w14:paraId="4DFEE862">
            <w:pPr>
              <w:pStyle w:val="10"/>
              <w:spacing w:before="78" w:line="221" w:lineRule="auto"/>
              <w:ind w:left="178"/>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854"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750"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20"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780"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75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5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1020"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1046"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2" w:type="dxa"/>
            <w:vMerge w:val="continue"/>
            <w:tcBorders>
              <w:top w:val="nil"/>
              <w:left w:val="nil"/>
            </w:tcBorders>
            <w:vAlign w:val="top"/>
          </w:tcPr>
          <w:p w14:paraId="5D5C8174">
            <w:pPr>
              <w:rPr>
                <w:rFonts w:hint="eastAsia" w:asciiTheme="minorEastAsia" w:hAnsiTheme="minorEastAsia" w:eastAsiaTheme="minorEastAsia" w:cstheme="minorEastAsia"/>
                <w:spacing w:val="0"/>
                <w:sz w:val="24"/>
                <w:szCs w:val="24"/>
              </w:rPr>
            </w:pPr>
          </w:p>
        </w:tc>
        <w:tc>
          <w:tcPr>
            <w:tcW w:w="857" w:type="dxa"/>
            <w:vAlign w:val="top"/>
          </w:tcPr>
          <w:p w14:paraId="077BB81C">
            <w:pPr>
              <w:pStyle w:val="10"/>
              <w:spacing w:before="174" w:line="284" w:lineRule="auto"/>
              <w:ind w:left="304" w:right="169" w:hanging="11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854" w:type="dxa"/>
            <w:vAlign w:val="center"/>
          </w:tcPr>
          <w:p w14:paraId="410E4AED">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750"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20"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80"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0"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050"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020"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46"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87%</w:t>
            </w:r>
          </w:p>
        </w:tc>
      </w:tr>
    </w:tbl>
    <w:p w14:paraId="12F5AC03">
      <w:pPr>
        <w:pStyle w:val="2"/>
        <w:spacing w:before="238" w:line="219" w:lineRule="auto"/>
        <w:jc w:val="center"/>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spacing w:line="91" w:lineRule="auto"/>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556" w:hRule="atLeast"/>
        </w:trPr>
        <w:tc>
          <w:tcPr>
            <w:tcW w:w="8530" w:type="dxa"/>
            <w:tcBorders>
              <w:tl2br w:val="nil"/>
              <w:tr2bl w:val="nil"/>
            </w:tcBorders>
            <w:vAlign w:val="center"/>
          </w:tcPr>
          <w:p w14:paraId="3900468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bookmarkStart w:id="0" w:name="_Toc21567"/>
          </w:p>
          <w:p w14:paraId="4A8902A1">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r>
              <w:rPr>
                <w:rFonts w:hint="eastAsia"/>
                <w:spacing w:val="0"/>
                <w:lang w:val="en-US" w:eastAsia="zh-CN"/>
              </w:rPr>
              <w:t>1.资产管理制度、重点工作管理制度相关制度内容不完善。</w:t>
            </w:r>
            <w:bookmarkEnd w:id="0"/>
            <w:r>
              <w:rPr>
                <w:rFonts w:hint="eastAsia"/>
                <w:spacing w:val="0"/>
                <w:lang w:val="en-US" w:eastAsia="zh-CN"/>
              </w:rPr>
              <w:t>核心制度缺失或碎片化：部分组织缺乏基础性制度（如《全面预算管理制度》《资金支付审批管理办法》），或制度分散在不同文件中，未形成统一体系。</w:t>
            </w:r>
          </w:p>
          <w:p w14:paraId="70BC5967">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bookmarkStart w:id="1" w:name="_Toc15647"/>
            <w:r>
              <w:rPr>
                <w:rFonts w:hint="eastAsia"/>
                <w:spacing w:val="0"/>
                <w:lang w:val="en-US" w:eastAsia="zh-CN"/>
              </w:rPr>
              <w:t>2.预算与决算差距过大</w:t>
            </w:r>
            <w:bookmarkEnd w:id="1"/>
            <w:r>
              <w:rPr>
                <w:rFonts w:hint="eastAsia"/>
                <w:spacing w:val="0"/>
                <w:lang w:val="en-US" w:eastAsia="zh-CN"/>
              </w:rPr>
              <w:t>；无法反映真实差异原因，决算报表仅罗列收支总额，未详细说明“哪些项目超支、哪些项目结余”及具体原因。</w:t>
            </w:r>
          </w:p>
          <w:p w14:paraId="5A954C09">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bookmarkStart w:id="2" w:name="_Toc30727"/>
            <w:r>
              <w:rPr>
                <w:rFonts w:hint="eastAsia"/>
                <w:spacing w:val="0"/>
                <w:lang w:val="en-US" w:eastAsia="zh-CN"/>
              </w:rPr>
              <w:t>3.内部控制制度不健全</w:t>
            </w:r>
            <w:bookmarkEnd w:id="2"/>
            <w:r>
              <w:rPr>
                <w:rFonts w:hint="eastAsia"/>
                <w:spacing w:val="0"/>
                <w:lang w:val="en-US" w:eastAsia="zh-CN"/>
              </w:rPr>
              <w:t>；制度体系碎片化，核心领域存在空白，缺乏系统性内控框架。新兴业务无制度约束，针对 “家庭医生签约服务”“医养结合项目”“互联网 + 医疗” 等新兴领域，未及时制定内控流程。风险识别滞后：未梳理医疗卫生领域的高风险点，如 “医疗纠纷”“院感暴发”“疫苗接种异常反应” 等，无预防机制。</w:t>
            </w:r>
          </w:p>
          <w:p w14:paraId="3CCC2442">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bookmarkStart w:id="3" w:name="_Toc6435"/>
            <w:r>
              <w:rPr>
                <w:rFonts w:hint="eastAsia"/>
                <w:spacing w:val="0"/>
                <w:lang w:val="en-US" w:eastAsia="zh-CN"/>
              </w:rPr>
              <w:t>4.</w:t>
            </w:r>
            <w:bookmarkEnd w:id="3"/>
            <w:r>
              <w:rPr>
                <w:rFonts w:hint="eastAsia"/>
                <w:spacing w:val="0"/>
                <w:lang w:val="en-US" w:eastAsia="zh-CN"/>
              </w:rPr>
              <w:t>合水县卫生健康局绩效目标设定脱离实际，导向性缺失，目标模糊且量化不足，目标模糊且量化不足，年度绩效目标多为 “提升医疗服务质量”“加强公共卫生服务” 等定性表述，缺乏可衡量的具体指标。缺乏系统性绩效管理办法：未制定《绩效管理办法》，考核流程、评分标准等每年临时确定，医护人员对 “如何考核、优秀标准是什么” 不清楚。</w:t>
            </w:r>
          </w:p>
          <w:p w14:paraId="379AB314">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r>
              <w:rPr>
                <w:rFonts w:hint="eastAsia"/>
                <w:spacing w:val="0"/>
                <w:lang w:val="en-US" w:eastAsia="zh-CN"/>
              </w:rPr>
              <w:t>5.实际在职人数超编。</w:t>
            </w:r>
          </w:p>
          <w:p w14:paraId="5114A9D2">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eastAsia"/>
                <w:spacing w:val="0"/>
                <w:lang w:val="en-US" w:eastAsia="zh-CN"/>
              </w:rPr>
              <w:t>6.部分项目未执行到位。</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spacing w:before="193" w:line="220" w:lineRule="auto"/>
              <w:ind w:left="3312"/>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10D36C2E">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eastAsia"/>
                <w:spacing w:val="0"/>
                <w:lang w:val="en-US" w:eastAsia="zh-CN"/>
              </w:rPr>
            </w:pPr>
            <w:r>
              <w:rPr>
                <w:rFonts w:hint="eastAsia"/>
                <w:spacing w:val="0"/>
                <w:lang w:val="en-US" w:eastAsia="zh-CN"/>
              </w:rPr>
              <w:t>1.构建系统性制度框架，明确制度建设优先级,如强化预算管理、规范资金使用、完善财务监督机制、资产管理制度、规范采购行为、加强采购监督管理、规范履约验收和档案管理，加强业务培训，指定专人负责制度的编制、装订、发放、回收及更新工作，明确各环节责任，确保制度管理工作常态化、规范化。</w:t>
            </w:r>
          </w:p>
          <w:p w14:paraId="48BF3F75">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eastAsia"/>
                <w:spacing w:val="0"/>
                <w:lang w:val="en-US" w:eastAsia="zh-CN"/>
              </w:rPr>
            </w:pPr>
            <w:r>
              <w:rPr>
                <w:rFonts w:hint="eastAsia"/>
                <w:spacing w:val="0"/>
                <w:lang w:val="en-US" w:eastAsia="zh-CN"/>
              </w:rPr>
              <w:t>2.规范决算编制与分析，提升数据真实性；强化监督问责，压实管理责任推动“预算与决算数据联动”，将决算差异数据纳入下年度预算编制依据，形成“编制—执行—决算—优化”闭环。</w:t>
            </w:r>
          </w:p>
          <w:p w14:paraId="040DB8A0">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eastAsia"/>
                <w:spacing w:val="0"/>
                <w:lang w:val="en-US" w:eastAsia="zh-CN"/>
              </w:rPr>
            </w:pPr>
            <w:r>
              <w:rPr>
                <w:rFonts w:hint="eastAsia"/>
                <w:spacing w:val="0"/>
                <w:lang w:val="en-US" w:eastAsia="zh-CN"/>
              </w:rPr>
              <w:t>3.应提高内部控制意识，制定与单位实际情况相符的内部控制制度。</w:t>
            </w:r>
          </w:p>
          <w:p w14:paraId="214ED5AA">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eastAsia"/>
                <w:spacing w:val="0"/>
                <w:lang w:val="en-US" w:eastAsia="zh-CN"/>
              </w:rPr>
            </w:pPr>
            <w:r>
              <w:rPr>
                <w:rFonts w:hint="eastAsia"/>
                <w:spacing w:val="0"/>
                <w:lang w:val="en-US" w:eastAsia="zh-CN"/>
              </w:rPr>
              <w:t>4.构建量化清晰的目标体系：将年度绩效目标细化为可衡量、可考核的具体指标，避免模糊表述；规范绩效目标设定，强化目标与实际需求的匹配度；强化结果应用，建立激励约束闭环。</w:t>
            </w:r>
          </w:p>
          <w:p w14:paraId="3553D44A">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eastAsia"/>
                <w:spacing w:val="0"/>
                <w:lang w:val="en-US" w:eastAsia="zh-CN"/>
              </w:rPr>
              <w:t>5.明确提出机关事业单位用编进人编制使用审批前置制度，形成多部门闭合工作链条，定期与组织、人社、财政等部门开展实名制数据专项核查，据实更新，及时调整，加强财政供养人员动态管理。</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spacing w:before="239" w:line="220" w:lineRule="auto"/>
              <w:ind w:left="3190"/>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58" w:hRule="atLeast"/>
        </w:trPr>
        <w:tc>
          <w:tcPr>
            <w:tcW w:w="8530" w:type="dxa"/>
            <w:tcBorders>
              <w:tl2br w:val="nil"/>
              <w:tr2bl w:val="nil"/>
            </w:tcBorders>
            <w:vAlign w:val="center"/>
          </w:tcPr>
          <w:p w14:paraId="42EDF515">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2E1776D"/>
    <w:rsid w:val="049C7DEF"/>
    <w:rsid w:val="058663AA"/>
    <w:rsid w:val="065A37E2"/>
    <w:rsid w:val="067E2E92"/>
    <w:rsid w:val="067E3AD6"/>
    <w:rsid w:val="07A86AAB"/>
    <w:rsid w:val="07BC4304"/>
    <w:rsid w:val="09B554AF"/>
    <w:rsid w:val="0ADE7E9F"/>
    <w:rsid w:val="0C8F3D96"/>
    <w:rsid w:val="11A57E6D"/>
    <w:rsid w:val="12C329EB"/>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E82F17"/>
    <w:rsid w:val="3B6E70E8"/>
    <w:rsid w:val="3BE253E0"/>
    <w:rsid w:val="3C28373B"/>
    <w:rsid w:val="3C5F1085"/>
    <w:rsid w:val="3F8E13F7"/>
    <w:rsid w:val="43EE7018"/>
    <w:rsid w:val="455F19D3"/>
    <w:rsid w:val="46596265"/>
    <w:rsid w:val="4703102D"/>
    <w:rsid w:val="47422245"/>
    <w:rsid w:val="48904B42"/>
    <w:rsid w:val="530F0D59"/>
    <w:rsid w:val="5A2E5F69"/>
    <w:rsid w:val="5BE30FD5"/>
    <w:rsid w:val="5CB62246"/>
    <w:rsid w:val="5E1436C8"/>
    <w:rsid w:val="5E8124E4"/>
    <w:rsid w:val="5F3C1128"/>
    <w:rsid w:val="65F0610C"/>
    <w:rsid w:val="6913481E"/>
    <w:rsid w:val="6DA700B4"/>
    <w:rsid w:val="706E686D"/>
    <w:rsid w:val="74D86DA5"/>
    <w:rsid w:val="788A485A"/>
    <w:rsid w:val="7C4116D4"/>
    <w:rsid w:val="7C8021FC"/>
    <w:rsid w:val="7DCA74A7"/>
    <w:rsid w:val="7DE92023"/>
    <w:rsid w:val="7E3C027A"/>
    <w:rsid w:val="7FC5261C"/>
    <w:rsid w:val="7FE64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2183</Words>
  <Characters>2327</Characters>
  <TotalTime>7</TotalTime>
  <ScaleCrop>false</ScaleCrop>
  <LinksUpToDate>false</LinksUpToDate>
  <CharactersWithSpaces>2339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2025-09-19T06:28:52Z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31BB5D9FCE5E4B19BF8775DBE3CE227C_13</vt:lpwstr>
  </property>
  <property fmtid="{D5CDD505-2E9C-101B-9397-08002B2CF9AE}" pid="6" name="KSOTemplateDocerSaveRecord">
    <vt:lpwstr>eyJoZGlkIjoiNGYxZWI3OThmN2JiYzEzZDMwNmYyMTI2MmZiMzE0ZjYiLCJ1c2VySWQiOiIzMTc5OTA1NSJ9</vt:lpwstr>
  </property>
</Properties>
</file>