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FB170">
      <w:pPr>
        <w:spacing w:before="85" w:line="492" w:lineRule="exact"/>
        <w:jc w:val="center"/>
        <w:outlineLvl w:val="0"/>
        <w:rPr>
          <w:rFonts w:hint="eastAsia" w:asciiTheme="minorEastAsia" w:hAnsiTheme="minorEastAsia" w:eastAsiaTheme="minorEastAsia" w:cstheme="minorEastAsia"/>
          <w:b/>
          <w:bCs/>
          <w:spacing w:val="0"/>
          <w:position w:val="2"/>
          <w:sz w:val="36"/>
          <w:szCs w:val="36"/>
          <w:lang w:eastAsia="zh-CN"/>
        </w:rPr>
      </w:pPr>
      <w:r>
        <w:rPr>
          <w:rFonts w:hint="eastAsia" w:asciiTheme="minorEastAsia" w:hAnsiTheme="minorEastAsia" w:eastAsiaTheme="minorEastAsia" w:cstheme="minorEastAsia"/>
          <w:b/>
          <w:bCs/>
          <w:spacing w:val="0"/>
          <w:position w:val="2"/>
          <w:sz w:val="36"/>
          <w:szCs w:val="36"/>
          <w:lang w:eastAsia="zh-CN"/>
        </w:rPr>
        <w:t>中共合水县委机构编制委员会办公室</w:t>
      </w:r>
    </w:p>
    <w:p w14:paraId="688B9A51">
      <w:pPr>
        <w:spacing w:before="85" w:line="492" w:lineRule="exact"/>
        <w:jc w:val="center"/>
        <w:outlineLvl w:val="0"/>
        <w:rPr>
          <w:rFonts w:hint="eastAsia" w:asciiTheme="minorEastAsia" w:hAnsiTheme="minorEastAsia" w:eastAsiaTheme="minorEastAsia" w:cstheme="minorEastAsia"/>
          <w:spacing w:val="0"/>
          <w:sz w:val="36"/>
          <w:szCs w:val="36"/>
        </w:rPr>
      </w:pPr>
      <w:r>
        <w:rPr>
          <w:rFonts w:hint="eastAsia" w:asciiTheme="minorEastAsia" w:hAnsiTheme="minorEastAsia" w:eastAsiaTheme="minorEastAsia" w:cstheme="minorEastAsia"/>
          <w:b/>
          <w:bCs/>
          <w:spacing w:val="0"/>
          <w:position w:val="2"/>
          <w:sz w:val="36"/>
          <w:szCs w:val="36"/>
        </w:rPr>
        <w:t>部门整体支出绩效评价报告</w:t>
      </w:r>
    </w:p>
    <w:p w14:paraId="2877EE77">
      <w:pPr>
        <w:spacing w:line="55"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807"/>
        <w:gridCol w:w="1551"/>
        <w:gridCol w:w="1848"/>
        <w:gridCol w:w="484"/>
        <w:gridCol w:w="2137"/>
      </w:tblGrid>
      <w:tr w14:paraId="23D5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9" w:type="dxa"/>
            <w:gridSpan w:val="6"/>
            <w:tcBorders>
              <w:left w:val="nil"/>
              <w:bottom w:val="nil"/>
              <w:right w:val="nil"/>
            </w:tcBorders>
            <w:vAlign w:val="center"/>
          </w:tcPr>
          <w:p w14:paraId="6E4CB95B">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一、项目基本情况</w:t>
            </w:r>
          </w:p>
        </w:tc>
      </w:tr>
      <w:tr w14:paraId="5CD0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02" w:type="dxa"/>
            <w:vMerge w:val="restart"/>
            <w:tcBorders>
              <w:left w:val="nil"/>
              <w:bottom w:val="nil"/>
            </w:tcBorders>
            <w:textDirection w:val="tbRlV"/>
            <w:vAlign w:val="center"/>
          </w:tcPr>
          <w:p w14:paraId="75D206E8">
            <w:pPr>
              <w:pStyle w:val="10"/>
              <w:keepNext w:val="0"/>
              <w:keepLines w:val="0"/>
              <w:pageBreakBefore w:val="0"/>
              <w:widowControl/>
              <w:kinsoku w:val="0"/>
              <w:wordWrap/>
              <w:overflowPunct/>
              <w:topLinePunct w:val="0"/>
              <w:autoSpaceDE w:val="0"/>
              <w:autoSpaceDN w:val="0"/>
              <w:bidi w:val="0"/>
              <w:adjustRightInd w:val="0"/>
              <w:snapToGrid w:val="0"/>
              <w:spacing w:line="202" w:lineRule="auto"/>
              <w:ind w:left="204" w:leftChars="0" w:right="113" w:rightChars="0" w:firstLine="241" w:firstLineChars="100"/>
              <w:jc w:val="center"/>
              <w:textAlignment w:val="baseline"/>
              <w:rPr>
                <w:rFonts w:hint="eastAsia" w:asciiTheme="minorEastAsia" w:hAnsiTheme="minorEastAsia" w:eastAsiaTheme="minorEastAsia" w:cstheme="minorEastAsia"/>
                <w:spacing w:val="0"/>
                <w:sz w:val="24"/>
                <w:szCs w:val="24"/>
              </w:rPr>
            </w:pPr>
            <w:bookmarkStart w:id="2" w:name="_GoBack" w:colFirst="0" w:colLast="4"/>
            <w:r>
              <w:rPr>
                <w:rFonts w:hint="eastAsia" w:asciiTheme="minorEastAsia" w:hAnsiTheme="minorEastAsia" w:eastAsiaTheme="minorEastAsia" w:cstheme="minorEastAsia"/>
                <w:b/>
                <w:bCs/>
                <w:spacing w:val="0"/>
                <w:sz w:val="24"/>
                <w:szCs w:val="24"/>
                <w:highlight w:val="none"/>
                <w:lang w:val="en-US" w:eastAsia="zh-CN"/>
              </w:rPr>
              <w:t>基 本 情 况</w:t>
            </w:r>
          </w:p>
        </w:tc>
        <w:tc>
          <w:tcPr>
            <w:tcW w:w="1807" w:type="dxa"/>
            <w:vAlign w:val="center"/>
          </w:tcPr>
          <w:p w14:paraId="72555EE4">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431"/>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项目名称</w:t>
            </w:r>
          </w:p>
        </w:tc>
        <w:tc>
          <w:tcPr>
            <w:tcW w:w="6020" w:type="dxa"/>
            <w:gridSpan w:val="4"/>
            <w:tcBorders>
              <w:right w:val="nil"/>
            </w:tcBorders>
            <w:vAlign w:val="center"/>
          </w:tcPr>
          <w:p w14:paraId="10568865">
            <w:pPr>
              <w:pStyle w:val="10"/>
              <w:keepNext w:val="0"/>
              <w:keepLines w:val="0"/>
              <w:pageBreakBefore w:val="0"/>
              <w:widowControl/>
              <w:kinsoku w:val="0"/>
              <w:wordWrap/>
              <w:overflowPunct/>
              <w:topLinePunct w:val="0"/>
              <w:autoSpaceDE w:val="0"/>
              <w:autoSpaceDN w:val="0"/>
              <w:bidi w:val="0"/>
              <w:adjustRightInd w:val="0"/>
              <w:snapToGrid w:val="0"/>
              <w:spacing w:line="229" w:lineRule="auto"/>
              <w:ind w:right="292"/>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中共合水县委机构编制委员会办公室</w:t>
            </w:r>
            <w:r>
              <w:rPr>
                <w:rFonts w:hint="eastAsia" w:asciiTheme="minorEastAsia" w:hAnsiTheme="minorEastAsia" w:eastAsiaTheme="minorEastAsia" w:cstheme="minorEastAsia"/>
                <w:spacing w:val="0"/>
                <w:sz w:val="24"/>
                <w:szCs w:val="24"/>
              </w:rPr>
              <w:t>部门整体支出</w:t>
            </w:r>
          </w:p>
          <w:p w14:paraId="74F7AC73">
            <w:pPr>
              <w:pStyle w:val="10"/>
              <w:keepNext w:val="0"/>
              <w:keepLines w:val="0"/>
              <w:pageBreakBefore w:val="0"/>
              <w:widowControl/>
              <w:kinsoku w:val="0"/>
              <w:wordWrap/>
              <w:overflowPunct/>
              <w:topLinePunct w:val="0"/>
              <w:autoSpaceDE w:val="0"/>
              <w:autoSpaceDN w:val="0"/>
              <w:bidi w:val="0"/>
              <w:adjustRightInd w:val="0"/>
              <w:snapToGrid w:val="0"/>
              <w:spacing w:line="229" w:lineRule="auto"/>
              <w:ind w:right="292"/>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绩效评价</w:t>
            </w:r>
          </w:p>
        </w:tc>
      </w:tr>
      <w:tr w14:paraId="649E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continue"/>
            <w:tcBorders>
              <w:top w:val="nil"/>
              <w:left w:val="nil"/>
              <w:bottom w:val="nil"/>
            </w:tcBorders>
            <w:textDirection w:val="tbRlV"/>
            <w:vAlign w:val="center"/>
          </w:tcPr>
          <w:p w14:paraId="6F7B67C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pacing w:val="0"/>
                <w:sz w:val="24"/>
                <w:szCs w:val="24"/>
              </w:rPr>
            </w:pPr>
          </w:p>
        </w:tc>
        <w:tc>
          <w:tcPr>
            <w:tcW w:w="1807" w:type="dxa"/>
            <w:vAlign w:val="center"/>
          </w:tcPr>
          <w:p w14:paraId="2EA19E04">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426"/>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评价年度</w:t>
            </w:r>
          </w:p>
        </w:tc>
        <w:tc>
          <w:tcPr>
            <w:tcW w:w="1551" w:type="dxa"/>
            <w:vAlign w:val="center"/>
          </w:tcPr>
          <w:p w14:paraId="0329762F">
            <w:pPr>
              <w:pStyle w:val="10"/>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202</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年度</w:t>
            </w:r>
          </w:p>
        </w:tc>
        <w:tc>
          <w:tcPr>
            <w:tcW w:w="1848" w:type="dxa"/>
            <w:vAlign w:val="center"/>
          </w:tcPr>
          <w:p w14:paraId="4C578508">
            <w:pPr>
              <w:pStyle w:val="10"/>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评价类型</w:t>
            </w:r>
          </w:p>
        </w:tc>
        <w:tc>
          <w:tcPr>
            <w:tcW w:w="2621" w:type="dxa"/>
            <w:gridSpan w:val="2"/>
            <w:tcBorders>
              <w:right w:val="nil"/>
            </w:tcBorders>
            <w:vAlign w:val="center"/>
          </w:tcPr>
          <w:p w14:paraId="224F3882">
            <w:pPr>
              <w:pStyle w:val="10"/>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财政</w:t>
            </w:r>
            <w:r>
              <w:rPr>
                <w:rFonts w:hint="eastAsia" w:asciiTheme="minorEastAsia" w:hAnsiTheme="minorEastAsia" w:eastAsiaTheme="minorEastAsia" w:cstheme="minorEastAsia"/>
                <w:spacing w:val="0"/>
                <w:sz w:val="24"/>
                <w:szCs w:val="24"/>
              </w:rPr>
              <w:t>评价</w:t>
            </w:r>
          </w:p>
        </w:tc>
      </w:tr>
      <w:tr w14:paraId="3C41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02" w:type="dxa"/>
            <w:vMerge w:val="continue"/>
            <w:tcBorders>
              <w:top w:val="nil"/>
              <w:left w:val="nil"/>
              <w:bottom w:val="nil"/>
            </w:tcBorders>
            <w:textDirection w:val="tbRlV"/>
            <w:vAlign w:val="center"/>
          </w:tcPr>
          <w:p w14:paraId="39E1F17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pacing w:val="0"/>
                <w:sz w:val="24"/>
                <w:szCs w:val="24"/>
              </w:rPr>
            </w:pPr>
          </w:p>
        </w:tc>
        <w:tc>
          <w:tcPr>
            <w:tcW w:w="1807" w:type="dxa"/>
            <w:vAlign w:val="center"/>
          </w:tcPr>
          <w:p w14:paraId="64C60D4E">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186"/>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委托评价单位</w:t>
            </w:r>
          </w:p>
        </w:tc>
        <w:tc>
          <w:tcPr>
            <w:tcW w:w="1551" w:type="dxa"/>
            <w:vAlign w:val="center"/>
          </w:tcPr>
          <w:p w14:paraId="5290E408">
            <w:pPr>
              <w:pStyle w:val="10"/>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w:t>
            </w:r>
            <w:r>
              <w:rPr>
                <w:rFonts w:hint="eastAsia" w:asciiTheme="minorEastAsia" w:hAnsiTheme="minorEastAsia" w:eastAsiaTheme="minorEastAsia" w:cstheme="minorEastAsia"/>
                <w:spacing w:val="0"/>
                <w:sz w:val="24"/>
                <w:szCs w:val="24"/>
              </w:rPr>
              <w:t>县财政局</w:t>
            </w:r>
          </w:p>
        </w:tc>
        <w:tc>
          <w:tcPr>
            <w:tcW w:w="1848" w:type="dxa"/>
            <w:vAlign w:val="center"/>
          </w:tcPr>
          <w:p w14:paraId="6F2F0719">
            <w:pPr>
              <w:pStyle w:val="10"/>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评价机构名称</w:t>
            </w:r>
          </w:p>
        </w:tc>
        <w:tc>
          <w:tcPr>
            <w:tcW w:w="2621" w:type="dxa"/>
            <w:gridSpan w:val="2"/>
            <w:tcBorders>
              <w:right w:val="nil"/>
            </w:tcBorders>
            <w:vAlign w:val="center"/>
          </w:tcPr>
          <w:p w14:paraId="12367D41">
            <w:pPr>
              <w:pStyle w:val="10"/>
              <w:keepNext w:val="0"/>
              <w:keepLines w:val="0"/>
              <w:pageBreakBefore w:val="0"/>
              <w:widowControl/>
              <w:kinsoku w:val="0"/>
              <w:wordWrap/>
              <w:overflowPunct/>
              <w:topLinePunct w:val="0"/>
              <w:autoSpaceDE w:val="0"/>
              <w:autoSpaceDN w:val="0"/>
              <w:bidi w:val="0"/>
              <w:adjustRightInd w:val="0"/>
              <w:snapToGrid w:val="0"/>
              <w:spacing w:line="229" w:lineRule="auto"/>
              <w:ind w:right="292"/>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甘肃正成鸿诺会计师事务所（普通合伙）</w:t>
            </w:r>
          </w:p>
        </w:tc>
      </w:tr>
      <w:tr w14:paraId="6499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02" w:type="dxa"/>
            <w:vMerge w:val="continue"/>
            <w:tcBorders>
              <w:top w:val="nil"/>
              <w:left w:val="nil"/>
            </w:tcBorders>
            <w:textDirection w:val="tbRlV"/>
            <w:vAlign w:val="center"/>
          </w:tcPr>
          <w:p w14:paraId="287D7E1E">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Theme="minorEastAsia" w:hAnsiTheme="minorEastAsia" w:eastAsiaTheme="minorEastAsia" w:cstheme="minorEastAsia"/>
                <w:spacing w:val="0"/>
                <w:sz w:val="24"/>
                <w:szCs w:val="24"/>
              </w:rPr>
            </w:pPr>
          </w:p>
        </w:tc>
        <w:tc>
          <w:tcPr>
            <w:tcW w:w="1807" w:type="dxa"/>
            <w:vAlign w:val="center"/>
          </w:tcPr>
          <w:p w14:paraId="1229570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186"/>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评价对象名称</w:t>
            </w:r>
          </w:p>
        </w:tc>
        <w:tc>
          <w:tcPr>
            <w:tcW w:w="6020" w:type="dxa"/>
            <w:gridSpan w:val="4"/>
            <w:tcBorders>
              <w:right w:val="nil"/>
            </w:tcBorders>
            <w:vAlign w:val="center"/>
          </w:tcPr>
          <w:p w14:paraId="01CA1CD3">
            <w:pPr>
              <w:pStyle w:val="10"/>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中共合水县委机构编制委员会办公室</w:t>
            </w:r>
          </w:p>
        </w:tc>
      </w:tr>
      <w:bookmarkEnd w:id="2"/>
      <w:tr w14:paraId="4DBF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9" w:hRule="atLeast"/>
        </w:trPr>
        <w:tc>
          <w:tcPr>
            <w:tcW w:w="702" w:type="dxa"/>
            <w:tcBorders>
              <w:left w:val="nil"/>
            </w:tcBorders>
            <w:textDirection w:val="tbRlV"/>
            <w:vAlign w:val="top"/>
          </w:tcPr>
          <w:p w14:paraId="3218D0BA">
            <w:pPr>
              <w:pStyle w:val="10"/>
              <w:spacing w:before="229" w:line="202" w:lineRule="auto"/>
              <w:ind w:left="204" w:leftChars="0" w:right="113" w:rightChars="0" w:firstLine="241" w:firstLineChars="10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highlight w:val="none"/>
                <w:lang w:val="en-US" w:eastAsia="zh-CN"/>
              </w:rPr>
              <w:t>实 施 目 的</w:t>
            </w:r>
          </w:p>
        </w:tc>
        <w:tc>
          <w:tcPr>
            <w:tcW w:w="7827" w:type="dxa"/>
            <w:gridSpan w:val="5"/>
            <w:tcBorders>
              <w:right w:val="nil"/>
            </w:tcBorders>
            <w:vAlign w:val="center"/>
          </w:tcPr>
          <w:p w14:paraId="44CDA8F0">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为强化部门支出责任，提升部门履职成效，提高财政资金使用效益，对</w:t>
            </w:r>
            <w:r>
              <w:rPr>
                <w:rFonts w:hint="eastAsia" w:asciiTheme="minorEastAsia" w:hAnsiTheme="minorEastAsia" w:eastAsiaTheme="minorEastAsia" w:cstheme="minorEastAsia"/>
                <w:spacing w:val="0"/>
                <w:sz w:val="24"/>
                <w:szCs w:val="24"/>
                <w:lang w:eastAsia="zh-CN"/>
              </w:rPr>
              <w:t>中共合水县委机构编制委员会办公室</w:t>
            </w:r>
            <w:r>
              <w:rPr>
                <w:rFonts w:hint="eastAsia" w:asciiTheme="minorEastAsia" w:hAnsiTheme="minorEastAsia" w:eastAsiaTheme="minorEastAsia" w:cstheme="minorEastAsia"/>
                <w:spacing w:val="0"/>
                <w:sz w:val="24"/>
                <w:szCs w:val="24"/>
                <w:lang w:val="en-US" w:eastAsia="zh-CN"/>
              </w:rPr>
              <w:t>2024</w:t>
            </w:r>
            <w:r>
              <w:rPr>
                <w:rFonts w:hint="eastAsia" w:asciiTheme="minorEastAsia" w:hAnsiTheme="minorEastAsia" w:eastAsiaTheme="minorEastAsia" w:cstheme="minorEastAsia"/>
                <w:spacing w:val="0"/>
                <w:sz w:val="24"/>
                <w:szCs w:val="24"/>
              </w:rPr>
              <w:t>年度部门整体支出开展绩效评价，评价工作以预算资金管理为主线，从部门规划、运行成本、管理效率、履职效能、社会效应、可持续发展能力和服务对象满意度等方面</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衡量部门整体及核心业务实施效果</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推动部门提高整体绩效水平。</w:t>
            </w:r>
          </w:p>
        </w:tc>
      </w:tr>
      <w:tr w14:paraId="0883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restart"/>
            <w:tcBorders>
              <w:left w:val="nil"/>
              <w:bottom w:val="nil"/>
            </w:tcBorders>
            <w:textDirection w:val="tbLrV"/>
            <w:vAlign w:val="top"/>
          </w:tcPr>
          <w:p w14:paraId="1ABA98AF">
            <w:pPr>
              <w:pStyle w:val="10"/>
              <w:spacing w:before="229" w:line="202" w:lineRule="auto"/>
              <w:ind w:left="204" w:leftChars="0" w:right="113" w:rightChars="0" w:firstLine="241" w:firstLineChars="100"/>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b/>
                <w:bCs/>
                <w:spacing w:val="0"/>
                <w:sz w:val="24"/>
                <w:szCs w:val="24"/>
                <w:highlight w:val="none"/>
                <w:lang w:val="en-US" w:eastAsia="zh-CN"/>
              </w:rPr>
              <w:t>资 金 情 况（万元）</w:t>
            </w:r>
          </w:p>
        </w:tc>
        <w:tc>
          <w:tcPr>
            <w:tcW w:w="1807" w:type="dxa"/>
            <w:vAlign w:val="top"/>
          </w:tcPr>
          <w:p w14:paraId="41F20640">
            <w:pPr>
              <w:pStyle w:val="10"/>
              <w:spacing w:before="200" w:line="220" w:lineRule="auto"/>
              <w:ind w:left="18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预算安排资金</w:t>
            </w:r>
          </w:p>
        </w:tc>
        <w:tc>
          <w:tcPr>
            <w:tcW w:w="1551" w:type="dxa"/>
            <w:vAlign w:val="top"/>
          </w:tcPr>
          <w:p w14:paraId="2EE08C3F">
            <w:pPr>
              <w:pStyle w:val="10"/>
              <w:spacing w:before="238"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182.19</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top"/>
          </w:tcPr>
          <w:p w14:paraId="41C16993">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实际到位资金</w:t>
            </w:r>
          </w:p>
        </w:tc>
        <w:tc>
          <w:tcPr>
            <w:tcW w:w="2137" w:type="dxa"/>
            <w:tcBorders>
              <w:right w:val="nil"/>
            </w:tcBorders>
            <w:vAlign w:val="top"/>
          </w:tcPr>
          <w:p w14:paraId="05DBC0B0">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216.05</w:t>
            </w:r>
            <w:r>
              <w:rPr>
                <w:rFonts w:hint="eastAsia" w:asciiTheme="minorEastAsia" w:hAnsiTheme="minorEastAsia" w:eastAsiaTheme="minorEastAsia" w:cstheme="minorEastAsia"/>
                <w:spacing w:val="0"/>
                <w:sz w:val="24"/>
                <w:szCs w:val="24"/>
                <w:lang w:val="en-US" w:eastAsia="zh-CN"/>
              </w:rPr>
              <w:t>万元</w:t>
            </w:r>
          </w:p>
        </w:tc>
      </w:tr>
      <w:tr w14:paraId="4741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E280996">
            <w:pPr>
              <w:rPr>
                <w:rFonts w:hint="eastAsia" w:asciiTheme="minorEastAsia" w:hAnsiTheme="minorEastAsia" w:eastAsiaTheme="minorEastAsia" w:cstheme="minorEastAsia"/>
                <w:spacing w:val="0"/>
                <w:sz w:val="24"/>
                <w:szCs w:val="24"/>
                <w:highlight w:val="none"/>
              </w:rPr>
            </w:pPr>
          </w:p>
        </w:tc>
        <w:tc>
          <w:tcPr>
            <w:tcW w:w="1807" w:type="dxa"/>
            <w:vAlign w:val="top"/>
          </w:tcPr>
          <w:p w14:paraId="4D05CF04">
            <w:pPr>
              <w:pStyle w:val="10"/>
              <w:spacing w:before="200" w:line="221" w:lineRule="auto"/>
              <w:ind w:left="116"/>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1551" w:type="dxa"/>
            <w:vAlign w:val="top"/>
          </w:tcPr>
          <w:p w14:paraId="290B9AA6">
            <w:pPr>
              <w:pStyle w:val="10"/>
              <w:spacing w:before="240" w:line="183" w:lineRule="auto"/>
              <w:jc w:val="center"/>
              <w:rPr>
                <w:rFonts w:hint="eastAsia" w:asciiTheme="minorEastAsia" w:hAnsiTheme="minorEastAsia" w:eastAsiaTheme="minorEastAsia" w:cstheme="minorEastAsia"/>
                <w:spacing w:val="0"/>
                <w:sz w:val="24"/>
                <w:szCs w:val="24"/>
                <w:highlight w:val="none"/>
              </w:rPr>
            </w:pPr>
          </w:p>
        </w:tc>
        <w:tc>
          <w:tcPr>
            <w:tcW w:w="2332" w:type="dxa"/>
            <w:gridSpan w:val="2"/>
            <w:vAlign w:val="top"/>
          </w:tcPr>
          <w:p w14:paraId="66105287">
            <w:pPr>
              <w:pStyle w:val="10"/>
              <w:spacing w:before="200" w:line="221" w:lineRule="auto"/>
              <w:ind w:left="127"/>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2137" w:type="dxa"/>
            <w:tcBorders>
              <w:right w:val="nil"/>
            </w:tcBorders>
            <w:vAlign w:val="top"/>
          </w:tcPr>
          <w:p w14:paraId="1C1E23BB">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p>
        </w:tc>
      </w:tr>
      <w:tr w14:paraId="0E60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486ED73E">
            <w:pPr>
              <w:rPr>
                <w:rFonts w:hint="eastAsia" w:asciiTheme="minorEastAsia" w:hAnsiTheme="minorEastAsia" w:eastAsiaTheme="minorEastAsia" w:cstheme="minorEastAsia"/>
                <w:spacing w:val="0"/>
                <w:sz w:val="24"/>
                <w:szCs w:val="24"/>
                <w:highlight w:val="none"/>
              </w:rPr>
            </w:pPr>
          </w:p>
        </w:tc>
        <w:tc>
          <w:tcPr>
            <w:tcW w:w="1807" w:type="dxa"/>
            <w:vAlign w:val="top"/>
          </w:tcPr>
          <w:p w14:paraId="3B7E900E">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1551" w:type="dxa"/>
            <w:vAlign w:val="top"/>
          </w:tcPr>
          <w:p w14:paraId="190C312A">
            <w:pPr>
              <w:pStyle w:val="10"/>
              <w:spacing w:before="240"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182.19</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top"/>
          </w:tcPr>
          <w:p w14:paraId="2DF377AF">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2137" w:type="dxa"/>
            <w:tcBorders>
              <w:right w:val="nil"/>
            </w:tcBorders>
            <w:vAlign w:val="top"/>
          </w:tcPr>
          <w:p w14:paraId="3710645A">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216.05</w:t>
            </w:r>
            <w:r>
              <w:rPr>
                <w:rFonts w:hint="eastAsia" w:asciiTheme="minorEastAsia" w:hAnsiTheme="minorEastAsia" w:eastAsiaTheme="minorEastAsia" w:cstheme="minorEastAsia"/>
                <w:spacing w:val="0"/>
                <w:sz w:val="24"/>
                <w:szCs w:val="24"/>
                <w:lang w:val="en-US" w:eastAsia="zh-CN"/>
              </w:rPr>
              <w:t>万元</w:t>
            </w:r>
          </w:p>
        </w:tc>
      </w:tr>
      <w:tr w14:paraId="4516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239453F">
            <w:pPr>
              <w:rPr>
                <w:rFonts w:hint="eastAsia" w:asciiTheme="minorEastAsia" w:hAnsiTheme="minorEastAsia" w:eastAsiaTheme="minorEastAsia" w:cstheme="minorEastAsia"/>
                <w:spacing w:val="0"/>
                <w:sz w:val="24"/>
                <w:szCs w:val="24"/>
                <w:highlight w:val="none"/>
              </w:rPr>
            </w:pPr>
          </w:p>
        </w:tc>
        <w:tc>
          <w:tcPr>
            <w:tcW w:w="1807" w:type="dxa"/>
            <w:vAlign w:val="top"/>
          </w:tcPr>
          <w:p w14:paraId="6A7167D4">
            <w:pPr>
              <w:pStyle w:val="10"/>
              <w:spacing w:before="200" w:line="221" w:lineRule="auto"/>
              <w:ind w:left="193"/>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实际支出资金</w:t>
            </w:r>
          </w:p>
        </w:tc>
        <w:tc>
          <w:tcPr>
            <w:tcW w:w="1551" w:type="dxa"/>
            <w:vAlign w:val="top"/>
          </w:tcPr>
          <w:p w14:paraId="64F54DE7">
            <w:pPr>
              <w:pStyle w:val="10"/>
              <w:spacing w:before="239"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216.05</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top"/>
          </w:tcPr>
          <w:p w14:paraId="5F8D6931">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结转结余资金</w:t>
            </w:r>
          </w:p>
        </w:tc>
        <w:tc>
          <w:tcPr>
            <w:tcW w:w="2137" w:type="dxa"/>
            <w:tcBorders>
              <w:right w:val="nil"/>
            </w:tcBorders>
            <w:vAlign w:val="top"/>
          </w:tcPr>
          <w:p w14:paraId="5D763974">
            <w:pPr>
              <w:pStyle w:val="10"/>
              <w:spacing w:before="239" w:line="183" w:lineRule="auto"/>
              <w:jc w:val="center"/>
              <w:rPr>
                <w:rFonts w:hint="default"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0</w:t>
            </w:r>
            <w:r>
              <w:rPr>
                <w:rFonts w:hint="eastAsia" w:asciiTheme="minorEastAsia" w:hAnsiTheme="minorEastAsia" w:eastAsiaTheme="minorEastAsia" w:cstheme="minorEastAsia"/>
                <w:spacing w:val="0"/>
                <w:sz w:val="24"/>
                <w:szCs w:val="24"/>
                <w:lang w:val="en-US" w:eastAsia="zh-CN"/>
              </w:rPr>
              <w:t>万元</w:t>
            </w:r>
          </w:p>
        </w:tc>
      </w:tr>
      <w:tr w14:paraId="1F90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2" w:type="dxa"/>
            <w:vMerge w:val="continue"/>
            <w:tcBorders>
              <w:top w:val="nil"/>
              <w:left w:val="nil"/>
            </w:tcBorders>
            <w:vAlign w:val="top"/>
          </w:tcPr>
          <w:p w14:paraId="3AEA6B58">
            <w:pPr>
              <w:rPr>
                <w:rFonts w:hint="eastAsia" w:asciiTheme="minorEastAsia" w:hAnsiTheme="minorEastAsia" w:eastAsiaTheme="minorEastAsia" w:cstheme="minorEastAsia"/>
                <w:spacing w:val="0"/>
                <w:sz w:val="24"/>
                <w:szCs w:val="24"/>
                <w:highlight w:val="none"/>
              </w:rPr>
            </w:pPr>
          </w:p>
        </w:tc>
        <w:tc>
          <w:tcPr>
            <w:tcW w:w="1807" w:type="dxa"/>
            <w:vAlign w:val="top"/>
          </w:tcPr>
          <w:p w14:paraId="0818A1CE">
            <w:pPr>
              <w:pStyle w:val="10"/>
              <w:spacing w:before="202" w:line="220" w:lineRule="auto"/>
              <w:ind w:left="30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预算执行率</w:t>
            </w:r>
          </w:p>
        </w:tc>
        <w:tc>
          <w:tcPr>
            <w:tcW w:w="6020" w:type="dxa"/>
            <w:gridSpan w:val="4"/>
            <w:tcBorders>
              <w:right w:val="nil"/>
            </w:tcBorders>
            <w:vAlign w:val="center"/>
          </w:tcPr>
          <w:p w14:paraId="315F5367">
            <w:pPr>
              <w:pStyle w:val="10"/>
              <w:spacing w:before="239" w:line="183" w:lineRule="auto"/>
              <w:jc w:val="center"/>
              <w:rPr>
                <w:rFonts w:hint="default" w:asciiTheme="minorEastAsia" w:hAnsiTheme="minorEastAsia" w:eastAsiaTheme="minorEastAsia" w:cstheme="minorEastAsia"/>
                <w:spacing w:val="0"/>
                <w:sz w:val="24"/>
                <w:szCs w:val="24"/>
                <w:highlight w:val="none"/>
                <w:lang w:val="en-US" w:eastAsia="zh-CN"/>
              </w:rPr>
            </w:pPr>
            <w:r>
              <w:rPr>
                <w:rFonts w:hint="eastAsia" w:ascii="Times New Roman" w:hAnsi="Times New Roman" w:eastAsia="仿宋_GB2312" w:cstheme="minorBidi"/>
                <w:b w:val="0"/>
                <w:bCs w:val="0"/>
                <w:kern w:val="2"/>
                <w:sz w:val="24"/>
                <w:szCs w:val="24"/>
                <w:lang w:val="en-US" w:eastAsia="zh-CN" w:bidi="ar-SA"/>
              </w:rPr>
              <w:t>100%</w:t>
            </w:r>
          </w:p>
        </w:tc>
      </w:tr>
    </w:tbl>
    <w:p w14:paraId="3298B6A8">
      <w:pPr>
        <w:spacing w:before="197" w:line="220" w:lineRule="auto"/>
        <w:ind w:left="331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二、部门绩效目标</w:t>
      </w:r>
    </w:p>
    <w:p w14:paraId="3728A160">
      <w:pPr>
        <w:spacing w:line="83"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3"/>
        <w:gridCol w:w="7136"/>
      </w:tblGrid>
      <w:tr w14:paraId="0062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5" w:hRule="atLeast"/>
        </w:trPr>
        <w:tc>
          <w:tcPr>
            <w:tcW w:w="1393" w:type="dxa"/>
            <w:tcBorders>
              <w:left w:val="nil"/>
            </w:tcBorders>
            <w:vAlign w:val="center"/>
          </w:tcPr>
          <w:p w14:paraId="325593E1">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年度绩效</w:t>
            </w:r>
          </w:p>
          <w:p w14:paraId="6261B586">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目标</w:t>
            </w:r>
          </w:p>
        </w:tc>
        <w:tc>
          <w:tcPr>
            <w:tcW w:w="7136" w:type="dxa"/>
            <w:tcBorders>
              <w:right w:val="nil"/>
            </w:tcBorders>
            <w:vAlign w:val="center"/>
          </w:tcPr>
          <w:p w14:paraId="4AE76522">
            <w:pPr>
              <w:keepNext w:val="0"/>
              <w:keepLines w:val="0"/>
              <w:pageBreakBefore w:val="0"/>
              <w:widowControl w:val="0"/>
              <w:kinsoku/>
              <w:wordWrap/>
              <w:overflowPunct w:val="0"/>
              <w:topLinePunct/>
              <w:autoSpaceDE/>
              <w:autoSpaceDN/>
              <w:bidi w:val="0"/>
              <w:adjustRightInd/>
              <w:snapToGrid/>
              <w:ind w:firstLine="480" w:firstLineChars="200"/>
              <w:jc w:val="left"/>
              <w:textAlignment w:val="auto"/>
              <w:rPr>
                <w:rFonts w:hint="eastAsia" w:asciiTheme="minorEastAsia" w:hAnsiTheme="minorEastAsia" w:eastAsiaTheme="minorEastAsia" w:cstheme="minorEastAsia"/>
                <w:snapToGrid w:val="0"/>
                <w:color w:val="000000"/>
                <w:spacing w:val="0"/>
                <w:kern w:val="0"/>
                <w:sz w:val="24"/>
                <w:szCs w:val="24"/>
                <w:lang w:val="en-US" w:eastAsia="en-US" w:bidi="ar-SA"/>
              </w:rPr>
            </w:pPr>
            <w:r>
              <w:rPr>
                <w:rFonts w:hint="eastAsia" w:asciiTheme="minorEastAsia" w:hAnsiTheme="minorEastAsia" w:eastAsiaTheme="minorEastAsia" w:cstheme="minorEastAsia"/>
                <w:snapToGrid w:val="0"/>
                <w:color w:val="000000"/>
                <w:spacing w:val="0"/>
                <w:kern w:val="0"/>
                <w:sz w:val="24"/>
                <w:szCs w:val="24"/>
                <w:lang w:val="en-US" w:eastAsia="en-US" w:bidi="ar-SA"/>
              </w:rPr>
              <w:t>1.指导各部门及乡镇的“三定”规定制定修订工作，推进电子政务建设。</w:t>
            </w:r>
          </w:p>
          <w:p w14:paraId="2A1FA0B8">
            <w:pPr>
              <w:keepNext w:val="0"/>
              <w:keepLines w:val="0"/>
              <w:pageBreakBefore w:val="0"/>
              <w:widowControl w:val="0"/>
              <w:kinsoku/>
              <w:wordWrap/>
              <w:overflowPunct w:val="0"/>
              <w:topLinePunct/>
              <w:autoSpaceDE/>
              <w:autoSpaceDN/>
              <w:bidi w:val="0"/>
              <w:adjustRightInd/>
              <w:snapToGrid/>
              <w:ind w:firstLine="480" w:firstLineChars="200"/>
              <w:jc w:val="left"/>
              <w:textAlignment w:val="auto"/>
              <w:rPr>
                <w:rFonts w:hint="eastAsia" w:asciiTheme="minorEastAsia" w:hAnsiTheme="minorEastAsia" w:eastAsiaTheme="minorEastAsia" w:cstheme="minorEastAsia"/>
                <w:snapToGrid w:val="0"/>
                <w:color w:val="000000"/>
                <w:spacing w:val="0"/>
                <w:kern w:val="0"/>
                <w:sz w:val="24"/>
                <w:szCs w:val="24"/>
                <w:lang w:val="en-US" w:eastAsia="en-US" w:bidi="ar-SA"/>
              </w:rPr>
            </w:pPr>
            <w:r>
              <w:rPr>
                <w:rFonts w:hint="eastAsia" w:asciiTheme="minorEastAsia" w:hAnsiTheme="minorEastAsia" w:eastAsiaTheme="minorEastAsia" w:cstheme="minorEastAsia"/>
                <w:snapToGrid w:val="0"/>
                <w:color w:val="000000"/>
                <w:spacing w:val="0"/>
                <w:kern w:val="0"/>
                <w:sz w:val="24"/>
                <w:szCs w:val="24"/>
                <w:lang w:val="en-US" w:eastAsia="en-US" w:bidi="ar-SA"/>
              </w:rPr>
              <w:t>2.保障机关干部职工的合法权益，按时发放在职人员基本工资及津贴补助。</w:t>
            </w:r>
          </w:p>
          <w:p w14:paraId="667A8689">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left"/>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napToGrid w:val="0"/>
                <w:color w:val="000000"/>
                <w:spacing w:val="0"/>
                <w:kern w:val="0"/>
                <w:sz w:val="24"/>
                <w:szCs w:val="24"/>
                <w:lang w:val="en-US" w:eastAsia="en-US" w:bidi="ar-SA"/>
              </w:rPr>
              <w:t>3.保障行政单位日常办公费用。</w:t>
            </w:r>
          </w:p>
        </w:tc>
      </w:tr>
      <w:tr w14:paraId="40726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529" w:type="dxa"/>
            <w:gridSpan w:val="2"/>
            <w:tcBorders>
              <w:left w:val="nil"/>
              <w:right w:val="nil"/>
            </w:tcBorders>
            <w:vAlign w:val="top"/>
          </w:tcPr>
          <w:p w14:paraId="54E43F7D">
            <w:pPr>
              <w:pStyle w:val="10"/>
              <w:spacing w:before="222" w:line="219" w:lineRule="auto"/>
              <w:ind w:left="331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三、评价基本情况</w:t>
            </w:r>
          </w:p>
        </w:tc>
      </w:tr>
      <w:tr w14:paraId="03FF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393" w:type="dxa"/>
            <w:tcBorders>
              <w:left w:val="nil"/>
            </w:tcBorders>
            <w:vAlign w:val="center"/>
          </w:tcPr>
          <w:p w14:paraId="4635A4B6">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评价范围</w:t>
            </w:r>
          </w:p>
        </w:tc>
        <w:tc>
          <w:tcPr>
            <w:tcW w:w="7136" w:type="dxa"/>
            <w:tcBorders>
              <w:right w:val="nil"/>
            </w:tcBorders>
            <w:vAlign w:val="center"/>
          </w:tcPr>
          <w:p w14:paraId="375F4842">
            <w:pPr>
              <w:pStyle w:val="10"/>
              <w:spacing w:before="38" w:line="303" w:lineRule="auto"/>
              <w:ind w:right="151" w:firstLine="480" w:firstLineChars="200"/>
              <w:jc w:val="both"/>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2024年度</w:t>
            </w:r>
            <w:r>
              <w:rPr>
                <w:rFonts w:hint="eastAsia" w:asciiTheme="minorEastAsia" w:hAnsiTheme="minorEastAsia" w:eastAsiaTheme="minorEastAsia" w:cstheme="minorEastAsia"/>
                <w:spacing w:val="0"/>
                <w:sz w:val="24"/>
                <w:szCs w:val="24"/>
                <w:lang w:eastAsia="zh-CN"/>
              </w:rPr>
              <w:t>中共合水县委机构编制委员会办公室</w:t>
            </w:r>
            <w:r>
              <w:rPr>
                <w:rFonts w:hint="eastAsia" w:asciiTheme="minorEastAsia" w:hAnsiTheme="minorEastAsia" w:eastAsiaTheme="minorEastAsia" w:cstheme="minorEastAsia"/>
                <w:spacing w:val="0"/>
                <w:sz w:val="24"/>
                <w:szCs w:val="24"/>
              </w:rPr>
              <w:t>部门整体支出绩效评价</w:t>
            </w:r>
          </w:p>
        </w:tc>
      </w:tr>
      <w:tr w14:paraId="30B5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9" w:hRule="atLeast"/>
        </w:trPr>
        <w:tc>
          <w:tcPr>
            <w:tcW w:w="1393" w:type="dxa"/>
            <w:tcBorders>
              <w:left w:val="nil"/>
            </w:tcBorders>
            <w:vAlign w:val="center"/>
          </w:tcPr>
          <w:p w14:paraId="6A1272BF">
            <w:pPr>
              <w:pStyle w:val="10"/>
              <w:keepNext/>
              <w:keepLines/>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评价依据</w:t>
            </w:r>
          </w:p>
        </w:tc>
        <w:tc>
          <w:tcPr>
            <w:tcW w:w="7136" w:type="dxa"/>
            <w:tcBorders>
              <w:right w:val="nil"/>
            </w:tcBorders>
            <w:vAlign w:val="top"/>
          </w:tcPr>
          <w:p w14:paraId="0A675F1D">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1.《中华人民共和国预算法》；</w:t>
            </w:r>
          </w:p>
          <w:p w14:paraId="423F2509">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2.《中共中央国务院关于全面实施预算绩效管理的管理》（中发〔2018〕34号）；</w:t>
            </w:r>
          </w:p>
          <w:p w14:paraId="78ADBC98">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3.《财政部关于印发〈项目支出绩效评价管理办法〉的通知》（财预〔2020〕10号）；</w:t>
            </w:r>
          </w:p>
          <w:p w14:paraId="4779F297">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4.《中共中央国务院关于全面实施预算绩效管理的意见》（中发〔2018〕34号）；</w:t>
            </w:r>
          </w:p>
          <w:p w14:paraId="02E8F96B">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5.中共甘肃省委甘肃省人民政府《关于全面实施预算绩效管理的实施意见》（甘发〔2018〕32号）；</w:t>
            </w:r>
          </w:p>
          <w:p w14:paraId="33D58574">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6.《甘肃省财政厅关于印发预算绩效管理工作成效量化评分标准的通知》（甘财绩〔2025〕3号）</w:t>
            </w:r>
            <w:r>
              <w:rPr>
                <w:rFonts w:hint="eastAsia" w:asciiTheme="minorEastAsia" w:hAnsiTheme="minorEastAsia" w:eastAsiaTheme="minorEastAsia" w:cstheme="minorEastAsia"/>
                <w:spacing w:val="0"/>
                <w:sz w:val="24"/>
                <w:szCs w:val="24"/>
              </w:rPr>
              <w:t>；</w:t>
            </w:r>
          </w:p>
          <w:p w14:paraId="5D24E64A">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7</w:t>
            </w:r>
            <w:r>
              <w:rPr>
                <w:rFonts w:hint="eastAsia" w:asciiTheme="minorEastAsia" w:hAnsiTheme="minorEastAsia" w:eastAsiaTheme="minorEastAsia" w:cstheme="minorEastAsia"/>
                <w:spacing w:val="0"/>
                <w:sz w:val="24"/>
                <w:szCs w:val="24"/>
              </w:rPr>
              <w:t>.《中共合水县委合水县人民政府关于进一步加强预算绩效管理工作的实施意见》（合发〔2024〕7号）；</w:t>
            </w:r>
          </w:p>
          <w:p w14:paraId="4CAEC29D">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t>8</w:t>
            </w:r>
            <w:r>
              <w:rPr>
                <w:rFonts w:hint="eastAsia" w:asciiTheme="minorEastAsia" w:hAnsiTheme="minorEastAsia" w:eastAsiaTheme="minorEastAsia" w:cstheme="minorEastAsia"/>
                <w:spacing w:val="0"/>
                <w:sz w:val="24"/>
                <w:szCs w:val="24"/>
              </w:rPr>
              <w:t>.《关于开展2025年部门和财政重点绩效评价评估工作的通知》（合财发〔2025〕59号）</w:t>
            </w:r>
            <w:r>
              <w:rPr>
                <w:rFonts w:hint="eastAsia" w:asciiTheme="minorEastAsia" w:hAnsiTheme="minorEastAsia" w:eastAsiaTheme="minorEastAsia" w:cstheme="minorEastAsia"/>
                <w:spacing w:val="0"/>
                <w:sz w:val="24"/>
                <w:szCs w:val="24"/>
                <w:lang w:eastAsia="zh-CN"/>
              </w:rPr>
              <w:t>。</w:t>
            </w:r>
          </w:p>
        </w:tc>
      </w:tr>
      <w:tr w14:paraId="46B19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1393" w:type="dxa"/>
            <w:tcBorders>
              <w:left w:val="nil"/>
            </w:tcBorders>
            <w:vAlign w:val="center"/>
          </w:tcPr>
          <w:p w14:paraId="6D0697B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绩效评价指标体系</w:t>
            </w:r>
          </w:p>
        </w:tc>
        <w:tc>
          <w:tcPr>
            <w:tcW w:w="7136" w:type="dxa"/>
            <w:tcBorders>
              <w:right w:val="nil"/>
            </w:tcBorders>
            <w:vAlign w:val="center"/>
          </w:tcPr>
          <w:p w14:paraId="1F1E9C00">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spacing w:val="0"/>
              </w:rPr>
            </w:pPr>
            <w:r>
              <w:rPr>
                <w:rFonts w:hint="eastAsia" w:asciiTheme="minorEastAsia" w:hAnsiTheme="minorEastAsia" w:eastAsiaTheme="minorEastAsia" w:cstheme="minorEastAsia"/>
                <w:spacing w:val="0"/>
                <w:sz w:val="24"/>
                <w:szCs w:val="24"/>
              </w:rPr>
              <w:t>围绕部门规划、运行成本、管理效率、履职效能、社会效应、可持续发展能力、服务对象满意度等七个维度构建绩效评价指标体系，其中</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一级指标7个、二级指标1</w:t>
            </w:r>
            <w:r>
              <w:rPr>
                <w:rFonts w:hint="eastAsia" w:asciiTheme="minorEastAsia" w:hAnsiTheme="minorEastAsia" w:eastAsiaTheme="minorEastAsia" w:cstheme="minorEastAsia"/>
                <w:spacing w:val="0"/>
                <w:sz w:val="24"/>
                <w:szCs w:val="24"/>
                <w:lang w:val="en-US" w:eastAsia="zh-CN"/>
              </w:rPr>
              <w:t>3</w:t>
            </w:r>
            <w:r>
              <w:rPr>
                <w:rFonts w:hint="eastAsia" w:asciiTheme="minorEastAsia" w:hAnsiTheme="minorEastAsia" w:eastAsiaTheme="minorEastAsia" w:cstheme="minorEastAsia"/>
                <w:spacing w:val="0"/>
                <w:sz w:val="24"/>
                <w:szCs w:val="24"/>
              </w:rPr>
              <w:t>个、三级指标</w:t>
            </w:r>
            <w:r>
              <w:rPr>
                <w:rFonts w:hint="eastAsia" w:asciiTheme="minorEastAsia" w:hAnsiTheme="minorEastAsia" w:eastAsiaTheme="minorEastAsia" w:cstheme="minorEastAsia"/>
                <w:spacing w:val="0"/>
                <w:sz w:val="24"/>
                <w:szCs w:val="24"/>
                <w:lang w:val="en-US" w:eastAsia="zh-CN"/>
              </w:rPr>
              <w:t>28</w:t>
            </w:r>
            <w:r>
              <w:rPr>
                <w:rFonts w:hint="eastAsia" w:asciiTheme="minorEastAsia" w:hAnsiTheme="minorEastAsia" w:eastAsiaTheme="minorEastAsia" w:cstheme="minorEastAsia"/>
                <w:spacing w:val="0"/>
                <w:sz w:val="24"/>
                <w:szCs w:val="24"/>
              </w:rPr>
              <w:t xml:space="preserve">个。部门规划等一级指标占比分别为 </w:t>
            </w:r>
            <w:r>
              <w:rPr>
                <w:rFonts w:hint="eastAsia" w:asciiTheme="minorEastAsia" w:hAnsiTheme="minorEastAsia" w:eastAsiaTheme="minorEastAsia" w:cstheme="minorEastAsia"/>
                <w:spacing w:val="0"/>
                <w:sz w:val="24"/>
                <w:szCs w:val="24"/>
                <w:lang w:val="en-US" w:eastAsia="zh-CN"/>
              </w:rPr>
              <w:t>12</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28</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24</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6</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p>
        </w:tc>
      </w:tr>
      <w:tr w14:paraId="2CC81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393" w:type="dxa"/>
            <w:tcBorders>
              <w:left w:val="nil"/>
            </w:tcBorders>
            <w:vAlign w:val="center"/>
          </w:tcPr>
          <w:p w14:paraId="590B79C0">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评价方法</w:t>
            </w:r>
          </w:p>
        </w:tc>
        <w:tc>
          <w:tcPr>
            <w:tcW w:w="7136" w:type="dxa"/>
            <w:tcBorders>
              <w:right w:val="nil"/>
            </w:tcBorders>
            <w:vAlign w:val="center"/>
          </w:tcPr>
          <w:p w14:paraId="532BE00F">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目标管理法、因素分析法、标杆管理法、比较法。</w:t>
            </w:r>
          </w:p>
        </w:tc>
      </w:tr>
      <w:tr w14:paraId="5B64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393" w:type="dxa"/>
            <w:tcBorders>
              <w:left w:val="nil"/>
            </w:tcBorders>
            <w:vAlign w:val="center"/>
          </w:tcPr>
          <w:p w14:paraId="43DFCB9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数据采集及处理办法</w:t>
            </w:r>
          </w:p>
        </w:tc>
        <w:tc>
          <w:tcPr>
            <w:tcW w:w="7136" w:type="dxa"/>
            <w:tcBorders>
              <w:right w:val="nil"/>
            </w:tcBorders>
            <w:vAlign w:val="center"/>
          </w:tcPr>
          <w:p w14:paraId="58423AA5">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spacing w:val="0"/>
              </w:rPr>
              <w:t>信息与数据收集采取抽样调查、现场调研、结构式</w:t>
            </w:r>
            <w:r>
              <w:rPr>
                <w:rFonts w:hint="eastAsia"/>
                <w:spacing w:val="0"/>
                <w:lang w:val="en-US" w:eastAsia="zh-CN"/>
              </w:rPr>
              <w:t>访谈</w:t>
            </w:r>
            <w:r>
              <w:rPr>
                <w:rFonts w:hint="eastAsia"/>
                <w:spacing w:val="0"/>
              </w:rPr>
              <w:t>等方式进行，数据处理采取统计分析方法开展。</w:t>
            </w:r>
          </w:p>
        </w:tc>
      </w:tr>
      <w:tr w14:paraId="128A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393" w:type="dxa"/>
            <w:tcBorders>
              <w:left w:val="nil"/>
            </w:tcBorders>
            <w:vAlign w:val="center"/>
          </w:tcPr>
          <w:p w14:paraId="7A26A08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b/>
                <w:bCs/>
                <w:spacing w:val="0"/>
              </w:rPr>
            </w:pPr>
            <w:r>
              <w:rPr>
                <w:b/>
                <w:bCs/>
                <w:spacing w:val="0"/>
              </w:rPr>
              <w:t>绩效评价工作过程</w:t>
            </w:r>
          </w:p>
        </w:tc>
        <w:tc>
          <w:tcPr>
            <w:tcW w:w="7136" w:type="dxa"/>
            <w:tcBorders>
              <w:right w:val="nil"/>
            </w:tcBorders>
            <w:vAlign w:val="center"/>
          </w:tcPr>
          <w:p w14:paraId="1733217E">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接受委托任务、</w:t>
            </w:r>
            <w:r>
              <w:rPr>
                <w:rFonts w:hint="eastAsia" w:asciiTheme="minorEastAsia" w:hAnsiTheme="minorEastAsia" w:eastAsiaTheme="minorEastAsia" w:cstheme="minorEastAsia"/>
                <w:spacing w:val="0"/>
                <w:sz w:val="24"/>
                <w:szCs w:val="24"/>
                <w:lang w:eastAsia="zh-CN"/>
              </w:rPr>
              <w:t>拟订方案</w:t>
            </w:r>
            <w:r>
              <w:rPr>
                <w:rFonts w:hint="eastAsia" w:asciiTheme="minorEastAsia" w:hAnsiTheme="minorEastAsia" w:eastAsiaTheme="minorEastAsia" w:cstheme="minorEastAsia"/>
                <w:spacing w:val="0"/>
                <w:sz w:val="24"/>
                <w:szCs w:val="24"/>
              </w:rPr>
              <w:t>、开展培训、现场评价、撰写报告、资料归档</w:t>
            </w:r>
            <w:r>
              <w:rPr>
                <w:rFonts w:hint="eastAsia" w:asciiTheme="minorEastAsia" w:hAnsiTheme="minorEastAsia" w:eastAsiaTheme="minorEastAsia" w:cstheme="minorEastAsia"/>
                <w:spacing w:val="0"/>
                <w:sz w:val="24"/>
                <w:szCs w:val="24"/>
                <w:lang w:eastAsia="zh-CN"/>
              </w:rPr>
              <w:t>。</w:t>
            </w:r>
          </w:p>
        </w:tc>
      </w:tr>
    </w:tbl>
    <w:p w14:paraId="12ABA30F">
      <w:pPr>
        <w:pStyle w:val="2"/>
        <w:spacing w:before="238" w:line="219" w:lineRule="auto"/>
        <w:ind w:left="297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四、评价结论和绩效分析</w:t>
      </w:r>
    </w:p>
    <w:p w14:paraId="5945FE5F">
      <w:pPr>
        <w:spacing w:line="124"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925"/>
        <w:gridCol w:w="912"/>
        <w:gridCol w:w="696"/>
        <w:gridCol w:w="756"/>
        <w:gridCol w:w="672"/>
        <w:gridCol w:w="960"/>
        <w:gridCol w:w="1080"/>
        <w:gridCol w:w="996"/>
        <w:gridCol w:w="830"/>
      </w:tblGrid>
      <w:tr w14:paraId="40B1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702" w:type="dxa"/>
            <w:tcBorders>
              <w:left w:val="nil"/>
            </w:tcBorders>
            <w:vAlign w:val="center"/>
          </w:tcPr>
          <w:p w14:paraId="08AA7ECA">
            <w:pPr>
              <w:pStyle w:val="10"/>
              <w:spacing w:before="117" w:line="220" w:lineRule="auto"/>
              <w:ind w:left="146"/>
              <w:jc w:val="center"/>
              <w:rPr>
                <w:rFonts w:hint="eastAsia" w:asciiTheme="minorEastAsia" w:hAnsiTheme="minorEastAsia" w:eastAsiaTheme="minorEastAsia" w:cstheme="minorEastAsia"/>
                <w:spacing w:val="0"/>
                <w:sz w:val="24"/>
                <w:szCs w:val="24"/>
              </w:rPr>
            </w:pPr>
            <w:r>
              <w:rPr>
                <w:b/>
                <w:bCs/>
                <w:spacing w:val="-6"/>
              </w:rPr>
              <w:t>综合评价结论</w:t>
            </w:r>
          </w:p>
        </w:tc>
        <w:tc>
          <w:tcPr>
            <w:tcW w:w="1837" w:type="dxa"/>
            <w:gridSpan w:val="2"/>
            <w:vAlign w:val="center"/>
          </w:tcPr>
          <w:p w14:paraId="45670BCB">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评价得分</w:t>
            </w:r>
          </w:p>
        </w:tc>
        <w:tc>
          <w:tcPr>
            <w:tcW w:w="2124" w:type="dxa"/>
            <w:gridSpan w:val="3"/>
            <w:vAlign w:val="center"/>
          </w:tcPr>
          <w:p w14:paraId="2D1E3793">
            <w:pPr>
              <w:pStyle w:val="10"/>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p w14:paraId="0D5E9CB2">
            <w:pPr>
              <w:pStyle w:val="10"/>
              <w:spacing w:before="78" w:line="183"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88.6分</w:t>
            </w:r>
          </w:p>
          <w:p w14:paraId="0D8C4482">
            <w:pPr>
              <w:pStyle w:val="10"/>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tc>
        <w:tc>
          <w:tcPr>
            <w:tcW w:w="2040" w:type="dxa"/>
            <w:gridSpan w:val="2"/>
            <w:vAlign w:val="center"/>
          </w:tcPr>
          <w:p w14:paraId="0722B496">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评价等级</w:t>
            </w:r>
          </w:p>
        </w:tc>
        <w:tc>
          <w:tcPr>
            <w:tcW w:w="1826" w:type="dxa"/>
            <w:gridSpan w:val="2"/>
            <w:tcBorders>
              <w:right w:val="nil"/>
            </w:tcBorders>
            <w:vAlign w:val="center"/>
          </w:tcPr>
          <w:p w14:paraId="6BE09941">
            <w:pPr>
              <w:pStyle w:val="10"/>
              <w:spacing w:before="78" w:line="182" w:lineRule="auto"/>
              <w:jc w:val="center"/>
              <w:rPr>
                <w:rFonts w:hint="eastAsia" w:asciiTheme="minorEastAsia" w:hAnsiTheme="minorEastAsia" w:eastAsiaTheme="minorEastAsia" w:cstheme="minorEastAsia"/>
                <w:spacing w:val="0"/>
                <w:sz w:val="24"/>
                <w:szCs w:val="24"/>
                <w:lang w:val="en-US" w:eastAsia="zh-CN"/>
              </w:rPr>
            </w:pPr>
          </w:p>
          <w:p w14:paraId="212A363F">
            <w:pPr>
              <w:pStyle w:val="10"/>
              <w:spacing w:before="78" w:line="182"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良</w:t>
            </w:r>
          </w:p>
          <w:p w14:paraId="66253B33">
            <w:pPr>
              <w:pStyle w:val="10"/>
              <w:spacing w:before="78" w:line="182" w:lineRule="auto"/>
              <w:jc w:val="center"/>
              <w:rPr>
                <w:rFonts w:hint="eastAsia" w:asciiTheme="minorEastAsia" w:hAnsiTheme="minorEastAsia" w:eastAsiaTheme="minorEastAsia" w:cstheme="minorEastAsia"/>
                <w:spacing w:val="0"/>
                <w:sz w:val="24"/>
                <w:szCs w:val="24"/>
                <w:lang w:val="en-US" w:eastAsia="zh-CN"/>
              </w:rPr>
            </w:pPr>
          </w:p>
        </w:tc>
      </w:tr>
      <w:tr w14:paraId="55DD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702" w:type="dxa"/>
            <w:vMerge w:val="restart"/>
            <w:tcBorders>
              <w:left w:val="nil"/>
              <w:bottom w:val="nil"/>
            </w:tcBorders>
            <w:vAlign w:val="center"/>
          </w:tcPr>
          <w:p w14:paraId="193A2183">
            <w:pPr>
              <w:pStyle w:val="10"/>
              <w:spacing w:before="78" w:line="220" w:lineRule="auto"/>
              <w:jc w:val="center"/>
            </w:pPr>
            <w:r>
              <w:rPr>
                <w:rFonts w:hint="eastAsia"/>
                <w:b/>
                <w:bCs/>
                <w:spacing w:val="-6"/>
                <w:lang w:eastAsia="zh-CN"/>
              </w:rPr>
              <w:t>绩</w:t>
            </w:r>
            <w:r>
              <w:rPr>
                <w:b/>
                <w:bCs/>
                <w:spacing w:val="-6"/>
              </w:rPr>
              <w:t>效</w:t>
            </w:r>
          </w:p>
          <w:p w14:paraId="4257DBB2">
            <w:pPr>
              <w:pStyle w:val="10"/>
              <w:spacing w:before="78" w:line="230" w:lineRule="auto"/>
              <w:ind w:right="109"/>
              <w:jc w:val="center"/>
              <w:rPr>
                <w:rFonts w:hint="eastAsia" w:asciiTheme="minorEastAsia" w:hAnsiTheme="minorEastAsia" w:eastAsiaTheme="minorEastAsia" w:cstheme="minorEastAsia"/>
                <w:spacing w:val="0"/>
                <w:sz w:val="24"/>
                <w:szCs w:val="24"/>
              </w:rPr>
            </w:pPr>
            <w:r>
              <w:rPr>
                <w:b/>
                <w:bCs/>
                <w:spacing w:val="-5"/>
              </w:rPr>
              <w:t>分析</w:t>
            </w:r>
          </w:p>
        </w:tc>
        <w:tc>
          <w:tcPr>
            <w:tcW w:w="925" w:type="dxa"/>
            <w:vAlign w:val="center"/>
          </w:tcPr>
          <w:p w14:paraId="4DFEE862">
            <w:pPr>
              <w:pStyle w:val="10"/>
              <w:spacing w:before="78" w:line="221"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指标</w:t>
            </w:r>
          </w:p>
        </w:tc>
        <w:tc>
          <w:tcPr>
            <w:tcW w:w="912" w:type="dxa"/>
            <w:vAlign w:val="center"/>
          </w:tcPr>
          <w:p w14:paraId="303DEACB">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部门</w:t>
            </w:r>
          </w:p>
          <w:p w14:paraId="6FA6F1B0">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规划</w:t>
            </w:r>
          </w:p>
        </w:tc>
        <w:tc>
          <w:tcPr>
            <w:tcW w:w="696" w:type="dxa"/>
            <w:vAlign w:val="center"/>
          </w:tcPr>
          <w:p w14:paraId="53F34F75">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运行</w:t>
            </w:r>
          </w:p>
          <w:p w14:paraId="5282F746">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成本</w:t>
            </w:r>
          </w:p>
        </w:tc>
        <w:tc>
          <w:tcPr>
            <w:tcW w:w="756" w:type="dxa"/>
            <w:vAlign w:val="center"/>
          </w:tcPr>
          <w:p w14:paraId="161F1ED2">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管理</w:t>
            </w:r>
          </w:p>
          <w:p w14:paraId="1113C672">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效率</w:t>
            </w:r>
          </w:p>
        </w:tc>
        <w:tc>
          <w:tcPr>
            <w:tcW w:w="672" w:type="dxa"/>
            <w:vAlign w:val="center"/>
          </w:tcPr>
          <w:p w14:paraId="46381FF0">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履职</w:t>
            </w:r>
          </w:p>
          <w:p w14:paraId="690BEEBF">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效能</w:t>
            </w:r>
          </w:p>
        </w:tc>
        <w:tc>
          <w:tcPr>
            <w:tcW w:w="960" w:type="dxa"/>
            <w:vAlign w:val="center"/>
          </w:tcPr>
          <w:p w14:paraId="069193B5">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社会</w:t>
            </w:r>
          </w:p>
          <w:p w14:paraId="32ED4493">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效益</w:t>
            </w:r>
          </w:p>
        </w:tc>
        <w:tc>
          <w:tcPr>
            <w:tcW w:w="1080" w:type="dxa"/>
            <w:vAlign w:val="center"/>
          </w:tcPr>
          <w:p w14:paraId="57EBCBDA">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可持续</w:t>
            </w:r>
          </w:p>
          <w:p w14:paraId="77763604">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发展能力</w:t>
            </w:r>
          </w:p>
        </w:tc>
        <w:tc>
          <w:tcPr>
            <w:tcW w:w="996" w:type="dxa"/>
            <w:vAlign w:val="center"/>
          </w:tcPr>
          <w:p w14:paraId="67CCD9C3">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服务对象满意度</w:t>
            </w:r>
          </w:p>
        </w:tc>
        <w:tc>
          <w:tcPr>
            <w:tcW w:w="830" w:type="dxa"/>
            <w:tcBorders>
              <w:right w:val="nil"/>
            </w:tcBorders>
            <w:vAlign w:val="center"/>
          </w:tcPr>
          <w:p w14:paraId="2DB24984">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合计</w:t>
            </w:r>
          </w:p>
        </w:tc>
      </w:tr>
      <w:tr w14:paraId="49D5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02" w:type="dxa"/>
            <w:vMerge w:val="continue"/>
            <w:tcBorders>
              <w:top w:val="nil"/>
              <w:left w:val="nil"/>
            </w:tcBorders>
            <w:vAlign w:val="center"/>
          </w:tcPr>
          <w:p w14:paraId="5D5C8174">
            <w:pPr>
              <w:jc w:val="center"/>
              <w:rPr>
                <w:rFonts w:hint="eastAsia" w:asciiTheme="minorEastAsia" w:hAnsiTheme="minorEastAsia" w:eastAsiaTheme="minorEastAsia" w:cstheme="minorEastAsia"/>
                <w:spacing w:val="0"/>
                <w:sz w:val="24"/>
                <w:szCs w:val="24"/>
              </w:rPr>
            </w:pPr>
          </w:p>
        </w:tc>
        <w:tc>
          <w:tcPr>
            <w:tcW w:w="925" w:type="dxa"/>
            <w:vAlign w:val="center"/>
          </w:tcPr>
          <w:p w14:paraId="077BB81C">
            <w:pPr>
              <w:pStyle w:val="10"/>
              <w:spacing w:before="174" w:line="284" w:lineRule="auto"/>
              <w:ind w:right="169"/>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得分率</w:t>
            </w:r>
          </w:p>
        </w:tc>
        <w:tc>
          <w:tcPr>
            <w:tcW w:w="912" w:type="dxa"/>
            <w:vAlign w:val="center"/>
          </w:tcPr>
          <w:p w14:paraId="410E4AED">
            <w:pPr>
              <w:pStyle w:val="10"/>
              <w:spacing w:before="65" w:line="270" w:lineRule="exact"/>
              <w:jc w:val="center"/>
              <w:rPr>
                <w:rFonts w:hint="default" w:asciiTheme="minorEastAsia" w:hAnsiTheme="minorEastAsia" w:eastAsiaTheme="minorEastAsia" w:cstheme="minorEastAsia"/>
                <w:spacing w:val="0"/>
                <w:sz w:val="24"/>
                <w:szCs w:val="24"/>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90%</w:t>
            </w:r>
          </w:p>
        </w:tc>
        <w:tc>
          <w:tcPr>
            <w:tcW w:w="696" w:type="dxa"/>
            <w:vAlign w:val="center"/>
          </w:tcPr>
          <w:p w14:paraId="17299B93">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756" w:type="dxa"/>
            <w:vAlign w:val="center"/>
          </w:tcPr>
          <w:p w14:paraId="6BDA2AA6">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92.14%</w:t>
            </w:r>
          </w:p>
        </w:tc>
        <w:tc>
          <w:tcPr>
            <w:tcW w:w="672" w:type="dxa"/>
            <w:vAlign w:val="center"/>
          </w:tcPr>
          <w:p w14:paraId="6B7C5C6B">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960" w:type="dxa"/>
            <w:vAlign w:val="center"/>
          </w:tcPr>
          <w:p w14:paraId="28CCF245">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1080" w:type="dxa"/>
            <w:vAlign w:val="center"/>
          </w:tcPr>
          <w:p w14:paraId="29671117">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996" w:type="dxa"/>
            <w:vAlign w:val="center"/>
          </w:tcPr>
          <w:p w14:paraId="55CF812C">
            <w:pPr>
              <w:pStyle w:val="10"/>
              <w:spacing w:before="65" w:line="269" w:lineRule="exact"/>
              <w:jc w:val="center"/>
              <w:rPr>
                <w:rFonts w:hint="eastAsia" w:asciiTheme="minorEastAsia" w:hAnsiTheme="minorEastAsia" w:eastAsiaTheme="minorEastAsia" w:cstheme="minorEastAsia"/>
                <w:spacing w:val="0"/>
                <w:position w:val="1"/>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90%</w:t>
            </w:r>
          </w:p>
        </w:tc>
        <w:tc>
          <w:tcPr>
            <w:tcW w:w="830" w:type="dxa"/>
            <w:tcBorders>
              <w:right w:val="nil"/>
            </w:tcBorders>
            <w:vAlign w:val="center"/>
          </w:tcPr>
          <w:p w14:paraId="0614FB7D">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88.6%</w:t>
            </w:r>
          </w:p>
        </w:tc>
      </w:tr>
    </w:tbl>
    <w:p w14:paraId="12F5AC03">
      <w:pPr>
        <w:pStyle w:val="2"/>
        <w:keepNext/>
        <w:keepLines/>
        <w:pageBreakBefore w:val="0"/>
        <w:widowControl w:val="0"/>
        <w:kinsoku/>
        <w:wordWrap/>
        <w:overflowPunct w:val="0"/>
        <w:topLinePunct/>
        <w:autoSpaceDE/>
        <w:autoSpaceDN/>
        <w:bidi w:val="0"/>
        <w:adjustRightInd w:val="0"/>
        <w:snapToGrid w:val="0"/>
        <w:spacing w:before="238" w:line="219" w:lineRule="auto"/>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五、存在的问题</w:t>
      </w:r>
    </w:p>
    <w:p w14:paraId="010E9CDE">
      <w:pPr>
        <w:keepNext/>
        <w:keepLines/>
        <w:pageBreakBefore w:val="0"/>
        <w:widowControl w:val="0"/>
        <w:kinsoku/>
        <w:wordWrap/>
        <w:overflowPunct w:val="0"/>
        <w:topLinePunct/>
        <w:autoSpaceDE/>
        <w:autoSpaceDN/>
        <w:bidi w:val="0"/>
        <w:adjustRightInd w:val="0"/>
        <w:snapToGrid w:val="0"/>
        <w:spacing w:line="91" w:lineRule="auto"/>
        <w:textAlignment w:val="baseline"/>
        <w:rPr>
          <w:rFonts w:hint="eastAsia" w:asciiTheme="minorEastAsia" w:hAnsiTheme="minorEastAsia" w:eastAsiaTheme="minorEastAsia" w:cstheme="minorEastAsia"/>
          <w:spacing w:val="0"/>
          <w:sz w:val="24"/>
          <w:szCs w:val="24"/>
        </w:rPr>
      </w:pPr>
    </w:p>
    <w:tbl>
      <w:tblPr>
        <w:tblStyle w:val="9"/>
        <w:tblW w:w="8530" w:type="dxa"/>
        <w:tblInd w:w="0" w:type="dxa"/>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8530"/>
      </w:tblGrid>
      <w:tr w14:paraId="1492D398">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3268" w:hRule="atLeast"/>
        </w:trPr>
        <w:tc>
          <w:tcPr>
            <w:tcW w:w="8530" w:type="dxa"/>
            <w:tcBorders>
              <w:tl2br w:val="nil"/>
              <w:tr2bl w:val="nil"/>
            </w:tcBorders>
            <w:vAlign w:val="center"/>
          </w:tcPr>
          <w:p w14:paraId="02D79981">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bookmarkStart w:id="0" w:name="_Toc21567"/>
            <w:r>
              <w:rPr>
                <w:rFonts w:hint="eastAsia" w:asciiTheme="minorEastAsia" w:hAnsiTheme="minorEastAsia" w:eastAsiaTheme="minorEastAsia" w:cstheme="minorEastAsia"/>
                <w:spacing w:val="0"/>
                <w:sz w:val="24"/>
                <w:szCs w:val="24"/>
                <w:lang w:val="en-US" w:eastAsia="zh-CN"/>
              </w:rPr>
              <w:t>1.</w:t>
            </w:r>
            <w:bookmarkEnd w:id="0"/>
            <w:bookmarkStart w:id="1" w:name="_Toc15647"/>
            <w:r>
              <w:rPr>
                <w:rFonts w:hint="eastAsia" w:asciiTheme="minorEastAsia" w:hAnsiTheme="minorEastAsia" w:eastAsiaTheme="minorEastAsia" w:cstheme="minorEastAsia"/>
                <w:spacing w:val="0"/>
                <w:sz w:val="24"/>
                <w:szCs w:val="24"/>
                <w:lang w:val="en-US" w:eastAsia="zh-CN"/>
              </w:rPr>
              <w:t>制度体系不健全：缺乏系统性的财政支出绩效管理制度，现有制度多为零散的操作规范，未涵盖预算编制、执行、监控、评价、结果应用全流程。例如，在项目资金分配上，未明确绩效目标与资金额度的挂钩标准，导致部分低优先级项目获得过多预算，而高绩效项目资金不足。</w:t>
            </w:r>
          </w:p>
          <w:p w14:paraId="78BC1F9D">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2</w:t>
            </w:r>
            <w:bookmarkEnd w:id="1"/>
            <w:r>
              <w:rPr>
                <w:rFonts w:hint="eastAsia" w:asciiTheme="minorEastAsia" w:hAnsiTheme="minorEastAsia" w:eastAsiaTheme="minorEastAsia" w:cstheme="minorEastAsia"/>
                <w:spacing w:val="0"/>
                <w:sz w:val="24"/>
                <w:szCs w:val="24"/>
                <w:lang w:val="en-US" w:eastAsia="zh-CN"/>
              </w:rPr>
              <w:t>.监控手段单一，预警机制缺失：主要依赖人工台账记录，未建立信息化监控平台，无法实时跟踪资金使用进度与绩效目标达成情况。未设置关键绩效指标的预警阈值，对超预算、进度滞后等问题缺乏早期干预。</w:t>
            </w:r>
          </w:p>
          <w:p w14:paraId="6236D8A9">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3.单位人员获奖情况：由于对申报各种奖励存在认识不足，当年没有获奖。</w:t>
            </w:r>
          </w:p>
          <w:p w14:paraId="04EB2E9A">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default"/>
                <w:spacing w:val="0"/>
                <w:lang w:val="en-US" w:eastAsia="zh-CN"/>
              </w:rPr>
            </w:pPr>
            <w:r>
              <w:rPr>
                <w:rFonts w:hint="eastAsia" w:asciiTheme="minorEastAsia" w:hAnsiTheme="minorEastAsia" w:eastAsiaTheme="minorEastAsia" w:cstheme="minorEastAsia"/>
                <w:spacing w:val="0"/>
                <w:sz w:val="24"/>
                <w:szCs w:val="24"/>
                <w:lang w:val="en-US" w:eastAsia="zh-CN"/>
              </w:rPr>
              <w:t>4.行政运行成本偏高：办公经费中，水电费、印刷费等弹性支出同比增长12%，高于全县机关平均增幅。</w:t>
            </w:r>
          </w:p>
        </w:tc>
      </w:tr>
      <w:tr w14:paraId="78100947">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57" w:hRule="atLeast"/>
        </w:trPr>
        <w:tc>
          <w:tcPr>
            <w:tcW w:w="8530" w:type="dxa"/>
            <w:tcBorders>
              <w:tl2br w:val="nil"/>
              <w:tr2bl w:val="nil"/>
            </w:tcBorders>
            <w:vAlign w:val="center"/>
          </w:tcPr>
          <w:p w14:paraId="631C7164">
            <w:pPr>
              <w:pStyle w:val="10"/>
              <w:keepNext/>
              <w:keepLines/>
              <w:pageBreakBefore w:val="0"/>
              <w:widowControl w:val="0"/>
              <w:kinsoku/>
              <w:wordWrap/>
              <w:overflowPunct w:val="0"/>
              <w:topLinePunct/>
              <w:autoSpaceDE/>
              <w:autoSpaceDN/>
              <w:bidi w:val="0"/>
              <w:adjustRightInd w:val="0"/>
              <w:snapToGrid w:val="0"/>
              <w:spacing w:before="193" w:line="220" w:lineRule="auto"/>
              <w:ind w:left="331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六、有关意见建议</w:t>
            </w:r>
          </w:p>
        </w:tc>
      </w:tr>
      <w:tr w14:paraId="35FA2F90">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2565" w:hRule="atLeast"/>
        </w:trPr>
        <w:tc>
          <w:tcPr>
            <w:tcW w:w="8530" w:type="dxa"/>
            <w:tcBorders>
              <w:tl2br w:val="nil"/>
              <w:tr2bl w:val="nil"/>
            </w:tcBorders>
            <w:vAlign w:val="center"/>
          </w:tcPr>
          <w:p w14:paraId="53B4F1F0">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1.完善制度框架</w:t>
            </w:r>
          </w:p>
          <w:p w14:paraId="1D58E1F5">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（1）制定《部门财政支出绩效管理办法》，明确全流程管理要求。重点细化以下内容：​</w:t>
            </w:r>
          </w:p>
          <w:p w14:paraId="21283C25">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预算编制阶段：要求所有项目必须附带绩效目标申报表，目标需包含可量化的产出指标（如“完成10个部门的权责清单更新”）和效果指标（如“群众对清单查询的满意度≥90%”）。</w:t>
            </w:r>
          </w:p>
          <w:p w14:paraId="733D39ED">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评价阶段：建立分类指标体系，对事业单位登记、职能咨询等业务分别设置核心指标（如登记办理时限、咨询响应准确率）。​</w:t>
            </w:r>
          </w:p>
          <w:p w14:paraId="2A8FD99A">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结果应用阶段：规定“评价为不合格的项目次年预算削减50%以上”“连续两年优秀的项目优先获得资金倾斜” 等硬性条款。​</w:t>
            </w:r>
          </w:p>
          <w:p w14:paraId="3A184645">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动态调整指标：每年度末根据业务变化（如新增政务服务协同项目）和评价反馈，修订指标库，提高指标的针对性。例如，为权责清单管理增设“清单与实际履职的吻合率”指标，权重不低于20%。​</w:t>
            </w:r>
          </w:p>
          <w:p w14:paraId="662BFD99">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（2）规范预算编制与执行​</w:t>
            </w:r>
          </w:p>
          <w:p w14:paraId="2389290A">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强化预算编制科学性：推行“绩效目标引领预算” 模式，预算编制前开展业务量预测和成本测算。例如，对事业单位登记服务，预留10%的弹性资金应对突发需求。</w:t>
            </w:r>
          </w:p>
          <w:p w14:paraId="52FFD6BA">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严格资金管理：实行“项目资金专户管理”，建立资金使用台账，每季度核查资金流向与项目进度的匹配度，杜绝串项使用。对政务服务效能监督等重点项目，聘请第三方机构进行资金跟踪审计。​</w:t>
            </w:r>
          </w:p>
          <w:p w14:paraId="03ED08A1">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加快执行进度：制定《预算执行进度考核办法》，将各科室执行进度与月度绩效奖金挂钩。对滞后项目实行“周调度”机制，如权责清单更新项目，要求财务与业务科室每周对接，确保资金到账后3个工作日内启动工作。​</w:t>
            </w:r>
          </w:p>
          <w:p w14:paraId="220772E6">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2.提升绩效监控与成本控制能力​</w:t>
            </w:r>
          </w:p>
          <w:p w14:paraId="6F1A4D80">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搭建信息化监控平台：开发“财政支出绩效监控系统”，实时采集资金使用、项目进度、绩效指标数据，设置“预算执行率＜80%”“超支预警线10%”等阈值，触发预警后自动推送整改通知。​</w:t>
            </w:r>
          </w:p>
          <w:p w14:paraId="7A3C5799">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加强成本管控：推行“绿色办公”，要求90%以上的文件通过电子平台流转，将印刷费控制在年度办公经费的8% 以内。对项目实行“成本—效益”审核，未通过论证的项目不予立项，如在以后年度取消低效宣传项目，将资金统筹用于群众满意度高的线上咨询平台升级。​</w:t>
            </w:r>
          </w:p>
          <w:p w14:paraId="70F8872F">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3.单位人员获奖情况</w:t>
            </w:r>
          </w:p>
          <w:p w14:paraId="4BA996A9">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在以后年度积极发掘单位的先进事项和个人先进事迹，完善激励机制，将获奖情况纳入部门和个人绩效考核体系，对成功申报并获奖的项目团队给予表彰奖励，激发全员参与创新和申报的积极性，争取取得较好的成绩和奖励。</w:t>
            </w:r>
          </w:p>
          <w:p w14:paraId="6A08EE24">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4.加强成本管控</w:t>
            </w:r>
          </w:p>
          <w:p w14:paraId="2D2AEB22">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default"/>
                <w:spacing w:val="0"/>
                <w:lang w:val="en-US" w:eastAsia="zh-CN"/>
              </w:rPr>
            </w:pPr>
            <w:r>
              <w:rPr>
                <w:rFonts w:hint="eastAsia" w:asciiTheme="minorEastAsia" w:hAnsiTheme="minorEastAsia" w:eastAsiaTheme="minorEastAsia" w:cstheme="minorEastAsia"/>
                <w:spacing w:val="0"/>
                <w:sz w:val="24"/>
                <w:szCs w:val="24"/>
                <w:lang w:val="en-US" w:eastAsia="zh-CN"/>
              </w:rPr>
              <w:t>推行“绿色办公”，要求90%以上的文件通过电子平台流转，将印刷费控制在年度办公经费的8%以内。对项目实行“成本—效益”审核，未通过论证的项目不予立项，如在以后年度取消低效宣传项目，将资金统筹用于群众满意度高的线上咨询平台升级。</w:t>
            </w:r>
          </w:p>
        </w:tc>
      </w:tr>
      <w:tr w14:paraId="2F22F6A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648" w:hRule="atLeast"/>
        </w:trPr>
        <w:tc>
          <w:tcPr>
            <w:tcW w:w="8530" w:type="dxa"/>
            <w:tcBorders>
              <w:tl2br w:val="nil"/>
              <w:tr2bl w:val="nil"/>
            </w:tcBorders>
            <w:vAlign w:val="center"/>
          </w:tcPr>
          <w:p w14:paraId="45915C0D">
            <w:pPr>
              <w:pStyle w:val="10"/>
              <w:keepNext/>
              <w:keepLines/>
              <w:pageBreakBefore w:val="0"/>
              <w:widowControl w:val="0"/>
              <w:kinsoku/>
              <w:wordWrap/>
              <w:overflowPunct w:val="0"/>
              <w:topLinePunct/>
              <w:autoSpaceDE/>
              <w:autoSpaceDN/>
              <w:bidi w:val="0"/>
              <w:adjustRightInd w:val="0"/>
              <w:snapToGrid w:val="0"/>
              <w:spacing w:before="239" w:line="220" w:lineRule="auto"/>
              <w:ind w:left="319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七、</w:t>
            </w:r>
            <w:r>
              <w:rPr>
                <w:b/>
                <w:bCs/>
                <w:spacing w:val="0"/>
              </w:rPr>
              <w:t>其他需要说明的事项</w:t>
            </w:r>
          </w:p>
        </w:tc>
      </w:tr>
      <w:tr w14:paraId="56BE602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58" w:hRule="atLeast"/>
        </w:trPr>
        <w:tc>
          <w:tcPr>
            <w:tcW w:w="8530" w:type="dxa"/>
            <w:tcBorders>
              <w:tl2br w:val="nil"/>
              <w:tr2bl w:val="nil"/>
            </w:tcBorders>
            <w:vAlign w:val="center"/>
          </w:tcPr>
          <w:p w14:paraId="42EDF515">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1.采取统筹规划评价工期、规范评价管理流程、严格评价机构筛选、强化评价过程管控、优化评价组织模式等措施，统筹推进项目实施。</w:t>
            </w:r>
          </w:p>
          <w:p w14:paraId="3CEE8BE1">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2.创新项目主评人“交叉评审”、第三方机构“内审+终审”“质费挂钩”等机制，提高绩效评价服务水平和报告质量。</w:t>
            </w:r>
          </w:p>
          <w:p w14:paraId="49465040">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3.对财政绩效评价结果及有关情况进行了通报，要求各有关部门举一反三、跟踪落实问效，充分发挥“以评促改”的积极作用，对标对表分析本部门本行业在预算绩效管理方面存在的短板弱项，做好问题整改和政策落实。</w:t>
            </w:r>
          </w:p>
        </w:tc>
      </w:tr>
    </w:tbl>
    <w:p w14:paraId="7BDAA81C">
      <w:pPr>
        <w:rPr>
          <w:rFonts w:hint="eastAsia" w:asciiTheme="minorEastAsia" w:hAnsiTheme="minorEastAsia" w:eastAsiaTheme="minorEastAsia" w:cstheme="minorEastAsia"/>
          <w:spacing w:val="0"/>
          <w:sz w:val="24"/>
          <w:szCs w:val="24"/>
        </w:rPr>
      </w:pPr>
    </w:p>
    <w:sectPr>
      <w:footerReference r:id="rId5" w:type="default"/>
      <w:pgSz w:w="11906" w:h="16839"/>
      <w:pgMar w:top="1431" w:right="1687" w:bottom="1170" w:left="1688" w:header="0" w:footer="975"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7AAC">
    <w:pPr>
      <w:pStyle w:val="2"/>
      <w:spacing w:line="179" w:lineRule="auto"/>
      <w:ind w:left="4020"/>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E31B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2E31B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A566D5"/>
    <w:rsid w:val="010D433E"/>
    <w:rsid w:val="02E1776D"/>
    <w:rsid w:val="049C7DEF"/>
    <w:rsid w:val="058663AA"/>
    <w:rsid w:val="064A387B"/>
    <w:rsid w:val="065A37E2"/>
    <w:rsid w:val="067E2E92"/>
    <w:rsid w:val="067E3AD6"/>
    <w:rsid w:val="07A86AAB"/>
    <w:rsid w:val="07BC4304"/>
    <w:rsid w:val="09B554AF"/>
    <w:rsid w:val="0ADE7E9F"/>
    <w:rsid w:val="0C8F3D96"/>
    <w:rsid w:val="11A57E6D"/>
    <w:rsid w:val="12C329EB"/>
    <w:rsid w:val="16A06327"/>
    <w:rsid w:val="18D957E5"/>
    <w:rsid w:val="19AC41D9"/>
    <w:rsid w:val="1D5242DB"/>
    <w:rsid w:val="20FA3A7C"/>
    <w:rsid w:val="226B2757"/>
    <w:rsid w:val="23264FFC"/>
    <w:rsid w:val="236D2C2B"/>
    <w:rsid w:val="248A3369"/>
    <w:rsid w:val="28E7579C"/>
    <w:rsid w:val="2E206AEC"/>
    <w:rsid w:val="300E12C4"/>
    <w:rsid w:val="30640F12"/>
    <w:rsid w:val="33707BCD"/>
    <w:rsid w:val="33723946"/>
    <w:rsid w:val="337B2999"/>
    <w:rsid w:val="353531EB"/>
    <w:rsid w:val="35E82F17"/>
    <w:rsid w:val="3B6E70E8"/>
    <w:rsid w:val="3BE253E0"/>
    <w:rsid w:val="3C28373B"/>
    <w:rsid w:val="3C5F1085"/>
    <w:rsid w:val="3E82485B"/>
    <w:rsid w:val="3F8E13F7"/>
    <w:rsid w:val="41770CEE"/>
    <w:rsid w:val="43EE7018"/>
    <w:rsid w:val="455F19D3"/>
    <w:rsid w:val="46596265"/>
    <w:rsid w:val="4703102D"/>
    <w:rsid w:val="47422245"/>
    <w:rsid w:val="48904B42"/>
    <w:rsid w:val="530F0D59"/>
    <w:rsid w:val="54D55CAE"/>
    <w:rsid w:val="5860518C"/>
    <w:rsid w:val="5A2E5F69"/>
    <w:rsid w:val="5BE30FD5"/>
    <w:rsid w:val="5CB62246"/>
    <w:rsid w:val="5E1436C8"/>
    <w:rsid w:val="5E8124E4"/>
    <w:rsid w:val="5F3C1128"/>
    <w:rsid w:val="65F0610C"/>
    <w:rsid w:val="6913481E"/>
    <w:rsid w:val="699459AB"/>
    <w:rsid w:val="6DA700B4"/>
    <w:rsid w:val="706E686D"/>
    <w:rsid w:val="74D86DA5"/>
    <w:rsid w:val="788A485A"/>
    <w:rsid w:val="7C4116D4"/>
    <w:rsid w:val="7C8021FC"/>
    <w:rsid w:val="7DCA74A7"/>
    <w:rsid w:val="7DE92023"/>
    <w:rsid w:val="7E3C027A"/>
    <w:rsid w:val="7FC52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2443</Words>
  <Characters>2594</Characters>
  <TotalTime>15</TotalTime>
  <ScaleCrop>false</ScaleCrop>
  <LinksUpToDate>false</LinksUpToDate>
  <CharactersWithSpaces>2605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2024-11-27T14:55:00Z</dcterms:created>
  <dc:creator>Windows 用户</dc:creator>
  <cp:lastModifiedBy>张瑾</cp:lastModifiedBy>
  <dcterms:modified xsi:type="dcterms:W3CDTF">2025-09-19T09:37:27Z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2024-12-05T15:11:16Z</vt:filetime>
  </property>
  <property fmtid="{D5CDD505-2E9C-101B-9397-08002B2CF9AE}" pid="4" name="KSOProductBuildVer">
    <vt:lpwstr>2052-12.1.0.22529</vt:lpwstr>
  </property>
  <property fmtid="{D5CDD505-2E9C-101B-9397-08002B2CF9AE}" pid="5" name="ICV">
    <vt:lpwstr>5B739D068119469CAA1EBB1DA159E7C0_13</vt:lpwstr>
  </property>
  <property fmtid="{D5CDD505-2E9C-101B-9397-08002B2CF9AE}" pid="6" name="KSOTemplateDocerSaveRecord">
    <vt:lpwstr>eyJoZGlkIjoiMmQ4ZGVlNzg5YzUyMmM5OTEzYjJhMDZjZDc2M2Q1MzciLCJ1c2VySWQiOiI0MTA2NTQ0MTAifQ==</vt:lpwstr>
  </property>
</Properties>
</file>