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8520D">
      <w:pPr>
        <w:spacing w:before="85" w:line="492" w:lineRule="exact"/>
        <w:jc w:val="center"/>
        <w:outlineLvl w:val="0"/>
        <w:rPr>
          <w:rFonts w:hint="eastAsia" w:asciiTheme="minorEastAsia" w:hAnsiTheme="minorEastAsia" w:eastAsiaTheme="minorEastAsia" w:cstheme="minorEastAsia"/>
          <w:b/>
          <w:bCs/>
          <w:spacing w:val="0"/>
          <w:position w:val="2"/>
          <w:sz w:val="36"/>
          <w:szCs w:val="36"/>
        </w:rPr>
      </w:pPr>
      <w:r>
        <w:rPr>
          <w:rFonts w:hint="eastAsia" w:asciiTheme="minorEastAsia" w:hAnsiTheme="minorEastAsia" w:eastAsiaTheme="minorEastAsia" w:cstheme="minorEastAsia"/>
          <w:b/>
          <w:bCs/>
          <w:spacing w:val="0"/>
          <w:position w:val="2"/>
          <w:sz w:val="36"/>
          <w:szCs w:val="36"/>
          <w:lang w:val="en-US" w:eastAsia="zh-CN"/>
        </w:rPr>
        <w:t>庆阳市生态环境局合水分局</w:t>
      </w:r>
      <w:r>
        <w:rPr>
          <w:rFonts w:hint="eastAsia" w:asciiTheme="minorEastAsia" w:hAnsiTheme="minorEastAsia" w:eastAsiaTheme="minorEastAsia" w:cstheme="minorEastAsia"/>
          <w:b/>
          <w:bCs/>
          <w:spacing w:val="0"/>
          <w:position w:val="2"/>
          <w:sz w:val="36"/>
          <w:szCs w:val="36"/>
        </w:rPr>
        <w:t>部门整体支出</w:t>
      </w:r>
    </w:p>
    <w:p w14:paraId="688B9A51">
      <w:pPr>
        <w:spacing w:before="85" w:line="492" w:lineRule="exact"/>
        <w:jc w:val="center"/>
        <w:outlineLvl w:val="0"/>
        <w:rPr>
          <w:rFonts w:hint="eastAsia" w:asciiTheme="minorEastAsia" w:hAnsiTheme="minorEastAsia" w:eastAsiaTheme="minorEastAsia" w:cstheme="minorEastAsia"/>
          <w:spacing w:val="0"/>
          <w:sz w:val="36"/>
          <w:szCs w:val="36"/>
        </w:rPr>
      </w:pPr>
      <w:r>
        <w:rPr>
          <w:rFonts w:hint="eastAsia" w:asciiTheme="minorEastAsia" w:hAnsiTheme="minorEastAsia" w:eastAsiaTheme="minorEastAsia" w:cstheme="minorEastAsia"/>
          <w:b/>
          <w:bCs/>
          <w:spacing w:val="0"/>
          <w:position w:val="2"/>
          <w:sz w:val="36"/>
          <w:szCs w:val="36"/>
        </w:rPr>
        <w:t>绩效评价报告</w:t>
      </w:r>
    </w:p>
    <w:p w14:paraId="2877EE77">
      <w:pPr>
        <w:spacing w:line="55"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807"/>
        <w:gridCol w:w="1551"/>
        <w:gridCol w:w="1848"/>
        <w:gridCol w:w="484"/>
        <w:gridCol w:w="2137"/>
      </w:tblGrid>
      <w:tr w14:paraId="23D5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29" w:type="dxa"/>
            <w:gridSpan w:val="6"/>
            <w:tcBorders>
              <w:left w:val="nil"/>
              <w:bottom w:val="nil"/>
              <w:right w:val="nil"/>
            </w:tcBorders>
            <w:vAlign w:val="center"/>
          </w:tcPr>
          <w:p w14:paraId="6E4CB95B">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一、项目基本情况</w:t>
            </w:r>
          </w:p>
        </w:tc>
      </w:tr>
      <w:tr w14:paraId="5CD0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02" w:type="dxa"/>
            <w:vMerge w:val="restart"/>
            <w:tcBorders>
              <w:left w:val="nil"/>
              <w:bottom w:val="nil"/>
            </w:tcBorders>
            <w:textDirection w:val="tbRlV"/>
            <w:vAlign w:val="top"/>
          </w:tcPr>
          <w:p w14:paraId="75D206E8">
            <w:pPr>
              <w:pStyle w:val="10"/>
              <w:spacing w:before="229" w:line="209" w:lineRule="auto"/>
              <w:ind w:left="552"/>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基</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本</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情</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况</w:t>
            </w:r>
          </w:p>
        </w:tc>
        <w:tc>
          <w:tcPr>
            <w:tcW w:w="1807" w:type="dxa"/>
            <w:vAlign w:val="top"/>
          </w:tcPr>
          <w:p w14:paraId="72555EE4">
            <w:pPr>
              <w:pStyle w:val="10"/>
              <w:spacing w:before="201" w:line="221" w:lineRule="auto"/>
              <w:ind w:left="43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项目名称</w:t>
            </w:r>
          </w:p>
        </w:tc>
        <w:tc>
          <w:tcPr>
            <w:tcW w:w="6020" w:type="dxa"/>
            <w:gridSpan w:val="4"/>
            <w:tcBorders>
              <w:right w:val="nil"/>
            </w:tcBorders>
            <w:vAlign w:val="center"/>
          </w:tcPr>
          <w:p w14:paraId="74F7AC73">
            <w:pPr>
              <w:pStyle w:val="10"/>
              <w:spacing w:before="201"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庆阳市生态环境局合水分局</w:t>
            </w:r>
            <w:r>
              <w:rPr>
                <w:rFonts w:hint="eastAsia" w:asciiTheme="minorEastAsia" w:hAnsiTheme="minorEastAsia" w:eastAsiaTheme="minorEastAsia" w:cstheme="minorEastAsia"/>
                <w:spacing w:val="0"/>
                <w:sz w:val="24"/>
                <w:szCs w:val="24"/>
              </w:rPr>
              <w:t>部门整体支出绩效评价</w:t>
            </w:r>
          </w:p>
        </w:tc>
      </w:tr>
      <w:tr w14:paraId="649E7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continue"/>
            <w:tcBorders>
              <w:top w:val="nil"/>
              <w:left w:val="nil"/>
              <w:bottom w:val="nil"/>
            </w:tcBorders>
            <w:textDirection w:val="tbRlV"/>
            <w:vAlign w:val="top"/>
          </w:tcPr>
          <w:p w14:paraId="6F7B67CA">
            <w:pPr>
              <w:rPr>
                <w:rFonts w:hint="eastAsia" w:asciiTheme="minorEastAsia" w:hAnsiTheme="minorEastAsia" w:eastAsiaTheme="minorEastAsia" w:cstheme="minorEastAsia"/>
                <w:spacing w:val="0"/>
                <w:sz w:val="24"/>
                <w:szCs w:val="24"/>
              </w:rPr>
            </w:pPr>
          </w:p>
        </w:tc>
        <w:tc>
          <w:tcPr>
            <w:tcW w:w="1807" w:type="dxa"/>
            <w:vAlign w:val="top"/>
          </w:tcPr>
          <w:p w14:paraId="2EA19E04">
            <w:pPr>
              <w:pStyle w:val="10"/>
              <w:spacing w:before="198" w:line="219" w:lineRule="auto"/>
              <w:ind w:left="42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评价年度</w:t>
            </w:r>
          </w:p>
        </w:tc>
        <w:tc>
          <w:tcPr>
            <w:tcW w:w="1551" w:type="dxa"/>
            <w:vAlign w:val="top"/>
          </w:tcPr>
          <w:p w14:paraId="0329762F">
            <w:pPr>
              <w:pStyle w:val="10"/>
              <w:spacing w:before="199" w:line="220"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202</w:t>
            </w:r>
            <w:r>
              <w:rPr>
                <w:rFonts w:hint="eastAsia" w:asciiTheme="minorEastAsia" w:hAnsiTheme="minorEastAsia" w:eastAsiaTheme="minorEastAsia" w:cstheme="minorEastAsia"/>
                <w:spacing w:val="0"/>
                <w:sz w:val="24"/>
                <w:szCs w:val="24"/>
                <w:lang w:val="en-US" w:eastAsia="zh-CN"/>
              </w:rPr>
              <w:t>4</w:t>
            </w:r>
            <w:r>
              <w:rPr>
                <w:rFonts w:hint="eastAsia" w:asciiTheme="minorEastAsia" w:hAnsiTheme="minorEastAsia" w:eastAsiaTheme="minorEastAsia" w:cstheme="minorEastAsia"/>
                <w:spacing w:val="0"/>
                <w:sz w:val="24"/>
                <w:szCs w:val="24"/>
              </w:rPr>
              <w:t>年度</w:t>
            </w:r>
          </w:p>
        </w:tc>
        <w:tc>
          <w:tcPr>
            <w:tcW w:w="1848" w:type="dxa"/>
            <w:vAlign w:val="top"/>
          </w:tcPr>
          <w:p w14:paraId="4C578508">
            <w:pPr>
              <w:pStyle w:val="10"/>
              <w:spacing w:before="19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评价类型</w:t>
            </w:r>
          </w:p>
        </w:tc>
        <w:tc>
          <w:tcPr>
            <w:tcW w:w="2621" w:type="dxa"/>
            <w:gridSpan w:val="2"/>
            <w:tcBorders>
              <w:right w:val="nil"/>
            </w:tcBorders>
            <w:vAlign w:val="top"/>
          </w:tcPr>
          <w:p w14:paraId="224F3882">
            <w:pPr>
              <w:pStyle w:val="10"/>
              <w:spacing w:before="198" w:line="219" w:lineRule="auto"/>
              <w:ind w:firstLine="480" w:firstLineChars="200"/>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财政</w:t>
            </w:r>
            <w:r>
              <w:rPr>
                <w:rFonts w:hint="eastAsia" w:asciiTheme="minorEastAsia" w:hAnsiTheme="minorEastAsia" w:eastAsiaTheme="minorEastAsia" w:cstheme="minorEastAsia"/>
                <w:spacing w:val="0"/>
                <w:sz w:val="24"/>
                <w:szCs w:val="24"/>
              </w:rPr>
              <w:t>评价</w:t>
            </w:r>
          </w:p>
        </w:tc>
      </w:tr>
      <w:tr w14:paraId="3C413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02" w:type="dxa"/>
            <w:vMerge w:val="continue"/>
            <w:tcBorders>
              <w:top w:val="nil"/>
              <w:left w:val="nil"/>
              <w:bottom w:val="nil"/>
            </w:tcBorders>
            <w:textDirection w:val="tbRlV"/>
            <w:vAlign w:val="top"/>
          </w:tcPr>
          <w:p w14:paraId="39E1F17B">
            <w:pPr>
              <w:rPr>
                <w:rFonts w:hint="eastAsia" w:asciiTheme="minorEastAsia" w:hAnsiTheme="minorEastAsia" w:eastAsiaTheme="minorEastAsia" w:cstheme="minorEastAsia"/>
                <w:spacing w:val="0"/>
                <w:sz w:val="24"/>
                <w:szCs w:val="24"/>
              </w:rPr>
            </w:pPr>
          </w:p>
        </w:tc>
        <w:tc>
          <w:tcPr>
            <w:tcW w:w="1807" w:type="dxa"/>
            <w:vAlign w:val="top"/>
          </w:tcPr>
          <w:p w14:paraId="64C60D4E">
            <w:pPr>
              <w:pStyle w:val="10"/>
              <w:spacing w:before="285" w:line="219" w:lineRule="auto"/>
              <w:ind w:left="18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委托评价单位</w:t>
            </w:r>
          </w:p>
        </w:tc>
        <w:tc>
          <w:tcPr>
            <w:tcW w:w="1551" w:type="dxa"/>
            <w:vAlign w:val="top"/>
          </w:tcPr>
          <w:p w14:paraId="5290E408">
            <w:pPr>
              <w:pStyle w:val="10"/>
              <w:spacing w:before="286"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合水</w:t>
            </w:r>
            <w:r>
              <w:rPr>
                <w:rFonts w:hint="eastAsia" w:asciiTheme="minorEastAsia" w:hAnsiTheme="minorEastAsia" w:eastAsiaTheme="minorEastAsia" w:cstheme="minorEastAsia"/>
                <w:spacing w:val="0"/>
                <w:sz w:val="24"/>
                <w:szCs w:val="24"/>
              </w:rPr>
              <w:t>县财政局</w:t>
            </w:r>
          </w:p>
        </w:tc>
        <w:tc>
          <w:tcPr>
            <w:tcW w:w="1848" w:type="dxa"/>
            <w:vAlign w:val="top"/>
          </w:tcPr>
          <w:p w14:paraId="6F2F0719">
            <w:pPr>
              <w:pStyle w:val="10"/>
              <w:spacing w:before="285"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评价机构名称</w:t>
            </w:r>
          </w:p>
        </w:tc>
        <w:tc>
          <w:tcPr>
            <w:tcW w:w="2621" w:type="dxa"/>
            <w:gridSpan w:val="2"/>
            <w:tcBorders>
              <w:right w:val="nil"/>
            </w:tcBorders>
            <w:vAlign w:val="top"/>
          </w:tcPr>
          <w:p w14:paraId="12367D41">
            <w:pPr>
              <w:pStyle w:val="10"/>
              <w:spacing w:before="96" w:line="229" w:lineRule="auto"/>
              <w:ind w:right="292"/>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甘肃正成鸿诺会计师事务所（普通合伙）</w:t>
            </w:r>
          </w:p>
        </w:tc>
      </w:tr>
      <w:tr w14:paraId="6499B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02" w:type="dxa"/>
            <w:vMerge w:val="continue"/>
            <w:tcBorders>
              <w:top w:val="nil"/>
              <w:left w:val="nil"/>
            </w:tcBorders>
            <w:textDirection w:val="tbRlV"/>
            <w:vAlign w:val="top"/>
          </w:tcPr>
          <w:p w14:paraId="287D7E1E">
            <w:pPr>
              <w:rPr>
                <w:rFonts w:hint="eastAsia" w:asciiTheme="minorEastAsia" w:hAnsiTheme="minorEastAsia" w:eastAsiaTheme="minorEastAsia" w:cstheme="minorEastAsia"/>
                <w:spacing w:val="0"/>
                <w:sz w:val="24"/>
                <w:szCs w:val="24"/>
              </w:rPr>
            </w:pPr>
          </w:p>
        </w:tc>
        <w:tc>
          <w:tcPr>
            <w:tcW w:w="1807" w:type="dxa"/>
            <w:vAlign w:val="top"/>
          </w:tcPr>
          <w:p w14:paraId="12295708">
            <w:pPr>
              <w:pStyle w:val="10"/>
              <w:spacing w:before="197" w:line="219" w:lineRule="auto"/>
              <w:ind w:left="186"/>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评价对象名称</w:t>
            </w:r>
          </w:p>
        </w:tc>
        <w:tc>
          <w:tcPr>
            <w:tcW w:w="6020" w:type="dxa"/>
            <w:gridSpan w:val="4"/>
            <w:tcBorders>
              <w:right w:val="nil"/>
            </w:tcBorders>
            <w:vAlign w:val="center"/>
          </w:tcPr>
          <w:p w14:paraId="01CA1CD3">
            <w:pPr>
              <w:pStyle w:val="10"/>
              <w:spacing w:before="198" w:line="219" w:lineRule="auto"/>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庆阳市生态环境局合水分局</w:t>
            </w:r>
          </w:p>
        </w:tc>
      </w:tr>
      <w:tr w14:paraId="4DBF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702" w:type="dxa"/>
            <w:tcBorders>
              <w:left w:val="nil"/>
            </w:tcBorders>
            <w:textDirection w:val="tbRlV"/>
            <w:vAlign w:val="top"/>
          </w:tcPr>
          <w:p w14:paraId="3218D0BA">
            <w:pPr>
              <w:pStyle w:val="10"/>
              <w:spacing w:before="229" w:line="202" w:lineRule="auto"/>
              <w:ind w:left="20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实</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sz w:val="24"/>
                <w:szCs w:val="24"/>
              </w:rPr>
              <w:t>施</w:t>
            </w:r>
            <w:r>
              <w:rPr>
                <w:rFonts w:hint="eastAsia" w:asciiTheme="minorEastAsia" w:hAnsiTheme="minorEastAsia" w:eastAsiaTheme="minorEastAsia" w:cstheme="minorEastAsia"/>
                <w:spacing w:val="0"/>
                <w:sz w:val="24"/>
                <w:szCs w:val="24"/>
              </w:rPr>
              <w:t xml:space="preserve"> </w:t>
            </w:r>
            <w:r>
              <w:rPr>
                <w:rFonts w:hint="eastAsia" w:asciiTheme="minorEastAsia" w:hAnsiTheme="minorEastAsia" w:eastAsiaTheme="minorEastAsia" w:cstheme="minorEastAsia"/>
                <w:b/>
                <w:bCs/>
                <w:spacing w:val="0"/>
                <w:position w:val="1"/>
                <w:sz w:val="24"/>
                <w:szCs w:val="24"/>
              </w:rPr>
              <w:t>目</w:t>
            </w:r>
            <w:r>
              <w:rPr>
                <w:rFonts w:hint="eastAsia" w:asciiTheme="minorEastAsia" w:hAnsiTheme="minorEastAsia" w:eastAsiaTheme="minorEastAsia" w:cstheme="minorEastAsia"/>
                <w:spacing w:val="0"/>
                <w:position w:val="1"/>
                <w:sz w:val="24"/>
                <w:szCs w:val="24"/>
              </w:rPr>
              <w:t xml:space="preserve"> </w:t>
            </w:r>
            <w:r>
              <w:rPr>
                <w:rFonts w:hint="eastAsia" w:asciiTheme="minorEastAsia" w:hAnsiTheme="minorEastAsia" w:eastAsiaTheme="minorEastAsia" w:cstheme="minorEastAsia"/>
                <w:b/>
                <w:bCs/>
                <w:spacing w:val="0"/>
                <w:sz w:val="24"/>
                <w:szCs w:val="24"/>
              </w:rPr>
              <w:t>的</w:t>
            </w:r>
          </w:p>
        </w:tc>
        <w:tc>
          <w:tcPr>
            <w:tcW w:w="7827" w:type="dxa"/>
            <w:gridSpan w:val="5"/>
            <w:tcBorders>
              <w:right w:val="nil"/>
            </w:tcBorders>
            <w:vAlign w:val="top"/>
          </w:tcPr>
          <w:p w14:paraId="44CDA8F0">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right="0" w:firstLine="480" w:firstLineChars="200"/>
              <w:jc w:val="both"/>
              <w:textAlignment w:val="baseline"/>
              <w:rPr>
                <w:rFonts w:hint="eastAsia" w:asciiTheme="minorEastAsia" w:hAnsiTheme="minorEastAsia" w:eastAsiaTheme="minorEastAsia" w:cstheme="minorEastAsia"/>
                <w:spacing w:val="0"/>
                <w:sz w:val="24"/>
                <w:szCs w:val="24"/>
              </w:rPr>
            </w:pPr>
            <w:bookmarkStart w:id="4" w:name="_GoBack"/>
            <w:r>
              <w:rPr>
                <w:rFonts w:hint="eastAsia" w:asciiTheme="minorEastAsia" w:hAnsiTheme="minorEastAsia" w:eastAsiaTheme="minorEastAsia" w:cstheme="minorEastAsia"/>
                <w:color w:val="auto"/>
                <w:spacing w:val="0"/>
                <w:sz w:val="24"/>
                <w:szCs w:val="24"/>
              </w:rPr>
              <w:t>为强化部门支出责任，提升部门履职成效，提高财政资金使用效益，对</w:t>
            </w:r>
            <w:r>
              <w:rPr>
                <w:rFonts w:hint="eastAsia" w:asciiTheme="minorEastAsia" w:hAnsiTheme="minorEastAsia" w:eastAsiaTheme="minorEastAsia" w:cstheme="minorEastAsia"/>
                <w:color w:val="auto"/>
                <w:spacing w:val="0"/>
                <w:sz w:val="24"/>
                <w:szCs w:val="24"/>
                <w:lang w:val="en-US" w:eastAsia="zh-CN"/>
              </w:rPr>
              <w:t>庆阳市生态环境局合水分局2024</w:t>
            </w:r>
            <w:r>
              <w:rPr>
                <w:rFonts w:hint="eastAsia" w:asciiTheme="minorEastAsia" w:hAnsiTheme="minorEastAsia" w:eastAsiaTheme="minorEastAsia" w:cstheme="minorEastAsia"/>
                <w:color w:val="auto"/>
                <w:spacing w:val="0"/>
                <w:sz w:val="24"/>
                <w:szCs w:val="24"/>
              </w:rPr>
              <w:t>年度部门整体支出开展绩效评价，评价工作以预算资金管理为主线，从部门规划、运行成本、管理效率、履职效能、社会效应、可持续发展能力和服务对象满意度等方面</w:t>
            </w:r>
            <w:r>
              <w:rPr>
                <w:rFonts w:hint="eastAsia" w:asciiTheme="minorEastAsia" w:hAnsiTheme="minorEastAsia" w:eastAsiaTheme="minorEastAsia" w:cstheme="minorEastAsia"/>
                <w:color w:val="auto"/>
                <w:spacing w:val="0"/>
                <w:sz w:val="24"/>
                <w:szCs w:val="24"/>
                <w:lang w:eastAsia="zh-CN"/>
              </w:rPr>
              <w:t>，</w:t>
            </w:r>
            <w:r>
              <w:rPr>
                <w:rFonts w:hint="eastAsia" w:asciiTheme="minorEastAsia" w:hAnsiTheme="minorEastAsia" w:eastAsiaTheme="minorEastAsia" w:cstheme="minorEastAsia"/>
                <w:color w:val="auto"/>
                <w:spacing w:val="0"/>
                <w:sz w:val="24"/>
                <w:szCs w:val="24"/>
              </w:rPr>
              <w:t>衡量部门整体及核心业务实施效果</w:t>
            </w:r>
            <w:r>
              <w:rPr>
                <w:rFonts w:hint="eastAsia" w:asciiTheme="minorEastAsia" w:hAnsiTheme="minorEastAsia" w:eastAsiaTheme="minorEastAsia" w:cstheme="minorEastAsia"/>
                <w:color w:val="auto"/>
                <w:spacing w:val="0"/>
                <w:sz w:val="24"/>
                <w:szCs w:val="24"/>
                <w:lang w:eastAsia="zh-CN"/>
              </w:rPr>
              <w:t>，</w:t>
            </w:r>
            <w:r>
              <w:rPr>
                <w:rFonts w:hint="eastAsia" w:asciiTheme="minorEastAsia" w:hAnsiTheme="minorEastAsia" w:eastAsiaTheme="minorEastAsia" w:cstheme="minorEastAsia"/>
                <w:color w:val="auto"/>
                <w:spacing w:val="0"/>
                <w:sz w:val="24"/>
                <w:szCs w:val="24"/>
              </w:rPr>
              <w:t>推动部门提高整体绩效水平。</w:t>
            </w:r>
            <w:bookmarkEnd w:id="4"/>
          </w:p>
        </w:tc>
      </w:tr>
      <w:tr w14:paraId="0883A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02" w:type="dxa"/>
            <w:vMerge w:val="restart"/>
            <w:tcBorders>
              <w:left w:val="nil"/>
              <w:bottom w:val="nil"/>
            </w:tcBorders>
            <w:textDirection w:val="tbLrV"/>
            <w:vAlign w:val="top"/>
          </w:tcPr>
          <w:p w14:paraId="1ABA98AF">
            <w:pPr>
              <w:pStyle w:val="10"/>
              <w:spacing w:before="229" w:line="202" w:lineRule="auto"/>
              <w:ind w:left="204" w:leftChars="0" w:right="113" w:firstLine="241" w:firstLineChars="100"/>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b/>
                <w:bCs/>
                <w:spacing w:val="0"/>
                <w:sz w:val="24"/>
                <w:szCs w:val="24"/>
                <w:highlight w:val="none"/>
                <w:lang w:val="en-US" w:eastAsia="zh-CN"/>
              </w:rPr>
              <w:t>资 金 情 况（万元）</w:t>
            </w:r>
          </w:p>
        </w:tc>
        <w:tc>
          <w:tcPr>
            <w:tcW w:w="1807" w:type="dxa"/>
            <w:vAlign w:val="top"/>
          </w:tcPr>
          <w:p w14:paraId="41F20640">
            <w:pPr>
              <w:pStyle w:val="10"/>
              <w:spacing w:before="200" w:line="220" w:lineRule="auto"/>
              <w:ind w:left="18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预算安排资金</w:t>
            </w:r>
          </w:p>
        </w:tc>
        <w:tc>
          <w:tcPr>
            <w:tcW w:w="1551" w:type="dxa"/>
            <w:vAlign w:val="top"/>
          </w:tcPr>
          <w:p w14:paraId="2EE08C3F">
            <w:pPr>
              <w:pStyle w:val="10"/>
              <w:spacing w:before="238"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427.15</w:t>
            </w:r>
            <w:r>
              <w:rPr>
                <w:rFonts w:hint="eastAsia" w:asciiTheme="minorEastAsia" w:hAnsiTheme="minorEastAsia" w:eastAsiaTheme="minorEastAsia" w:cstheme="minorEastAsia"/>
                <w:spacing w:val="0"/>
                <w:sz w:val="24"/>
                <w:szCs w:val="24"/>
                <w:lang w:val="en-US" w:eastAsia="zh-CN"/>
              </w:rPr>
              <w:t>万元</w:t>
            </w:r>
          </w:p>
        </w:tc>
        <w:tc>
          <w:tcPr>
            <w:tcW w:w="2332" w:type="dxa"/>
            <w:gridSpan w:val="2"/>
            <w:vAlign w:val="top"/>
          </w:tcPr>
          <w:p w14:paraId="41C16993">
            <w:pPr>
              <w:pStyle w:val="10"/>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实际到位资金</w:t>
            </w:r>
          </w:p>
        </w:tc>
        <w:tc>
          <w:tcPr>
            <w:tcW w:w="2137" w:type="dxa"/>
            <w:tcBorders>
              <w:right w:val="nil"/>
            </w:tcBorders>
            <w:vAlign w:val="top"/>
          </w:tcPr>
          <w:p w14:paraId="05DBC0B0">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427.15</w:t>
            </w:r>
            <w:r>
              <w:rPr>
                <w:rFonts w:hint="eastAsia" w:asciiTheme="minorEastAsia" w:hAnsiTheme="minorEastAsia" w:eastAsiaTheme="minorEastAsia" w:cstheme="minorEastAsia"/>
                <w:spacing w:val="0"/>
                <w:sz w:val="24"/>
                <w:szCs w:val="24"/>
                <w:lang w:val="en-US" w:eastAsia="zh-CN"/>
              </w:rPr>
              <w:t>万元</w:t>
            </w:r>
          </w:p>
        </w:tc>
      </w:tr>
      <w:tr w14:paraId="47414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E280996">
            <w:pPr>
              <w:rPr>
                <w:rFonts w:hint="eastAsia" w:asciiTheme="minorEastAsia" w:hAnsiTheme="minorEastAsia" w:eastAsiaTheme="minorEastAsia" w:cstheme="minorEastAsia"/>
                <w:spacing w:val="0"/>
                <w:sz w:val="24"/>
                <w:szCs w:val="24"/>
                <w:highlight w:val="none"/>
              </w:rPr>
            </w:pPr>
          </w:p>
        </w:tc>
        <w:tc>
          <w:tcPr>
            <w:tcW w:w="1807" w:type="dxa"/>
            <w:vAlign w:val="top"/>
          </w:tcPr>
          <w:p w14:paraId="4D05CF04">
            <w:pPr>
              <w:pStyle w:val="10"/>
              <w:spacing w:before="200" w:line="221" w:lineRule="auto"/>
              <w:ind w:left="116"/>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val="en-US" w:eastAsia="zh-CN"/>
              </w:rPr>
              <w:t>市</w:t>
            </w:r>
            <w:r>
              <w:rPr>
                <w:rFonts w:hint="eastAsia" w:asciiTheme="minorEastAsia" w:hAnsiTheme="minorEastAsia" w:eastAsiaTheme="minorEastAsia" w:cstheme="minorEastAsia"/>
                <w:spacing w:val="0"/>
                <w:sz w:val="24"/>
                <w:szCs w:val="24"/>
                <w:highlight w:val="none"/>
              </w:rPr>
              <w:t>级财政</w:t>
            </w:r>
          </w:p>
        </w:tc>
        <w:tc>
          <w:tcPr>
            <w:tcW w:w="1551" w:type="dxa"/>
            <w:vAlign w:val="top"/>
          </w:tcPr>
          <w:p w14:paraId="290B9AA6">
            <w:pPr>
              <w:pStyle w:val="10"/>
              <w:spacing w:before="240" w:line="183" w:lineRule="auto"/>
              <w:jc w:val="center"/>
              <w:rPr>
                <w:rFonts w:hint="default" w:asciiTheme="minorEastAsia" w:hAnsiTheme="minorEastAsia" w:eastAsiaTheme="minorEastAsia" w:cstheme="minorEastAsia"/>
                <w:spacing w:val="0"/>
                <w:sz w:val="24"/>
                <w:szCs w:val="24"/>
                <w:highlight w:val="none"/>
                <w:lang w:val="en-US" w:eastAsia="zh-CN"/>
              </w:rPr>
            </w:pPr>
            <w:r>
              <w:rPr>
                <w:rFonts w:hint="eastAsia" w:ascii="Times New Roman" w:hAnsi="Times New Roman" w:eastAsia="仿宋_GB2312" w:cstheme="minorBidi"/>
                <w:b w:val="0"/>
                <w:bCs w:val="0"/>
                <w:kern w:val="2"/>
                <w:sz w:val="24"/>
                <w:szCs w:val="24"/>
                <w:lang w:val="en-US" w:eastAsia="zh-CN" w:bidi="ar-SA"/>
              </w:rPr>
              <w:t>427.15</w:t>
            </w:r>
            <w:r>
              <w:rPr>
                <w:rFonts w:hint="eastAsia" w:asciiTheme="minorEastAsia" w:hAnsiTheme="minorEastAsia" w:eastAsiaTheme="minorEastAsia" w:cstheme="minorEastAsia"/>
                <w:spacing w:val="0"/>
                <w:sz w:val="24"/>
                <w:szCs w:val="24"/>
                <w:lang w:val="en-US" w:eastAsia="zh-CN"/>
              </w:rPr>
              <w:t>万元</w:t>
            </w:r>
          </w:p>
        </w:tc>
        <w:tc>
          <w:tcPr>
            <w:tcW w:w="2332" w:type="dxa"/>
            <w:gridSpan w:val="2"/>
            <w:vAlign w:val="top"/>
          </w:tcPr>
          <w:p w14:paraId="66105287">
            <w:pPr>
              <w:pStyle w:val="10"/>
              <w:spacing w:before="200" w:line="221" w:lineRule="auto"/>
              <w:ind w:left="127"/>
              <w:jc w:val="right"/>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highlight w:val="none"/>
              </w:rPr>
              <w:t>其中：</w:t>
            </w:r>
            <w:r>
              <w:rPr>
                <w:rFonts w:hint="eastAsia" w:asciiTheme="minorEastAsia" w:hAnsiTheme="minorEastAsia" w:eastAsiaTheme="minorEastAsia" w:cstheme="minorEastAsia"/>
                <w:spacing w:val="0"/>
                <w:sz w:val="24"/>
                <w:szCs w:val="24"/>
                <w:highlight w:val="none"/>
                <w:lang w:val="en-US" w:eastAsia="zh-CN"/>
              </w:rPr>
              <w:t>市</w:t>
            </w:r>
            <w:r>
              <w:rPr>
                <w:rFonts w:hint="eastAsia" w:asciiTheme="minorEastAsia" w:hAnsiTheme="minorEastAsia" w:eastAsiaTheme="minorEastAsia" w:cstheme="minorEastAsia"/>
                <w:spacing w:val="0"/>
                <w:sz w:val="24"/>
                <w:szCs w:val="24"/>
                <w:highlight w:val="none"/>
              </w:rPr>
              <w:t>级财政</w:t>
            </w:r>
          </w:p>
        </w:tc>
        <w:tc>
          <w:tcPr>
            <w:tcW w:w="2137" w:type="dxa"/>
            <w:tcBorders>
              <w:right w:val="nil"/>
            </w:tcBorders>
            <w:vAlign w:val="top"/>
          </w:tcPr>
          <w:p w14:paraId="1C1E23BB">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427.15</w:t>
            </w:r>
            <w:r>
              <w:rPr>
                <w:rFonts w:hint="eastAsia" w:asciiTheme="minorEastAsia" w:hAnsiTheme="minorEastAsia" w:eastAsiaTheme="minorEastAsia" w:cstheme="minorEastAsia"/>
                <w:spacing w:val="0"/>
                <w:sz w:val="24"/>
                <w:szCs w:val="24"/>
                <w:lang w:val="en-US" w:eastAsia="zh-CN"/>
              </w:rPr>
              <w:t>万元</w:t>
            </w:r>
          </w:p>
        </w:tc>
      </w:tr>
      <w:tr w14:paraId="0E60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486ED73E">
            <w:pPr>
              <w:rPr>
                <w:rFonts w:hint="eastAsia" w:asciiTheme="minorEastAsia" w:hAnsiTheme="minorEastAsia" w:eastAsiaTheme="minorEastAsia" w:cstheme="minorEastAsia"/>
                <w:spacing w:val="0"/>
                <w:sz w:val="24"/>
                <w:szCs w:val="24"/>
                <w:highlight w:val="none"/>
              </w:rPr>
            </w:pPr>
          </w:p>
        </w:tc>
        <w:tc>
          <w:tcPr>
            <w:tcW w:w="1807" w:type="dxa"/>
            <w:vAlign w:val="top"/>
          </w:tcPr>
          <w:p w14:paraId="3B7E900E">
            <w:pPr>
              <w:pStyle w:val="10"/>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1551" w:type="dxa"/>
            <w:vAlign w:val="top"/>
          </w:tcPr>
          <w:p w14:paraId="190C312A">
            <w:pPr>
              <w:pStyle w:val="10"/>
              <w:spacing w:before="240" w:line="183" w:lineRule="auto"/>
              <w:jc w:val="center"/>
              <w:rPr>
                <w:rFonts w:hint="default" w:asciiTheme="minorEastAsia" w:hAnsiTheme="minorEastAsia" w:eastAsiaTheme="minorEastAsia" w:cstheme="minorEastAsia"/>
                <w:spacing w:val="0"/>
                <w:sz w:val="24"/>
                <w:szCs w:val="24"/>
                <w:highlight w:val="none"/>
                <w:lang w:val="en-US"/>
              </w:rPr>
            </w:pPr>
          </w:p>
        </w:tc>
        <w:tc>
          <w:tcPr>
            <w:tcW w:w="2332" w:type="dxa"/>
            <w:gridSpan w:val="2"/>
            <w:vAlign w:val="top"/>
          </w:tcPr>
          <w:p w14:paraId="2DF377AF">
            <w:pPr>
              <w:pStyle w:val="10"/>
              <w:spacing w:before="202" w:line="220" w:lineRule="auto"/>
              <w:jc w:val="right"/>
              <w:rPr>
                <w:rFonts w:hint="eastAsia" w:asciiTheme="minorEastAsia" w:hAnsiTheme="minorEastAsia" w:eastAsiaTheme="minorEastAsia" w:cstheme="minorEastAsia"/>
                <w:spacing w:val="0"/>
                <w:sz w:val="24"/>
                <w:szCs w:val="24"/>
                <w:highlight w:val="none"/>
                <w:lang w:val="en-US" w:eastAsia="zh-CN"/>
              </w:rPr>
            </w:pPr>
            <w:r>
              <w:rPr>
                <w:rFonts w:hint="eastAsia" w:asciiTheme="minorEastAsia" w:hAnsiTheme="minorEastAsia" w:eastAsiaTheme="minorEastAsia" w:cstheme="minorEastAsia"/>
                <w:spacing w:val="0"/>
                <w:sz w:val="24"/>
                <w:szCs w:val="24"/>
                <w:highlight w:val="none"/>
              </w:rPr>
              <w:t>县级财政</w:t>
            </w:r>
          </w:p>
        </w:tc>
        <w:tc>
          <w:tcPr>
            <w:tcW w:w="2137" w:type="dxa"/>
            <w:tcBorders>
              <w:right w:val="nil"/>
            </w:tcBorders>
            <w:vAlign w:val="top"/>
          </w:tcPr>
          <w:p w14:paraId="3710645A">
            <w:pPr>
              <w:pStyle w:val="10"/>
              <w:spacing w:before="239" w:line="183" w:lineRule="auto"/>
              <w:jc w:val="center"/>
              <w:rPr>
                <w:rFonts w:hint="eastAsia" w:ascii="Times New Roman" w:hAnsi="Times New Roman" w:eastAsia="仿宋_GB2312" w:cstheme="minorBidi"/>
                <w:b w:val="0"/>
                <w:bCs w:val="0"/>
                <w:kern w:val="2"/>
                <w:sz w:val="24"/>
                <w:szCs w:val="24"/>
                <w:lang w:val="en-US" w:eastAsia="zh-CN" w:bidi="ar-SA"/>
              </w:rPr>
            </w:pPr>
          </w:p>
        </w:tc>
      </w:tr>
      <w:tr w14:paraId="4516D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02" w:type="dxa"/>
            <w:vMerge w:val="continue"/>
            <w:tcBorders>
              <w:top w:val="nil"/>
              <w:left w:val="nil"/>
              <w:bottom w:val="nil"/>
            </w:tcBorders>
            <w:vAlign w:val="top"/>
          </w:tcPr>
          <w:p w14:paraId="5239453F">
            <w:pPr>
              <w:rPr>
                <w:rFonts w:hint="eastAsia" w:asciiTheme="minorEastAsia" w:hAnsiTheme="minorEastAsia" w:eastAsiaTheme="minorEastAsia" w:cstheme="minorEastAsia"/>
                <w:spacing w:val="0"/>
                <w:sz w:val="24"/>
                <w:szCs w:val="24"/>
                <w:highlight w:val="none"/>
              </w:rPr>
            </w:pPr>
          </w:p>
        </w:tc>
        <w:tc>
          <w:tcPr>
            <w:tcW w:w="1807" w:type="dxa"/>
            <w:vAlign w:val="top"/>
          </w:tcPr>
          <w:p w14:paraId="6A7167D4">
            <w:pPr>
              <w:pStyle w:val="10"/>
              <w:spacing w:before="200" w:line="221" w:lineRule="auto"/>
              <w:ind w:left="193"/>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实际支出资金</w:t>
            </w:r>
          </w:p>
        </w:tc>
        <w:tc>
          <w:tcPr>
            <w:tcW w:w="1551" w:type="dxa"/>
            <w:vAlign w:val="top"/>
          </w:tcPr>
          <w:p w14:paraId="64F54DE7">
            <w:pPr>
              <w:pStyle w:val="10"/>
              <w:spacing w:before="239" w:line="183" w:lineRule="auto"/>
              <w:jc w:val="center"/>
              <w:rPr>
                <w:rFonts w:hint="eastAsia" w:asciiTheme="minorEastAsia" w:hAnsiTheme="minorEastAsia" w:eastAsiaTheme="minorEastAsia" w:cstheme="minorEastAsia"/>
                <w:spacing w:val="0"/>
                <w:sz w:val="24"/>
                <w:szCs w:val="24"/>
                <w:highlight w:val="none"/>
              </w:rPr>
            </w:pPr>
            <w:r>
              <w:rPr>
                <w:rFonts w:hint="eastAsia" w:ascii="Times New Roman" w:hAnsi="Times New Roman" w:eastAsia="仿宋_GB2312" w:cstheme="minorBidi"/>
                <w:b w:val="0"/>
                <w:bCs w:val="0"/>
                <w:kern w:val="2"/>
                <w:sz w:val="24"/>
                <w:szCs w:val="24"/>
                <w:lang w:val="en-US" w:eastAsia="zh-CN" w:bidi="ar-SA"/>
              </w:rPr>
              <w:t>427.15</w:t>
            </w:r>
            <w:r>
              <w:rPr>
                <w:rFonts w:hint="eastAsia" w:asciiTheme="minorEastAsia" w:hAnsiTheme="minorEastAsia" w:eastAsiaTheme="minorEastAsia" w:cstheme="minorEastAsia"/>
                <w:spacing w:val="0"/>
                <w:sz w:val="24"/>
                <w:szCs w:val="24"/>
                <w:lang w:val="en-US" w:eastAsia="zh-CN"/>
              </w:rPr>
              <w:t>万元</w:t>
            </w:r>
          </w:p>
        </w:tc>
        <w:tc>
          <w:tcPr>
            <w:tcW w:w="2332" w:type="dxa"/>
            <w:gridSpan w:val="2"/>
            <w:vAlign w:val="top"/>
          </w:tcPr>
          <w:p w14:paraId="5F8D6931">
            <w:pPr>
              <w:pStyle w:val="10"/>
              <w:spacing w:before="200" w:line="221" w:lineRule="auto"/>
              <w:ind w:left="247"/>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结转结余资金</w:t>
            </w:r>
          </w:p>
        </w:tc>
        <w:tc>
          <w:tcPr>
            <w:tcW w:w="2137" w:type="dxa"/>
            <w:tcBorders>
              <w:right w:val="nil"/>
            </w:tcBorders>
            <w:vAlign w:val="top"/>
          </w:tcPr>
          <w:p w14:paraId="5D763974">
            <w:pPr>
              <w:pStyle w:val="10"/>
              <w:spacing w:before="239" w:line="183" w:lineRule="auto"/>
              <w:jc w:val="center"/>
              <w:rPr>
                <w:rFonts w:hint="default" w:ascii="Times New Roman" w:hAnsi="Times New Roman" w:eastAsia="仿宋_GB2312" w:cstheme="minorBidi"/>
                <w:b w:val="0"/>
                <w:bCs w:val="0"/>
                <w:kern w:val="2"/>
                <w:sz w:val="24"/>
                <w:szCs w:val="24"/>
                <w:lang w:val="en-US" w:eastAsia="zh-CN" w:bidi="ar-SA"/>
              </w:rPr>
            </w:pPr>
            <w:r>
              <w:rPr>
                <w:rFonts w:hint="eastAsia" w:ascii="Times New Roman" w:hAnsi="Times New Roman" w:eastAsia="仿宋_GB2312" w:cstheme="minorBidi"/>
                <w:b w:val="0"/>
                <w:bCs w:val="0"/>
                <w:kern w:val="2"/>
                <w:sz w:val="24"/>
                <w:szCs w:val="24"/>
                <w:lang w:val="en-US" w:eastAsia="zh-CN" w:bidi="ar-SA"/>
              </w:rPr>
              <w:t>0万元</w:t>
            </w:r>
          </w:p>
        </w:tc>
      </w:tr>
      <w:tr w14:paraId="1F90A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2" w:type="dxa"/>
            <w:vMerge w:val="continue"/>
            <w:tcBorders>
              <w:top w:val="nil"/>
              <w:left w:val="nil"/>
            </w:tcBorders>
            <w:vAlign w:val="top"/>
          </w:tcPr>
          <w:p w14:paraId="3AEA6B58">
            <w:pPr>
              <w:rPr>
                <w:rFonts w:hint="eastAsia" w:asciiTheme="minorEastAsia" w:hAnsiTheme="minorEastAsia" w:eastAsiaTheme="minorEastAsia" w:cstheme="minorEastAsia"/>
                <w:spacing w:val="0"/>
                <w:sz w:val="24"/>
                <w:szCs w:val="24"/>
                <w:highlight w:val="none"/>
              </w:rPr>
            </w:pPr>
          </w:p>
        </w:tc>
        <w:tc>
          <w:tcPr>
            <w:tcW w:w="1807" w:type="dxa"/>
            <w:vAlign w:val="top"/>
          </w:tcPr>
          <w:p w14:paraId="0818A1CE">
            <w:pPr>
              <w:pStyle w:val="10"/>
              <w:spacing w:before="202" w:line="220" w:lineRule="auto"/>
              <w:ind w:left="309"/>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b/>
                <w:bCs/>
                <w:spacing w:val="0"/>
                <w:sz w:val="24"/>
                <w:szCs w:val="24"/>
                <w:highlight w:val="none"/>
              </w:rPr>
              <w:t>预算执行率</w:t>
            </w:r>
          </w:p>
        </w:tc>
        <w:tc>
          <w:tcPr>
            <w:tcW w:w="6020" w:type="dxa"/>
            <w:gridSpan w:val="4"/>
            <w:tcBorders>
              <w:right w:val="nil"/>
            </w:tcBorders>
            <w:vAlign w:val="center"/>
          </w:tcPr>
          <w:p w14:paraId="315F5367">
            <w:pPr>
              <w:pStyle w:val="10"/>
              <w:spacing w:before="239" w:line="183" w:lineRule="auto"/>
              <w:jc w:val="center"/>
              <w:rPr>
                <w:rFonts w:hint="default" w:asciiTheme="minorEastAsia" w:hAnsiTheme="minorEastAsia" w:eastAsiaTheme="minorEastAsia" w:cstheme="minorEastAsia"/>
                <w:spacing w:val="0"/>
                <w:sz w:val="24"/>
                <w:szCs w:val="24"/>
                <w:highlight w:val="none"/>
                <w:lang w:val="en-US" w:eastAsia="zh-CN"/>
              </w:rPr>
            </w:pPr>
            <w:r>
              <w:rPr>
                <w:rFonts w:hint="eastAsia" w:ascii="Times New Roman" w:hAnsi="Times New Roman" w:eastAsia="仿宋_GB2312" w:cstheme="minorBidi"/>
                <w:b w:val="0"/>
                <w:bCs w:val="0"/>
                <w:kern w:val="2"/>
                <w:sz w:val="24"/>
                <w:szCs w:val="24"/>
                <w:lang w:val="en-US" w:eastAsia="zh-CN" w:bidi="ar-SA"/>
              </w:rPr>
              <w:t>100%</w:t>
            </w:r>
          </w:p>
        </w:tc>
      </w:tr>
    </w:tbl>
    <w:p w14:paraId="3298B6A8">
      <w:pPr>
        <w:spacing w:before="197" w:line="220" w:lineRule="auto"/>
        <w:ind w:left="3314"/>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二、部门绩效目标</w:t>
      </w:r>
    </w:p>
    <w:p w14:paraId="3728A160">
      <w:pPr>
        <w:spacing w:line="83"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3"/>
        <w:gridCol w:w="7136"/>
      </w:tblGrid>
      <w:tr w14:paraId="00622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3" w:type="dxa"/>
            <w:tcBorders>
              <w:left w:val="nil"/>
            </w:tcBorders>
            <w:vAlign w:val="center"/>
          </w:tcPr>
          <w:p w14:paraId="325593E1">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年度绩效</w:t>
            </w:r>
          </w:p>
          <w:p w14:paraId="6261B586">
            <w:pPr>
              <w:pStyle w:val="10"/>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目标</w:t>
            </w:r>
          </w:p>
        </w:tc>
        <w:tc>
          <w:tcPr>
            <w:tcW w:w="7136" w:type="dxa"/>
            <w:tcBorders>
              <w:right w:val="nil"/>
            </w:tcBorders>
            <w:vAlign w:val="top"/>
          </w:tcPr>
          <w:p w14:paraId="6082E5FC">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一是</w:t>
            </w:r>
            <w:r>
              <w:rPr>
                <w:rFonts w:hint="eastAsia" w:asciiTheme="minorEastAsia" w:hAnsiTheme="minorEastAsia" w:eastAsiaTheme="minorEastAsia" w:cstheme="minorEastAsia"/>
                <w:spacing w:val="0"/>
                <w:sz w:val="24"/>
                <w:szCs w:val="24"/>
              </w:rPr>
              <w:t>机关党建，作风、党风建设；</w:t>
            </w:r>
          </w:p>
          <w:p w14:paraId="0A89D793">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二是</w:t>
            </w:r>
            <w:r>
              <w:rPr>
                <w:rFonts w:hint="eastAsia" w:asciiTheme="minorEastAsia" w:hAnsiTheme="minorEastAsia" w:eastAsiaTheme="minorEastAsia" w:cstheme="minorEastAsia"/>
                <w:spacing w:val="0"/>
                <w:sz w:val="24"/>
                <w:szCs w:val="24"/>
              </w:rPr>
              <w:t>宣传思想工作；</w:t>
            </w:r>
          </w:p>
          <w:p w14:paraId="6AFAE305">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三是</w:t>
            </w:r>
            <w:r>
              <w:rPr>
                <w:rFonts w:hint="eastAsia" w:asciiTheme="minorEastAsia" w:hAnsiTheme="minorEastAsia" w:eastAsiaTheme="minorEastAsia" w:cstheme="minorEastAsia"/>
                <w:spacing w:val="0"/>
                <w:sz w:val="24"/>
                <w:szCs w:val="24"/>
              </w:rPr>
              <w:t>社会治安综合治理；</w:t>
            </w:r>
          </w:p>
          <w:p w14:paraId="3CA1C042">
            <w:pPr>
              <w:pStyle w:val="10"/>
              <w:keepNext w:val="0"/>
              <w:keepLines w:val="0"/>
              <w:pageBreakBefore w:val="0"/>
              <w:widowControl w:val="0"/>
              <w:kinsoku/>
              <w:wordWrap/>
              <w:overflowPunct w:val="0"/>
              <w:topLinePunct/>
              <w:autoSpaceDE/>
              <w:autoSpaceDN/>
              <w:bidi w:val="0"/>
              <w:adjustRightInd w:val="0"/>
              <w:snapToGrid w:val="0"/>
              <w:spacing w:line="400" w:lineRule="exact"/>
              <w:ind w:left="0" w:right="0" w:firstLine="480" w:firstLineChars="200"/>
              <w:jc w:val="both"/>
              <w:textAlignment w:val="baseline"/>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四是生态功能恢复。</w:t>
            </w:r>
          </w:p>
        </w:tc>
      </w:tr>
      <w:tr w14:paraId="40726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529" w:type="dxa"/>
            <w:gridSpan w:val="2"/>
            <w:tcBorders>
              <w:left w:val="nil"/>
              <w:right w:val="nil"/>
            </w:tcBorders>
            <w:vAlign w:val="top"/>
          </w:tcPr>
          <w:p w14:paraId="54E43F7D">
            <w:pPr>
              <w:pStyle w:val="10"/>
              <w:spacing w:before="222" w:line="219" w:lineRule="auto"/>
              <w:ind w:left="3310"/>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三、评价基本情况</w:t>
            </w:r>
          </w:p>
        </w:tc>
      </w:tr>
      <w:tr w14:paraId="03FF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393" w:type="dxa"/>
            <w:tcBorders>
              <w:left w:val="nil"/>
            </w:tcBorders>
            <w:vAlign w:val="center"/>
          </w:tcPr>
          <w:p w14:paraId="4635A4B6">
            <w:pPr>
              <w:pStyle w:val="10"/>
              <w:keepNext w:val="0"/>
              <w:keepLines/>
              <w:pageBreakBefore w:val="0"/>
              <w:wordWrap/>
              <w:overflowPunct w:val="0"/>
              <w:topLinePunct w:val="0"/>
              <w:autoSpaceDE w:val="0"/>
              <w:autoSpaceDN w:val="0"/>
              <w:bidi w:val="0"/>
              <w:adjustRightInd w:val="0"/>
              <w:snapToGrid w:val="0"/>
              <w:spacing w:before="78" w:line="219" w:lineRule="auto"/>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评价范围</w:t>
            </w:r>
          </w:p>
        </w:tc>
        <w:tc>
          <w:tcPr>
            <w:tcW w:w="7136" w:type="dxa"/>
            <w:tcBorders>
              <w:right w:val="nil"/>
            </w:tcBorders>
            <w:vAlign w:val="center"/>
          </w:tcPr>
          <w:p w14:paraId="375F4842">
            <w:pPr>
              <w:pStyle w:val="10"/>
              <w:keepNext w:val="0"/>
              <w:keepLines/>
              <w:pageBreakBefore w:val="0"/>
              <w:wordWrap/>
              <w:overflowPunct w:val="0"/>
              <w:topLinePunct w:val="0"/>
              <w:autoSpaceDE w:val="0"/>
              <w:autoSpaceDN w:val="0"/>
              <w:bidi w:val="0"/>
              <w:adjustRightInd w:val="0"/>
              <w:snapToGrid w:val="0"/>
              <w:spacing w:before="38" w:line="303" w:lineRule="auto"/>
              <w:ind w:right="151"/>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2024年度庆阳市生态环境局</w:t>
            </w:r>
            <w:r>
              <w:rPr>
                <w:rFonts w:hint="eastAsia" w:asciiTheme="minorEastAsia" w:hAnsiTheme="minorEastAsia" w:eastAsiaTheme="minorEastAsia" w:cstheme="minorEastAsia"/>
                <w:spacing w:val="0"/>
                <w:sz w:val="24"/>
                <w:szCs w:val="24"/>
                <w:lang w:eastAsia="zh-CN"/>
              </w:rPr>
              <w:t>合水</w:t>
            </w:r>
            <w:r>
              <w:rPr>
                <w:rFonts w:hint="eastAsia" w:asciiTheme="minorEastAsia" w:hAnsiTheme="minorEastAsia" w:eastAsiaTheme="minorEastAsia" w:cstheme="minorEastAsia"/>
                <w:spacing w:val="0"/>
                <w:sz w:val="24"/>
                <w:szCs w:val="24"/>
                <w:lang w:val="en-US" w:eastAsia="zh-CN"/>
              </w:rPr>
              <w:t>分局</w:t>
            </w:r>
            <w:r>
              <w:rPr>
                <w:rFonts w:hint="eastAsia" w:asciiTheme="minorEastAsia" w:hAnsiTheme="minorEastAsia" w:eastAsiaTheme="minorEastAsia" w:cstheme="minorEastAsia"/>
                <w:spacing w:val="0"/>
                <w:sz w:val="24"/>
                <w:szCs w:val="24"/>
              </w:rPr>
              <w:t>部门整体支出绩效评价</w:t>
            </w:r>
          </w:p>
        </w:tc>
      </w:tr>
      <w:tr w14:paraId="30B5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 w:hRule="atLeast"/>
        </w:trPr>
        <w:tc>
          <w:tcPr>
            <w:tcW w:w="1393" w:type="dxa"/>
            <w:tcBorders>
              <w:left w:val="nil"/>
            </w:tcBorders>
            <w:vAlign w:val="center"/>
          </w:tcPr>
          <w:p w14:paraId="6A1272BF">
            <w:pPr>
              <w:pStyle w:val="10"/>
              <w:keepNext w:val="0"/>
              <w:keepLines/>
              <w:pageBreakBefore w:val="0"/>
              <w:widowControl/>
              <w:kinsoku/>
              <w:wordWrap/>
              <w:overflowPunct w:val="0"/>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评价依据</w:t>
            </w:r>
          </w:p>
        </w:tc>
        <w:tc>
          <w:tcPr>
            <w:tcW w:w="7136" w:type="dxa"/>
            <w:tcBorders>
              <w:right w:val="nil"/>
            </w:tcBorders>
            <w:vAlign w:val="top"/>
          </w:tcPr>
          <w:p w14:paraId="0A675F1D">
            <w:pPr>
              <w:pStyle w:val="10"/>
              <w:keepNext w:val="0"/>
              <w:keepLines/>
              <w:pageBreakBefore w:val="0"/>
              <w:widowControl w:val="0"/>
              <w:kinsoku/>
              <w:wordWrap/>
              <w:overflowPunct w:val="0"/>
              <w:topLinePunct w:val="0"/>
              <w:autoSpaceDE w:val="0"/>
              <w:autoSpaceDN w:val="0"/>
              <w:bidi w:val="0"/>
              <w:adjustRightInd w:val="0"/>
              <w:snapToGrid w:val="0"/>
              <w:spacing w:line="400" w:lineRule="exact"/>
              <w:ind w:left="42" w:leftChars="2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1.《中华人民共和国预算法》；</w:t>
            </w:r>
          </w:p>
          <w:p w14:paraId="423F2509">
            <w:pPr>
              <w:pStyle w:val="10"/>
              <w:keepNext w:val="0"/>
              <w:keepLines/>
              <w:pageBreakBefore w:val="0"/>
              <w:widowControl w:val="0"/>
              <w:kinsoku/>
              <w:wordWrap/>
              <w:overflowPunct w:val="0"/>
              <w:topLinePunct w:val="0"/>
              <w:autoSpaceDE w:val="0"/>
              <w:autoSpaceDN w:val="0"/>
              <w:bidi w:val="0"/>
              <w:adjustRightInd w:val="0"/>
              <w:snapToGrid w:val="0"/>
              <w:spacing w:line="400" w:lineRule="exact"/>
              <w:ind w:left="42" w:leftChars="2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2.《中共中央国务院关于全面实施预算绩效管理的管理》（中发〔2018〕34号）；</w:t>
            </w:r>
          </w:p>
          <w:p w14:paraId="78ADBC98">
            <w:pPr>
              <w:pStyle w:val="10"/>
              <w:keepNext w:val="0"/>
              <w:keepLines/>
              <w:pageBreakBefore w:val="0"/>
              <w:widowControl w:val="0"/>
              <w:kinsoku/>
              <w:wordWrap/>
              <w:overflowPunct w:val="0"/>
              <w:topLinePunct w:val="0"/>
              <w:autoSpaceDE w:val="0"/>
              <w:autoSpaceDN w:val="0"/>
              <w:bidi w:val="0"/>
              <w:adjustRightInd w:val="0"/>
              <w:snapToGrid w:val="0"/>
              <w:spacing w:line="400" w:lineRule="exact"/>
              <w:ind w:left="42" w:leftChars="2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3.《财政部关于印发〈项目支出绩效评价管理办法〉的通知》（财预〔2020〕10号）；</w:t>
            </w:r>
          </w:p>
          <w:p w14:paraId="4779F297">
            <w:pPr>
              <w:pStyle w:val="10"/>
              <w:keepNext w:val="0"/>
              <w:keepLines/>
              <w:pageBreakBefore w:val="0"/>
              <w:widowControl w:val="0"/>
              <w:kinsoku/>
              <w:wordWrap/>
              <w:overflowPunct w:val="0"/>
              <w:topLinePunct w:val="0"/>
              <w:autoSpaceDE w:val="0"/>
              <w:autoSpaceDN w:val="0"/>
              <w:bidi w:val="0"/>
              <w:adjustRightInd w:val="0"/>
              <w:snapToGrid w:val="0"/>
              <w:spacing w:line="400" w:lineRule="exact"/>
              <w:ind w:left="42" w:leftChars="2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4.《中共中央国务院关于全面实施预算绩效管理的意见》（中发〔2018〕34号）；</w:t>
            </w:r>
          </w:p>
          <w:p w14:paraId="02E8F96B">
            <w:pPr>
              <w:pStyle w:val="10"/>
              <w:keepNext w:val="0"/>
              <w:keepLines/>
              <w:pageBreakBefore w:val="0"/>
              <w:widowControl w:val="0"/>
              <w:kinsoku/>
              <w:wordWrap/>
              <w:overflowPunct w:val="0"/>
              <w:topLinePunct w:val="0"/>
              <w:autoSpaceDE w:val="0"/>
              <w:autoSpaceDN w:val="0"/>
              <w:bidi w:val="0"/>
              <w:adjustRightInd w:val="0"/>
              <w:snapToGrid w:val="0"/>
              <w:spacing w:line="400" w:lineRule="exact"/>
              <w:ind w:left="42" w:leftChars="2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5.中共甘肃省委甘肃省人民政府《关于全面实施预算绩效管理的实施意见》（甘发〔2018〕32号）；</w:t>
            </w:r>
          </w:p>
          <w:p w14:paraId="33D58574">
            <w:pPr>
              <w:pStyle w:val="10"/>
              <w:keepNext w:val="0"/>
              <w:keepLines/>
              <w:pageBreakBefore w:val="0"/>
              <w:widowControl w:val="0"/>
              <w:kinsoku/>
              <w:wordWrap/>
              <w:overflowPunct w:val="0"/>
              <w:topLinePunct w:val="0"/>
              <w:autoSpaceDE w:val="0"/>
              <w:autoSpaceDN w:val="0"/>
              <w:bidi w:val="0"/>
              <w:adjustRightInd w:val="0"/>
              <w:snapToGrid w:val="0"/>
              <w:spacing w:line="400" w:lineRule="exact"/>
              <w:ind w:left="42" w:leftChars="20" w:right="0" w:firstLine="480" w:firstLineChars="200"/>
              <w:jc w:val="both"/>
              <w:textAlignment w:val="baseline"/>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6.《甘肃省财政厅关于印发预算绩效管理工作成效量化评分标准的通知》（甘财绩〔2025〕3号）；</w:t>
            </w:r>
          </w:p>
          <w:p w14:paraId="5D24E64A">
            <w:pPr>
              <w:pStyle w:val="10"/>
              <w:keepNext w:val="0"/>
              <w:keepLines/>
              <w:pageBreakBefore w:val="0"/>
              <w:widowControl w:val="0"/>
              <w:kinsoku/>
              <w:wordWrap/>
              <w:overflowPunct w:val="0"/>
              <w:topLinePunct w:val="0"/>
              <w:autoSpaceDE w:val="0"/>
              <w:autoSpaceDN w:val="0"/>
              <w:bidi w:val="0"/>
              <w:adjustRightInd w:val="0"/>
              <w:snapToGrid w:val="0"/>
              <w:spacing w:line="400" w:lineRule="exact"/>
              <w:ind w:left="42" w:leftChars="2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7</w:t>
            </w:r>
            <w:r>
              <w:rPr>
                <w:rFonts w:hint="eastAsia" w:asciiTheme="minorEastAsia" w:hAnsiTheme="minorEastAsia" w:eastAsiaTheme="minorEastAsia" w:cstheme="minorEastAsia"/>
                <w:spacing w:val="0"/>
                <w:sz w:val="24"/>
                <w:szCs w:val="24"/>
              </w:rPr>
              <w:t>.《中共合水县委合水县人民政府关于进一步加强预算绩效管理工作的实施意见》（合发〔2024〕7号）；</w:t>
            </w:r>
          </w:p>
          <w:p w14:paraId="4CAEC29D">
            <w:pPr>
              <w:pStyle w:val="10"/>
              <w:keepNext w:val="0"/>
              <w:keepLines/>
              <w:pageBreakBefore w:val="0"/>
              <w:widowControl w:val="0"/>
              <w:kinsoku/>
              <w:wordWrap/>
              <w:overflowPunct w:val="0"/>
              <w:topLinePunct w:val="0"/>
              <w:autoSpaceDE w:val="0"/>
              <w:autoSpaceDN w:val="0"/>
              <w:bidi w:val="0"/>
              <w:adjustRightInd w:val="0"/>
              <w:snapToGrid w:val="0"/>
              <w:spacing w:line="400" w:lineRule="exact"/>
              <w:ind w:left="42" w:leftChars="20" w:right="0" w:firstLine="480" w:firstLineChars="200"/>
              <w:jc w:val="both"/>
              <w:textAlignment w:val="baseline"/>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w:t>
            </w:r>
            <w:r>
              <w:rPr>
                <w:rFonts w:hint="eastAsia" w:asciiTheme="minorEastAsia" w:hAnsiTheme="minorEastAsia" w:eastAsiaTheme="minorEastAsia" w:cstheme="minorEastAsia"/>
                <w:spacing w:val="0"/>
                <w:sz w:val="24"/>
                <w:szCs w:val="24"/>
              </w:rPr>
              <w:t>.《关于开展2025年部门和财政重点绩效评价评估工作的通知》（合财发〔2025〕59号）</w:t>
            </w:r>
            <w:r>
              <w:rPr>
                <w:rFonts w:hint="eastAsia" w:asciiTheme="minorEastAsia" w:hAnsiTheme="minorEastAsia" w:eastAsiaTheme="minorEastAsia" w:cstheme="minorEastAsia"/>
                <w:spacing w:val="0"/>
                <w:sz w:val="24"/>
                <w:szCs w:val="24"/>
                <w:lang w:eastAsia="zh-CN"/>
              </w:rPr>
              <w:t>。</w:t>
            </w:r>
          </w:p>
        </w:tc>
      </w:tr>
      <w:tr w14:paraId="46B19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1393" w:type="dxa"/>
            <w:tcBorders>
              <w:left w:val="nil"/>
            </w:tcBorders>
            <w:vAlign w:val="center"/>
          </w:tcPr>
          <w:p w14:paraId="6D0697B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绩效评价指标体系</w:t>
            </w:r>
          </w:p>
        </w:tc>
        <w:tc>
          <w:tcPr>
            <w:tcW w:w="7136" w:type="dxa"/>
            <w:tcBorders>
              <w:right w:val="nil"/>
            </w:tcBorders>
            <w:vAlign w:val="center"/>
          </w:tcPr>
          <w:p w14:paraId="1F1E9C00">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right="0" w:firstLine="480" w:firstLineChars="200"/>
              <w:jc w:val="both"/>
              <w:textAlignment w:val="baseline"/>
              <w:rPr>
                <w:rFonts w:hint="eastAsia"/>
                <w:spacing w:val="0"/>
              </w:rPr>
            </w:pPr>
            <w:r>
              <w:rPr>
                <w:rFonts w:hint="eastAsia" w:asciiTheme="minorEastAsia" w:hAnsiTheme="minorEastAsia" w:eastAsiaTheme="minorEastAsia" w:cstheme="minorEastAsia"/>
                <w:spacing w:val="0"/>
                <w:sz w:val="24"/>
                <w:szCs w:val="24"/>
              </w:rPr>
              <w:t>围绕部门规划、运行成本、管理效率、履职效能、社会效应、可持续发展能力、服务对象满意度等七个维度构建绩效评价指标体系，其中</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一级指标</w:t>
            </w:r>
            <w:r>
              <w:rPr>
                <w:rFonts w:hint="eastAsia" w:asciiTheme="minorEastAsia" w:hAnsiTheme="minorEastAsia" w:eastAsiaTheme="minorEastAsia" w:cstheme="minorEastAsia"/>
                <w:spacing w:val="0"/>
                <w:sz w:val="24"/>
                <w:szCs w:val="24"/>
                <w:lang w:val="en-US" w:eastAsia="zh-CN"/>
              </w:rPr>
              <w:t>7</w:t>
            </w:r>
            <w:r>
              <w:rPr>
                <w:rFonts w:hint="eastAsia" w:asciiTheme="minorEastAsia" w:hAnsiTheme="minorEastAsia" w:eastAsiaTheme="minorEastAsia" w:cstheme="minorEastAsia"/>
                <w:spacing w:val="0"/>
                <w:sz w:val="24"/>
                <w:szCs w:val="24"/>
              </w:rPr>
              <w:t>个、二级指标1</w:t>
            </w:r>
            <w:r>
              <w:rPr>
                <w:rFonts w:hint="eastAsia" w:asciiTheme="minorEastAsia" w:hAnsiTheme="minorEastAsia" w:eastAsiaTheme="minorEastAsia" w:cstheme="minorEastAsia"/>
                <w:spacing w:val="0"/>
                <w:sz w:val="24"/>
                <w:szCs w:val="24"/>
                <w:lang w:val="en-US" w:eastAsia="zh-CN"/>
              </w:rPr>
              <w:t>3</w:t>
            </w:r>
            <w:r>
              <w:rPr>
                <w:rFonts w:hint="eastAsia" w:asciiTheme="minorEastAsia" w:hAnsiTheme="minorEastAsia" w:eastAsiaTheme="minorEastAsia" w:cstheme="minorEastAsia"/>
                <w:spacing w:val="0"/>
                <w:sz w:val="24"/>
                <w:szCs w:val="24"/>
              </w:rPr>
              <w:t>个、三级指标</w:t>
            </w:r>
            <w:r>
              <w:rPr>
                <w:rFonts w:hint="eastAsia" w:asciiTheme="minorEastAsia" w:hAnsiTheme="minorEastAsia" w:eastAsiaTheme="minorEastAsia" w:cstheme="minorEastAsia"/>
                <w:spacing w:val="0"/>
                <w:sz w:val="24"/>
                <w:szCs w:val="24"/>
                <w:lang w:val="en-US" w:eastAsia="zh-CN"/>
              </w:rPr>
              <w:t>32</w:t>
            </w:r>
            <w:r>
              <w:rPr>
                <w:rFonts w:hint="eastAsia" w:asciiTheme="minorEastAsia" w:hAnsiTheme="minorEastAsia" w:eastAsiaTheme="minorEastAsia" w:cstheme="minorEastAsia"/>
                <w:spacing w:val="0"/>
                <w:sz w:val="24"/>
                <w:szCs w:val="24"/>
              </w:rPr>
              <w:t xml:space="preserve">个。部门规划等一级指标占比分别为 </w:t>
            </w:r>
            <w:r>
              <w:rPr>
                <w:rFonts w:hint="eastAsia" w:asciiTheme="minorEastAsia" w:hAnsiTheme="minorEastAsia" w:eastAsiaTheme="minorEastAsia" w:cstheme="minorEastAsia"/>
                <w:spacing w:val="0"/>
                <w:sz w:val="24"/>
                <w:szCs w:val="24"/>
                <w:lang w:val="en-US" w:eastAsia="zh-CN"/>
              </w:rPr>
              <w:t>12</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27</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26</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5</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pacing w:val="0"/>
                <w:sz w:val="24"/>
                <w:szCs w:val="24"/>
                <w:lang w:val="en-US" w:eastAsia="zh-CN"/>
              </w:rPr>
              <w:t>10</w:t>
            </w:r>
            <w:r>
              <w:rPr>
                <w:rFonts w:hint="eastAsia" w:asciiTheme="minorEastAsia" w:hAnsiTheme="minorEastAsia" w:eastAsiaTheme="minorEastAsia" w:cstheme="minorEastAsia"/>
                <w:spacing w:val="0"/>
                <w:sz w:val="24"/>
                <w:szCs w:val="24"/>
              </w:rPr>
              <w:t>%。</w:t>
            </w:r>
          </w:p>
        </w:tc>
      </w:tr>
      <w:tr w14:paraId="2CC81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393" w:type="dxa"/>
            <w:tcBorders>
              <w:left w:val="nil"/>
            </w:tcBorders>
            <w:vAlign w:val="center"/>
          </w:tcPr>
          <w:p w14:paraId="590B79C0">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评价方法</w:t>
            </w:r>
          </w:p>
        </w:tc>
        <w:tc>
          <w:tcPr>
            <w:tcW w:w="7136" w:type="dxa"/>
            <w:tcBorders>
              <w:right w:val="nil"/>
            </w:tcBorders>
            <w:vAlign w:val="center"/>
          </w:tcPr>
          <w:p w14:paraId="532BE00F">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目标管理法、因素分析法、标杆管理法、比较法。</w:t>
            </w:r>
          </w:p>
        </w:tc>
      </w:tr>
      <w:tr w14:paraId="5B646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393" w:type="dxa"/>
            <w:tcBorders>
              <w:left w:val="nil"/>
            </w:tcBorders>
            <w:vAlign w:val="center"/>
          </w:tcPr>
          <w:p w14:paraId="43DFCB9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b/>
                <w:bCs/>
                <w:spacing w:val="0"/>
                <w:sz w:val="24"/>
                <w:szCs w:val="24"/>
              </w:rPr>
            </w:pPr>
            <w:r>
              <w:rPr>
                <w:b/>
                <w:bCs/>
                <w:spacing w:val="0"/>
              </w:rPr>
              <w:t>数据采集及处理办法</w:t>
            </w:r>
          </w:p>
        </w:tc>
        <w:tc>
          <w:tcPr>
            <w:tcW w:w="7136" w:type="dxa"/>
            <w:tcBorders>
              <w:right w:val="nil"/>
            </w:tcBorders>
            <w:vAlign w:val="center"/>
          </w:tcPr>
          <w:p w14:paraId="58423AA5">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right="0" w:firstLine="480" w:firstLineChars="20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信息与数据收集采取抽样调查、现场调研、结构式访等方式进行，数据处理采取统计分析方法开展。</w:t>
            </w:r>
          </w:p>
        </w:tc>
      </w:tr>
      <w:tr w14:paraId="128A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393" w:type="dxa"/>
            <w:tcBorders>
              <w:left w:val="nil"/>
            </w:tcBorders>
            <w:vAlign w:val="center"/>
          </w:tcPr>
          <w:p w14:paraId="7A26A088">
            <w:pPr>
              <w:pStyle w:val="10"/>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b/>
                <w:bCs/>
                <w:spacing w:val="0"/>
              </w:rPr>
            </w:pPr>
            <w:r>
              <w:rPr>
                <w:b/>
                <w:bCs/>
                <w:spacing w:val="0"/>
              </w:rPr>
              <w:t>绩效评价工作过程</w:t>
            </w:r>
          </w:p>
        </w:tc>
        <w:tc>
          <w:tcPr>
            <w:tcW w:w="7136" w:type="dxa"/>
            <w:tcBorders>
              <w:right w:val="nil"/>
            </w:tcBorders>
            <w:vAlign w:val="center"/>
          </w:tcPr>
          <w:p w14:paraId="1733217E">
            <w:pPr>
              <w:pStyle w:val="10"/>
              <w:keepNext w:val="0"/>
              <w:keepLines w:val="0"/>
              <w:pageBreakBefore w:val="0"/>
              <w:widowControl w:val="0"/>
              <w:kinsoku/>
              <w:wordWrap/>
              <w:overflowPunct w:val="0"/>
              <w:topLinePunct/>
              <w:autoSpaceDE/>
              <w:autoSpaceDN/>
              <w:bidi w:val="0"/>
              <w:adjustRightInd w:val="0"/>
              <w:snapToGrid w:val="0"/>
              <w:spacing w:line="400" w:lineRule="exact"/>
              <w:ind w:left="42" w:leftChars="20" w:right="0" w:firstLine="480" w:firstLineChars="200"/>
              <w:jc w:val="both"/>
              <w:textAlignment w:val="baseline"/>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rPr>
              <w:t>接受委托任务、</w:t>
            </w:r>
            <w:r>
              <w:rPr>
                <w:rFonts w:hint="eastAsia" w:asciiTheme="minorEastAsia" w:hAnsiTheme="minorEastAsia" w:eastAsiaTheme="minorEastAsia" w:cstheme="minorEastAsia"/>
                <w:spacing w:val="0"/>
                <w:sz w:val="24"/>
                <w:szCs w:val="24"/>
                <w:lang w:eastAsia="zh-CN"/>
              </w:rPr>
              <w:t>拟订方案</w:t>
            </w:r>
            <w:r>
              <w:rPr>
                <w:rFonts w:hint="eastAsia" w:asciiTheme="minorEastAsia" w:hAnsiTheme="minorEastAsia" w:eastAsiaTheme="minorEastAsia" w:cstheme="minorEastAsia"/>
                <w:spacing w:val="0"/>
                <w:sz w:val="24"/>
                <w:szCs w:val="24"/>
              </w:rPr>
              <w:t>、开展培训、现场评价、撰写报告、资料归档</w:t>
            </w:r>
            <w:r>
              <w:rPr>
                <w:rFonts w:hint="eastAsia" w:asciiTheme="minorEastAsia" w:hAnsiTheme="minorEastAsia" w:eastAsiaTheme="minorEastAsia" w:cstheme="minorEastAsia"/>
                <w:spacing w:val="0"/>
                <w:sz w:val="24"/>
                <w:szCs w:val="24"/>
                <w:lang w:eastAsia="zh-CN"/>
              </w:rPr>
              <w:t>。</w:t>
            </w:r>
          </w:p>
        </w:tc>
      </w:tr>
    </w:tbl>
    <w:p w14:paraId="12ABA30F">
      <w:pPr>
        <w:pStyle w:val="2"/>
        <w:spacing w:before="238" w:line="219" w:lineRule="auto"/>
        <w:ind w:left="2971"/>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四、评价结论和绩效分析</w:t>
      </w:r>
    </w:p>
    <w:p w14:paraId="5945FE5F">
      <w:pPr>
        <w:spacing w:line="124" w:lineRule="exact"/>
        <w:rPr>
          <w:rFonts w:hint="eastAsia" w:asciiTheme="minorEastAsia" w:hAnsiTheme="minorEastAsia" w:eastAsiaTheme="minorEastAsia" w:cstheme="minorEastAsia"/>
          <w:spacing w:val="0"/>
          <w:sz w:val="24"/>
          <w:szCs w:val="24"/>
        </w:rPr>
      </w:pPr>
    </w:p>
    <w:tbl>
      <w:tblPr>
        <w:tblStyle w:val="9"/>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925"/>
        <w:gridCol w:w="912"/>
        <w:gridCol w:w="696"/>
        <w:gridCol w:w="756"/>
        <w:gridCol w:w="672"/>
        <w:gridCol w:w="960"/>
        <w:gridCol w:w="1080"/>
        <w:gridCol w:w="996"/>
        <w:gridCol w:w="830"/>
      </w:tblGrid>
      <w:tr w14:paraId="40B1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702" w:type="dxa"/>
            <w:tcBorders>
              <w:left w:val="nil"/>
            </w:tcBorders>
            <w:vAlign w:val="center"/>
          </w:tcPr>
          <w:p w14:paraId="08AA7ECA">
            <w:pPr>
              <w:pStyle w:val="10"/>
              <w:spacing w:before="117" w:line="220" w:lineRule="auto"/>
              <w:ind w:left="146"/>
              <w:jc w:val="center"/>
              <w:rPr>
                <w:rFonts w:hint="eastAsia" w:asciiTheme="minorEastAsia" w:hAnsiTheme="minorEastAsia" w:eastAsiaTheme="minorEastAsia" w:cstheme="minorEastAsia"/>
                <w:spacing w:val="0"/>
                <w:sz w:val="24"/>
                <w:szCs w:val="24"/>
              </w:rPr>
            </w:pPr>
            <w:r>
              <w:rPr>
                <w:b/>
                <w:bCs/>
                <w:spacing w:val="-6"/>
              </w:rPr>
              <w:t>综合评价结论</w:t>
            </w:r>
          </w:p>
        </w:tc>
        <w:tc>
          <w:tcPr>
            <w:tcW w:w="1837" w:type="dxa"/>
            <w:gridSpan w:val="2"/>
            <w:vAlign w:val="center"/>
          </w:tcPr>
          <w:p w14:paraId="45670BCB">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评价得分</w:t>
            </w:r>
          </w:p>
        </w:tc>
        <w:tc>
          <w:tcPr>
            <w:tcW w:w="2124" w:type="dxa"/>
            <w:gridSpan w:val="3"/>
            <w:vAlign w:val="center"/>
          </w:tcPr>
          <w:p w14:paraId="2D1E3793">
            <w:pPr>
              <w:pStyle w:val="10"/>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p w14:paraId="0D5E9CB2">
            <w:pPr>
              <w:pStyle w:val="10"/>
              <w:spacing w:before="78" w:line="183" w:lineRule="auto"/>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87.83分</w:t>
            </w:r>
          </w:p>
          <w:p w14:paraId="0D8C4482">
            <w:pPr>
              <w:pStyle w:val="10"/>
              <w:spacing w:before="78" w:line="183" w:lineRule="auto"/>
              <w:ind w:left="714"/>
              <w:jc w:val="center"/>
              <w:rPr>
                <w:rFonts w:hint="eastAsia" w:asciiTheme="minorEastAsia" w:hAnsiTheme="minorEastAsia" w:eastAsiaTheme="minorEastAsia" w:cstheme="minorEastAsia"/>
                <w:spacing w:val="0"/>
                <w:sz w:val="24"/>
                <w:szCs w:val="24"/>
                <w:lang w:val="en-US" w:eastAsia="zh-CN"/>
              </w:rPr>
            </w:pPr>
          </w:p>
        </w:tc>
        <w:tc>
          <w:tcPr>
            <w:tcW w:w="2040" w:type="dxa"/>
            <w:gridSpan w:val="2"/>
            <w:vAlign w:val="center"/>
          </w:tcPr>
          <w:p w14:paraId="0722B496">
            <w:pPr>
              <w:pStyle w:val="10"/>
              <w:spacing w:before="78" w:line="219"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评价等级</w:t>
            </w:r>
          </w:p>
        </w:tc>
        <w:tc>
          <w:tcPr>
            <w:tcW w:w="1826" w:type="dxa"/>
            <w:gridSpan w:val="2"/>
            <w:tcBorders>
              <w:right w:val="nil"/>
            </w:tcBorders>
            <w:vAlign w:val="center"/>
          </w:tcPr>
          <w:p w14:paraId="6BE09941">
            <w:pPr>
              <w:pStyle w:val="10"/>
              <w:spacing w:before="78" w:line="182" w:lineRule="auto"/>
              <w:jc w:val="center"/>
              <w:rPr>
                <w:rFonts w:hint="eastAsia" w:asciiTheme="minorEastAsia" w:hAnsiTheme="minorEastAsia" w:eastAsiaTheme="minorEastAsia" w:cstheme="minorEastAsia"/>
                <w:spacing w:val="0"/>
                <w:sz w:val="24"/>
                <w:szCs w:val="24"/>
                <w:lang w:val="en-US" w:eastAsia="zh-CN"/>
              </w:rPr>
            </w:pPr>
          </w:p>
          <w:p w14:paraId="212A363F">
            <w:pPr>
              <w:pStyle w:val="10"/>
              <w:spacing w:before="78" w:line="182" w:lineRule="auto"/>
              <w:jc w:val="center"/>
              <w:rPr>
                <w:rFonts w:hint="default"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良</w:t>
            </w:r>
          </w:p>
          <w:p w14:paraId="66253B33">
            <w:pPr>
              <w:pStyle w:val="10"/>
              <w:spacing w:before="78" w:line="182" w:lineRule="auto"/>
              <w:jc w:val="center"/>
              <w:rPr>
                <w:rFonts w:hint="eastAsia" w:asciiTheme="minorEastAsia" w:hAnsiTheme="minorEastAsia" w:eastAsiaTheme="minorEastAsia" w:cstheme="minorEastAsia"/>
                <w:spacing w:val="0"/>
                <w:sz w:val="24"/>
                <w:szCs w:val="24"/>
                <w:lang w:val="en-US" w:eastAsia="zh-CN"/>
              </w:rPr>
            </w:pPr>
          </w:p>
        </w:tc>
      </w:tr>
      <w:tr w14:paraId="55DD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702" w:type="dxa"/>
            <w:vMerge w:val="restart"/>
            <w:tcBorders>
              <w:left w:val="nil"/>
              <w:bottom w:val="nil"/>
            </w:tcBorders>
            <w:vAlign w:val="center"/>
          </w:tcPr>
          <w:p w14:paraId="193A2183">
            <w:pPr>
              <w:pStyle w:val="10"/>
              <w:spacing w:before="78" w:line="220" w:lineRule="auto"/>
              <w:jc w:val="center"/>
            </w:pPr>
            <w:r>
              <w:rPr>
                <w:rFonts w:hint="eastAsia"/>
                <w:b/>
                <w:bCs/>
                <w:spacing w:val="-6"/>
                <w:lang w:eastAsia="zh-CN"/>
              </w:rPr>
              <w:t>绩</w:t>
            </w:r>
            <w:r>
              <w:rPr>
                <w:b/>
                <w:bCs/>
                <w:spacing w:val="-6"/>
              </w:rPr>
              <w:t>效</w:t>
            </w:r>
          </w:p>
          <w:p w14:paraId="4257DBB2">
            <w:pPr>
              <w:pStyle w:val="10"/>
              <w:spacing w:before="78" w:line="230" w:lineRule="auto"/>
              <w:ind w:right="109"/>
              <w:jc w:val="center"/>
              <w:rPr>
                <w:rFonts w:hint="eastAsia" w:asciiTheme="minorEastAsia" w:hAnsiTheme="minorEastAsia" w:eastAsiaTheme="minorEastAsia" w:cstheme="minorEastAsia"/>
                <w:spacing w:val="0"/>
                <w:sz w:val="24"/>
                <w:szCs w:val="24"/>
              </w:rPr>
            </w:pPr>
            <w:r>
              <w:rPr>
                <w:b/>
                <w:bCs/>
                <w:spacing w:val="-5"/>
              </w:rPr>
              <w:t>分析</w:t>
            </w:r>
          </w:p>
        </w:tc>
        <w:tc>
          <w:tcPr>
            <w:tcW w:w="925" w:type="dxa"/>
            <w:vAlign w:val="center"/>
          </w:tcPr>
          <w:p w14:paraId="4DFEE862">
            <w:pPr>
              <w:pStyle w:val="10"/>
              <w:spacing w:before="78" w:line="221" w:lineRule="auto"/>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指标</w:t>
            </w:r>
          </w:p>
        </w:tc>
        <w:tc>
          <w:tcPr>
            <w:tcW w:w="912" w:type="dxa"/>
            <w:vAlign w:val="center"/>
          </w:tcPr>
          <w:p w14:paraId="303DEACB">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部门</w:t>
            </w:r>
          </w:p>
          <w:p w14:paraId="6FA6F1B0">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规划</w:t>
            </w:r>
          </w:p>
        </w:tc>
        <w:tc>
          <w:tcPr>
            <w:tcW w:w="696" w:type="dxa"/>
            <w:vAlign w:val="center"/>
          </w:tcPr>
          <w:p w14:paraId="53F34F75">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运行</w:t>
            </w:r>
          </w:p>
          <w:p w14:paraId="5282F746">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成本</w:t>
            </w:r>
          </w:p>
        </w:tc>
        <w:tc>
          <w:tcPr>
            <w:tcW w:w="756" w:type="dxa"/>
            <w:vAlign w:val="center"/>
          </w:tcPr>
          <w:p w14:paraId="161F1ED2">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管理</w:t>
            </w:r>
          </w:p>
          <w:p w14:paraId="1113C672">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效率</w:t>
            </w:r>
          </w:p>
        </w:tc>
        <w:tc>
          <w:tcPr>
            <w:tcW w:w="672" w:type="dxa"/>
            <w:vAlign w:val="center"/>
          </w:tcPr>
          <w:p w14:paraId="46381FF0">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履职</w:t>
            </w:r>
          </w:p>
          <w:p w14:paraId="690BEEBF">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效能</w:t>
            </w:r>
          </w:p>
        </w:tc>
        <w:tc>
          <w:tcPr>
            <w:tcW w:w="960" w:type="dxa"/>
            <w:vAlign w:val="center"/>
          </w:tcPr>
          <w:p w14:paraId="069193B5">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社会</w:t>
            </w:r>
          </w:p>
          <w:p w14:paraId="32ED4493">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效益</w:t>
            </w:r>
          </w:p>
        </w:tc>
        <w:tc>
          <w:tcPr>
            <w:tcW w:w="1080" w:type="dxa"/>
            <w:vAlign w:val="center"/>
          </w:tcPr>
          <w:p w14:paraId="57EBCBDA">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可持续</w:t>
            </w:r>
          </w:p>
          <w:p w14:paraId="77763604">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发展能力</w:t>
            </w:r>
          </w:p>
        </w:tc>
        <w:tc>
          <w:tcPr>
            <w:tcW w:w="996" w:type="dxa"/>
            <w:vAlign w:val="center"/>
          </w:tcPr>
          <w:p w14:paraId="67CCD9C3">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服务对象满意度</w:t>
            </w:r>
          </w:p>
        </w:tc>
        <w:tc>
          <w:tcPr>
            <w:tcW w:w="830" w:type="dxa"/>
            <w:tcBorders>
              <w:right w:val="nil"/>
            </w:tcBorders>
            <w:vAlign w:val="center"/>
          </w:tcPr>
          <w:p w14:paraId="2DB24984">
            <w:pPr>
              <w:pStyle w:val="10"/>
              <w:spacing w:before="23" w:line="205" w:lineRule="auto"/>
              <w:jc w:val="center"/>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合计</w:t>
            </w:r>
          </w:p>
        </w:tc>
      </w:tr>
      <w:tr w14:paraId="49D57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702" w:type="dxa"/>
            <w:vMerge w:val="continue"/>
            <w:tcBorders>
              <w:top w:val="nil"/>
              <w:left w:val="nil"/>
            </w:tcBorders>
            <w:vAlign w:val="center"/>
          </w:tcPr>
          <w:p w14:paraId="5D5C8174">
            <w:pPr>
              <w:jc w:val="center"/>
              <w:rPr>
                <w:rFonts w:hint="eastAsia" w:asciiTheme="minorEastAsia" w:hAnsiTheme="minorEastAsia" w:eastAsiaTheme="minorEastAsia" w:cstheme="minorEastAsia"/>
                <w:spacing w:val="0"/>
                <w:sz w:val="24"/>
                <w:szCs w:val="24"/>
              </w:rPr>
            </w:pPr>
          </w:p>
        </w:tc>
        <w:tc>
          <w:tcPr>
            <w:tcW w:w="925" w:type="dxa"/>
            <w:vAlign w:val="center"/>
          </w:tcPr>
          <w:p w14:paraId="077BB81C">
            <w:pPr>
              <w:pStyle w:val="10"/>
              <w:spacing w:before="174" w:line="284" w:lineRule="auto"/>
              <w:ind w:right="169"/>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得分率</w:t>
            </w:r>
          </w:p>
        </w:tc>
        <w:tc>
          <w:tcPr>
            <w:tcW w:w="912" w:type="dxa"/>
            <w:vAlign w:val="center"/>
          </w:tcPr>
          <w:p w14:paraId="410E4AED">
            <w:pPr>
              <w:pStyle w:val="10"/>
              <w:spacing w:before="65" w:line="270" w:lineRule="exact"/>
              <w:jc w:val="center"/>
              <w:rPr>
                <w:rFonts w:hint="default" w:asciiTheme="minorEastAsia" w:hAnsiTheme="minorEastAsia" w:eastAsiaTheme="minorEastAsia" w:cstheme="minorEastAsia"/>
                <w:spacing w:val="0"/>
                <w:sz w:val="24"/>
                <w:szCs w:val="24"/>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92%</w:t>
            </w:r>
          </w:p>
        </w:tc>
        <w:tc>
          <w:tcPr>
            <w:tcW w:w="696" w:type="dxa"/>
            <w:vAlign w:val="center"/>
          </w:tcPr>
          <w:p w14:paraId="17299B93">
            <w:pPr>
              <w:pStyle w:val="10"/>
              <w:spacing w:before="65" w:line="270"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756" w:type="dxa"/>
            <w:vAlign w:val="center"/>
          </w:tcPr>
          <w:p w14:paraId="6BDA2AA6">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92%</w:t>
            </w:r>
          </w:p>
        </w:tc>
        <w:tc>
          <w:tcPr>
            <w:tcW w:w="672" w:type="dxa"/>
            <w:vAlign w:val="center"/>
          </w:tcPr>
          <w:p w14:paraId="6B7C5C6B">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960" w:type="dxa"/>
            <w:vAlign w:val="center"/>
          </w:tcPr>
          <w:p w14:paraId="28CCF245">
            <w:pPr>
              <w:pStyle w:val="10"/>
              <w:spacing w:before="65" w:line="270"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1080" w:type="dxa"/>
            <w:vAlign w:val="center"/>
          </w:tcPr>
          <w:p w14:paraId="29671117">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996" w:type="dxa"/>
            <w:vAlign w:val="center"/>
          </w:tcPr>
          <w:p w14:paraId="55CF812C">
            <w:pPr>
              <w:pStyle w:val="10"/>
              <w:spacing w:before="65" w:line="269" w:lineRule="exact"/>
              <w:jc w:val="center"/>
              <w:rPr>
                <w:rFonts w:hint="eastAsia" w:asciiTheme="minorEastAsia" w:hAnsiTheme="minorEastAsia" w:eastAsiaTheme="minorEastAsia" w:cstheme="minorEastAsia"/>
                <w:spacing w:val="0"/>
                <w:position w:val="1"/>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830" w:type="dxa"/>
            <w:tcBorders>
              <w:right w:val="nil"/>
            </w:tcBorders>
            <w:vAlign w:val="center"/>
          </w:tcPr>
          <w:p w14:paraId="0614FB7D">
            <w:pPr>
              <w:pStyle w:val="10"/>
              <w:spacing w:before="65" w:line="269" w:lineRule="exact"/>
              <w:jc w:val="center"/>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i w:val="0"/>
                <w:iCs w:val="0"/>
                <w:color w:val="auto"/>
                <w:kern w:val="0"/>
                <w:sz w:val="24"/>
                <w:szCs w:val="24"/>
                <w:u w:val="none"/>
                <w:lang w:val="en-US" w:eastAsia="zh-CN" w:bidi="ar"/>
              </w:rPr>
              <w:t>87.83%</w:t>
            </w:r>
          </w:p>
        </w:tc>
      </w:tr>
    </w:tbl>
    <w:p w14:paraId="12F5AC03">
      <w:pPr>
        <w:pStyle w:val="2"/>
        <w:keepNext/>
        <w:keepLines/>
        <w:pageBreakBefore w:val="0"/>
        <w:widowControl w:val="0"/>
        <w:kinsoku/>
        <w:wordWrap/>
        <w:overflowPunct w:val="0"/>
        <w:topLinePunct/>
        <w:autoSpaceDE/>
        <w:autoSpaceDN/>
        <w:bidi w:val="0"/>
        <w:adjustRightInd w:val="0"/>
        <w:snapToGrid w:val="0"/>
        <w:spacing w:before="238" w:line="219" w:lineRule="auto"/>
        <w:jc w:val="center"/>
        <w:textAlignment w:val="baseline"/>
        <w:rPr>
          <w:rFonts w:hint="eastAsia" w:asciiTheme="minorEastAsia" w:hAnsiTheme="minorEastAsia" w:eastAsiaTheme="minorEastAsia" w:cstheme="minorEastAsia"/>
          <w:b/>
          <w:bCs/>
          <w:spacing w:val="0"/>
          <w:sz w:val="24"/>
          <w:szCs w:val="24"/>
        </w:rPr>
      </w:pPr>
      <w:r>
        <w:rPr>
          <w:rFonts w:hint="eastAsia" w:asciiTheme="minorEastAsia" w:hAnsiTheme="minorEastAsia" w:eastAsiaTheme="minorEastAsia" w:cstheme="minorEastAsia"/>
          <w:b/>
          <w:bCs/>
          <w:spacing w:val="0"/>
          <w:sz w:val="24"/>
          <w:szCs w:val="24"/>
        </w:rPr>
        <w:t>五、存在的问题</w:t>
      </w:r>
    </w:p>
    <w:p w14:paraId="010E9CDE">
      <w:pPr>
        <w:keepNext/>
        <w:keepLines/>
        <w:pageBreakBefore w:val="0"/>
        <w:widowControl w:val="0"/>
        <w:kinsoku/>
        <w:wordWrap/>
        <w:overflowPunct w:val="0"/>
        <w:topLinePunct/>
        <w:autoSpaceDE/>
        <w:autoSpaceDN/>
        <w:bidi w:val="0"/>
        <w:adjustRightInd w:val="0"/>
        <w:snapToGrid w:val="0"/>
        <w:spacing w:line="91" w:lineRule="auto"/>
        <w:textAlignment w:val="baseline"/>
        <w:rPr>
          <w:rFonts w:hint="eastAsia" w:asciiTheme="minorEastAsia" w:hAnsiTheme="minorEastAsia" w:eastAsiaTheme="minorEastAsia" w:cstheme="minorEastAsia"/>
          <w:spacing w:val="0"/>
          <w:sz w:val="24"/>
          <w:szCs w:val="24"/>
        </w:rPr>
      </w:pPr>
    </w:p>
    <w:tbl>
      <w:tblPr>
        <w:tblStyle w:val="9"/>
        <w:tblW w:w="8530" w:type="dxa"/>
        <w:tblInd w:w="0" w:type="dxa"/>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
      <w:tblGrid>
        <w:gridCol w:w="8530"/>
      </w:tblGrid>
      <w:tr w14:paraId="1492D398">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3556" w:hRule="atLeast"/>
        </w:trPr>
        <w:tc>
          <w:tcPr>
            <w:tcW w:w="8530" w:type="dxa"/>
            <w:tcBorders>
              <w:tl2br w:val="nil"/>
              <w:tr2bl w:val="nil"/>
            </w:tcBorders>
            <w:vAlign w:val="center"/>
          </w:tcPr>
          <w:p w14:paraId="4A8902A1">
            <w:pPr>
              <w:pStyle w:val="10"/>
              <w:keepNext w:val="0"/>
              <w:keepLines w:val="0"/>
              <w:pageBreakBefore w:val="0"/>
              <w:widowControl w:val="0"/>
              <w:kinsoku/>
              <w:wordWrap/>
              <w:overflowPunct w:val="0"/>
              <w:topLinePunct w:val="0"/>
              <w:autoSpaceDE w:val="0"/>
              <w:autoSpaceDN w:val="0"/>
              <w:bidi w:val="0"/>
              <w:adjustRightInd w:val="0"/>
              <w:snapToGrid w:val="0"/>
              <w:spacing w:line="400" w:lineRule="exact"/>
              <w:ind w:left="42" w:leftChars="20" w:firstLine="480" w:firstLineChars="200"/>
              <w:jc w:val="left"/>
              <w:textAlignment w:val="baseline"/>
              <w:rPr>
                <w:rFonts w:hint="eastAsia"/>
                <w:spacing w:val="0"/>
                <w:lang w:val="en-US" w:eastAsia="zh-CN"/>
              </w:rPr>
            </w:pPr>
            <w:bookmarkStart w:id="0" w:name="_Toc21567"/>
            <w:r>
              <w:rPr>
                <w:rFonts w:hint="eastAsia"/>
                <w:spacing w:val="0"/>
                <w:lang w:val="en-US" w:eastAsia="zh-CN"/>
              </w:rPr>
              <w:t>1.</w:t>
            </w:r>
            <w:bookmarkEnd w:id="0"/>
            <w:r>
              <w:rPr>
                <w:rFonts w:hint="eastAsia"/>
                <w:spacing w:val="0"/>
                <w:lang w:val="en-US" w:eastAsia="zh-CN"/>
              </w:rPr>
              <w:t>财务管理制度不健全。该局财务管理制度不完整，财务制度中仅对财务审批制度进行规定，财务收支、财务核算、监督、财务信息等方面没有明确；</w:t>
            </w:r>
          </w:p>
          <w:p w14:paraId="70BC5967">
            <w:pPr>
              <w:pStyle w:val="10"/>
              <w:keepNext w:val="0"/>
              <w:keepLines w:val="0"/>
              <w:pageBreakBefore w:val="0"/>
              <w:widowControl w:val="0"/>
              <w:kinsoku/>
              <w:wordWrap/>
              <w:overflowPunct w:val="0"/>
              <w:topLinePunct w:val="0"/>
              <w:autoSpaceDE w:val="0"/>
              <w:autoSpaceDN w:val="0"/>
              <w:bidi w:val="0"/>
              <w:adjustRightInd w:val="0"/>
              <w:snapToGrid w:val="0"/>
              <w:spacing w:line="400" w:lineRule="exact"/>
              <w:ind w:left="42" w:leftChars="20" w:firstLine="480" w:firstLineChars="200"/>
              <w:jc w:val="left"/>
              <w:textAlignment w:val="baseline"/>
              <w:rPr>
                <w:rFonts w:hint="eastAsia"/>
                <w:spacing w:val="0"/>
                <w:lang w:val="en-US" w:eastAsia="zh-CN"/>
              </w:rPr>
            </w:pPr>
            <w:bookmarkStart w:id="1" w:name="_Toc15647"/>
            <w:r>
              <w:rPr>
                <w:rFonts w:hint="eastAsia"/>
                <w:spacing w:val="0"/>
                <w:lang w:val="en-US" w:eastAsia="zh-CN"/>
              </w:rPr>
              <w:t>2.</w:t>
            </w:r>
            <w:bookmarkEnd w:id="1"/>
            <w:r>
              <w:rPr>
                <w:rFonts w:hint="eastAsia"/>
                <w:spacing w:val="0"/>
                <w:lang w:val="en-US" w:eastAsia="zh-CN"/>
              </w:rPr>
              <w:t>生态功能恢复能力有待提升。生态功能恢复监测指标单一，缺乏系统性数据支撑，仅考核了危险废弃物的转移处置数量，废旧地膜的回收数量，无法准确地判断生态功能恢复能力；</w:t>
            </w:r>
          </w:p>
          <w:p w14:paraId="0FF4E03F">
            <w:pPr>
              <w:pStyle w:val="10"/>
              <w:keepNext w:val="0"/>
              <w:keepLines w:val="0"/>
              <w:pageBreakBefore w:val="0"/>
              <w:widowControl w:val="0"/>
              <w:kinsoku/>
              <w:wordWrap/>
              <w:overflowPunct w:val="0"/>
              <w:topLinePunct w:val="0"/>
              <w:autoSpaceDE w:val="0"/>
              <w:autoSpaceDN w:val="0"/>
              <w:bidi w:val="0"/>
              <w:adjustRightInd w:val="0"/>
              <w:snapToGrid w:val="0"/>
              <w:spacing w:line="400" w:lineRule="exact"/>
              <w:ind w:left="42" w:leftChars="20" w:firstLine="480" w:firstLineChars="200"/>
              <w:jc w:val="left"/>
              <w:textAlignment w:val="baseline"/>
              <w:rPr>
                <w:rFonts w:hint="eastAsia"/>
                <w:spacing w:val="0"/>
                <w:lang w:val="en-US" w:eastAsia="zh-CN"/>
              </w:rPr>
            </w:pPr>
            <w:bookmarkStart w:id="2" w:name="_Toc30727"/>
            <w:r>
              <w:rPr>
                <w:rFonts w:hint="eastAsia"/>
                <w:spacing w:val="0"/>
                <w:lang w:val="en-US" w:eastAsia="zh-CN"/>
              </w:rPr>
              <w:t>3.</w:t>
            </w:r>
            <w:bookmarkEnd w:id="2"/>
            <w:bookmarkStart w:id="3" w:name="_Toc6435"/>
            <w:r>
              <w:rPr>
                <w:rFonts w:hint="eastAsia"/>
                <w:spacing w:val="0"/>
                <w:lang w:val="en-US" w:eastAsia="zh-CN"/>
              </w:rPr>
              <w:t>投诉案件未全部处理完结，2024年办理信访投诉7起；2023年中央第三轮生态环境保护督察交办11起案件，已办结10起，正在办理1起；</w:t>
            </w:r>
          </w:p>
          <w:p w14:paraId="5A317C66">
            <w:pPr>
              <w:pStyle w:val="10"/>
              <w:keepNext w:val="0"/>
              <w:keepLines w:val="0"/>
              <w:pageBreakBefore w:val="0"/>
              <w:widowControl w:val="0"/>
              <w:kinsoku/>
              <w:wordWrap/>
              <w:overflowPunct w:val="0"/>
              <w:topLinePunct w:val="0"/>
              <w:autoSpaceDE w:val="0"/>
              <w:autoSpaceDN w:val="0"/>
              <w:bidi w:val="0"/>
              <w:adjustRightInd w:val="0"/>
              <w:snapToGrid w:val="0"/>
              <w:spacing w:line="400" w:lineRule="exact"/>
              <w:ind w:left="42" w:leftChars="20" w:firstLine="480" w:firstLineChars="200"/>
              <w:jc w:val="left"/>
              <w:textAlignment w:val="baseline"/>
              <w:rPr>
                <w:rFonts w:hint="eastAsia"/>
                <w:spacing w:val="0"/>
                <w:lang w:val="en-US" w:eastAsia="zh-CN"/>
              </w:rPr>
            </w:pPr>
            <w:r>
              <w:rPr>
                <w:rFonts w:hint="eastAsia"/>
                <w:spacing w:val="0"/>
                <w:lang w:val="en-US" w:eastAsia="zh-CN"/>
              </w:rPr>
              <w:t>4.</w:t>
            </w:r>
            <w:bookmarkEnd w:id="3"/>
            <w:r>
              <w:rPr>
                <w:rFonts w:hint="eastAsia"/>
                <w:spacing w:val="0"/>
                <w:lang w:val="en-US" w:eastAsia="zh-CN"/>
              </w:rPr>
              <w:t>服务对象满意度有待提升，群众对项目建设评价不高；</w:t>
            </w:r>
          </w:p>
          <w:p w14:paraId="379AB314">
            <w:pPr>
              <w:pStyle w:val="10"/>
              <w:keepNext w:val="0"/>
              <w:keepLines w:val="0"/>
              <w:pageBreakBefore w:val="0"/>
              <w:widowControl w:val="0"/>
              <w:kinsoku/>
              <w:wordWrap/>
              <w:overflowPunct w:val="0"/>
              <w:topLinePunct w:val="0"/>
              <w:autoSpaceDE w:val="0"/>
              <w:autoSpaceDN w:val="0"/>
              <w:bidi w:val="0"/>
              <w:adjustRightInd w:val="0"/>
              <w:snapToGrid w:val="0"/>
              <w:spacing w:line="400" w:lineRule="exact"/>
              <w:ind w:left="42" w:leftChars="20" w:firstLine="480" w:firstLineChars="200"/>
              <w:jc w:val="left"/>
              <w:textAlignment w:val="baseline"/>
              <w:rPr>
                <w:rFonts w:hint="eastAsia"/>
                <w:spacing w:val="0"/>
                <w:lang w:val="en-US" w:eastAsia="zh-CN"/>
              </w:rPr>
            </w:pPr>
            <w:r>
              <w:rPr>
                <w:rFonts w:hint="eastAsia"/>
                <w:spacing w:val="0"/>
                <w:lang w:val="en-US" w:eastAsia="zh-CN"/>
              </w:rPr>
              <w:t>5.未制定切合自身实际的中长期规划，按照合水县人民政府办公室关于印发《合水县“十四五”生态环境保护规划（2021-2025）》的通知执行；</w:t>
            </w:r>
          </w:p>
          <w:p w14:paraId="31959B24">
            <w:pPr>
              <w:pStyle w:val="10"/>
              <w:keepNext w:val="0"/>
              <w:keepLines w:val="0"/>
              <w:pageBreakBefore w:val="0"/>
              <w:widowControl w:val="0"/>
              <w:kinsoku/>
              <w:wordWrap/>
              <w:overflowPunct w:val="0"/>
              <w:topLinePunct w:val="0"/>
              <w:autoSpaceDE w:val="0"/>
              <w:autoSpaceDN w:val="0"/>
              <w:bidi w:val="0"/>
              <w:adjustRightInd w:val="0"/>
              <w:snapToGrid w:val="0"/>
              <w:spacing w:line="400" w:lineRule="exact"/>
              <w:ind w:left="42" w:leftChars="20" w:firstLine="480" w:firstLineChars="200"/>
              <w:jc w:val="left"/>
              <w:textAlignment w:val="baseline"/>
              <w:rPr>
                <w:rFonts w:hint="eastAsia"/>
                <w:spacing w:val="0"/>
                <w:lang w:val="en-US" w:eastAsia="zh-CN"/>
              </w:rPr>
            </w:pPr>
            <w:r>
              <w:rPr>
                <w:rFonts w:hint="eastAsia"/>
                <w:spacing w:val="0"/>
                <w:lang w:val="en-US" w:eastAsia="zh-CN"/>
              </w:rPr>
              <w:t>6.档案整理、装订不及时，2024年存在部分月份账务资料未装订；</w:t>
            </w:r>
          </w:p>
          <w:p w14:paraId="24D8E7B9">
            <w:pPr>
              <w:pStyle w:val="10"/>
              <w:keepNext w:val="0"/>
              <w:keepLines w:val="0"/>
              <w:pageBreakBefore w:val="0"/>
              <w:widowControl w:val="0"/>
              <w:kinsoku/>
              <w:wordWrap/>
              <w:overflowPunct w:val="0"/>
              <w:topLinePunct w:val="0"/>
              <w:autoSpaceDE w:val="0"/>
              <w:autoSpaceDN w:val="0"/>
              <w:bidi w:val="0"/>
              <w:adjustRightInd w:val="0"/>
              <w:snapToGrid w:val="0"/>
              <w:spacing w:line="400" w:lineRule="exact"/>
              <w:ind w:left="42" w:leftChars="20" w:firstLine="480" w:firstLineChars="200"/>
              <w:jc w:val="left"/>
              <w:textAlignment w:val="baseline"/>
              <w:rPr>
                <w:rFonts w:hint="default"/>
                <w:spacing w:val="0"/>
                <w:lang w:val="en-US" w:eastAsia="zh-CN"/>
              </w:rPr>
            </w:pPr>
            <w:r>
              <w:rPr>
                <w:rFonts w:hint="eastAsia"/>
                <w:spacing w:val="0"/>
                <w:lang w:val="en-US" w:eastAsia="zh-CN"/>
              </w:rPr>
              <w:t>7.庆阳市生态环境局合水分局进行人员培训，但未制定了自己的培训计划。</w:t>
            </w:r>
          </w:p>
        </w:tc>
      </w:tr>
      <w:tr w14:paraId="78100947">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557" w:hRule="atLeast"/>
        </w:trPr>
        <w:tc>
          <w:tcPr>
            <w:tcW w:w="8530" w:type="dxa"/>
            <w:tcBorders>
              <w:tl2br w:val="nil"/>
              <w:tr2bl w:val="nil"/>
            </w:tcBorders>
            <w:vAlign w:val="center"/>
          </w:tcPr>
          <w:p w14:paraId="631C7164">
            <w:pPr>
              <w:pStyle w:val="10"/>
              <w:keepNext w:val="0"/>
              <w:keepLines w:val="0"/>
              <w:pageBreakBefore w:val="0"/>
              <w:widowControl/>
              <w:kinsoku/>
              <w:wordWrap/>
              <w:overflowPunct w:val="0"/>
              <w:topLinePunct w:val="0"/>
              <w:autoSpaceDE w:val="0"/>
              <w:autoSpaceDN w:val="0"/>
              <w:bidi w:val="0"/>
              <w:adjustRightInd w:val="0"/>
              <w:snapToGrid w:val="0"/>
              <w:spacing w:before="193" w:line="220" w:lineRule="auto"/>
              <w:ind w:left="3312"/>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六、有关意见建议</w:t>
            </w:r>
          </w:p>
        </w:tc>
      </w:tr>
      <w:tr w14:paraId="35FA2F90">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1155" w:hRule="atLeast"/>
        </w:trPr>
        <w:tc>
          <w:tcPr>
            <w:tcW w:w="8530" w:type="dxa"/>
            <w:tcBorders>
              <w:tl2br w:val="nil"/>
              <w:tr2bl w:val="nil"/>
            </w:tcBorders>
            <w:vAlign w:val="center"/>
          </w:tcPr>
          <w:p w14:paraId="6714D8E8">
            <w:pPr>
              <w:pStyle w:val="10"/>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42" w:leftChars="20" w:firstLine="480" w:firstLineChars="200"/>
              <w:jc w:val="both"/>
              <w:textAlignment w:val="baseline"/>
              <w:rPr>
                <w:rFonts w:hint="eastAsia"/>
                <w:spacing w:val="0"/>
                <w:lang w:val="en-US" w:eastAsia="zh-CN"/>
              </w:rPr>
            </w:pPr>
            <w:r>
              <w:rPr>
                <w:rFonts w:hint="eastAsia"/>
                <w:spacing w:val="0"/>
                <w:lang w:val="en-US" w:eastAsia="zh-CN"/>
              </w:rPr>
              <w:t>1.完善财务制度；财务收支，规定财务收入和支出的来源、性质、标准和程序。包括收入制度、支出制度、费用制度、投资制度；财务核算，规定财务核算的原则、方法和程序。包括会计制度、财务报告制度、成本核算制度、内部控制制度等；财务监督，规定财务监督的职责、权限和程序。包括审计制度、财务检查制度、财务责任制度等；财务信息，规定财务信息的收集、处理、传递和使用的规则和方法。包括财务信息系统制度、财务数据质量管理制度、财务信息安全制度等。</w:t>
            </w:r>
          </w:p>
          <w:p w14:paraId="48BF3F75">
            <w:pPr>
              <w:pStyle w:val="10"/>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42" w:leftChars="20" w:firstLine="480" w:firstLineChars="200"/>
              <w:jc w:val="both"/>
              <w:textAlignment w:val="baseline"/>
              <w:rPr>
                <w:rFonts w:hint="eastAsia"/>
                <w:spacing w:val="0"/>
                <w:lang w:val="en-US" w:eastAsia="zh-CN"/>
              </w:rPr>
            </w:pPr>
            <w:r>
              <w:rPr>
                <w:rFonts w:hint="eastAsia"/>
                <w:spacing w:val="0"/>
                <w:lang w:val="en-US" w:eastAsia="zh-CN"/>
              </w:rPr>
              <w:t>2.生态功能恢复应进行系统性数据监测，例如土壤功能恢复能力，生物链结构，利用科技手段建立复合型指标监测。</w:t>
            </w:r>
          </w:p>
          <w:p w14:paraId="0E05D684">
            <w:pPr>
              <w:pStyle w:val="10"/>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42" w:leftChars="20" w:firstLine="480" w:firstLineChars="200"/>
              <w:jc w:val="both"/>
              <w:textAlignment w:val="baseline"/>
              <w:rPr>
                <w:rFonts w:hint="eastAsia"/>
                <w:spacing w:val="0"/>
                <w:lang w:val="en-US" w:eastAsia="zh-CN"/>
              </w:rPr>
            </w:pPr>
            <w:r>
              <w:rPr>
                <w:rFonts w:hint="eastAsia"/>
                <w:spacing w:val="0"/>
                <w:lang w:val="en-US" w:eastAsia="zh-CN"/>
              </w:rPr>
              <w:t>3.针对投诉案件办理效率，明确各部门在投诉处理中的职责和时限，实行首问负责制和限时办结制；明确投诉办结率的考核指标和奖惩措施，将投诉办结率纳入部门和个人的绩效考核体系。</w:t>
            </w:r>
          </w:p>
          <w:p w14:paraId="1B5EB985">
            <w:pPr>
              <w:pStyle w:val="10"/>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42" w:leftChars="20" w:firstLine="480" w:firstLineChars="200"/>
              <w:jc w:val="both"/>
              <w:textAlignment w:val="baseline"/>
              <w:rPr>
                <w:rFonts w:hint="eastAsia"/>
                <w:spacing w:val="0"/>
                <w:lang w:val="en-US" w:eastAsia="zh-CN"/>
              </w:rPr>
            </w:pPr>
            <w:r>
              <w:rPr>
                <w:rFonts w:hint="eastAsia"/>
                <w:spacing w:val="0"/>
                <w:lang w:val="en-US" w:eastAsia="zh-CN"/>
              </w:rPr>
              <w:t>4.服务对象满意度调查开展多方位调查方式，指标设置多倾向于局机关工作成果方向。</w:t>
            </w:r>
          </w:p>
          <w:p w14:paraId="3553D44A">
            <w:pPr>
              <w:pStyle w:val="10"/>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42" w:leftChars="20" w:firstLine="480" w:firstLineChars="200"/>
              <w:jc w:val="both"/>
              <w:textAlignment w:val="baseline"/>
              <w:rPr>
                <w:rFonts w:hint="eastAsia"/>
                <w:spacing w:val="0"/>
                <w:lang w:val="en-US" w:eastAsia="zh-CN"/>
              </w:rPr>
            </w:pPr>
            <w:r>
              <w:rPr>
                <w:rFonts w:hint="eastAsia"/>
                <w:spacing w:val="0"/>
                <w:lang w:val="en-US" w:eastAsia="zh-CN"/>
              </w:rPr>
              <w:t>5.以县委、县政府总体规划为纲领，编制生态环境专项规划，明确 “总体规划 - 专项规划 - 年度计划” 的传导机制，在规划中设置环境质量、污染防治、生态保护三类核心指标，明确量化考核指标，并配套设置年度任务节点。</w:t>
            </w:r>
          </w:p>
          <w:p w14:paraId="2D2AEB22">
            <w:pPr>
              <w:pStyle w:val="10"/>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42" w:leftChars="20" w:firstLine="480" w:firstLineChars="200"/>
              <w:jc w:val="both"/>
              <w:textAlignment w:val="baseline"/>
              <w:rPr>
                <w:rFonts w:hint="eastAsia"/>
                <w:spacing w:val="0"/>
                <w:lang w:val="en-US" w:eastAsia="zh-CN"/>
              </w:rPr>
            </w:pPr>
            <w:r>
              <w:rPr>
                <w:rFonts w:hint="eastAsia"/>
                <w:spacing w:val="0"/>
                <w:lang w:val="en-US" w:eastAsia="zh-CN"/>
              </w:rPr>
              <w:t>6.完善档案管理制度，明确整理标准与时限；将档案整理工作纳入部门和个人的岗位职责，实行 “谁经办、谁整理、谁负责” 原则；优化档案管理流程，将档案整理分散到日常。</w:t>
            </w:r>
          </w:p>
          <w:p w14:paraId="0176B83D">
            <w:pPr>
              <w:pStyle w:val="10"/>
              <w:keepNext w:val="0"/>
              <w:keepLines w:val="0"/>
              <w:pageBreakBefore w:val="0"/>
              <w:widowControl/>
              <w:numPr>
                <w:ilvl w:val="0"/>
                <w:numId w:val="0"/>
              </w:numPr>
              <w:kinsoku/>
              <w:wordWrap/>
              <w:overflowPunct w:val="0"/>
              <w:topLinePunct w:val="0"/>
              <w:autoSpaceDE w:val="0"/>
              <w:autoSpaceDN w:val="0"/>
              <w:bidi w:val="0"/>
              <w:adjustRightInd w:val="0"/>
              <w:snapToGrid w:val="0"/>
              <w:spacing w:line="400" w:lineRule="exact"/>
              <w:ind w:left="42" w:leftChars="20" w:firstLine="480" w:firstLineChars="200"/>
              <w:jc w:val="both"/>
              <w:textAlignment w:val="baseline"/>
              <w:rPr>
                <w:rFonts w:hint="default"/>
                <w:spacing w:val="0"/>
                <w:lang w:val="en-US" w:eastAsia="zh-CN"/>
              </w:rPr>
            </w:pPr>
            <w:r>
              <w:rPr>
                <w:rFonts w:hint="eastAsia"/>
                <w:spacing w:val="0"/>
                <w:lang w:val="en-US" w:eastAsia="zh-CN"/>
              </w:rPr>
              <w:t>7.结合分局年度工作重点，如污染防治攻坚、生态环境评估等任务，明确培训的核心方向，制定详细的培训计划，将年度培训计划分解为季度和月度实施计划，明确每个培训项目的负责人、授课人员、参训对象、时间地点和考核方式。</w:t>
            </w:r>
          </w:p>
        </w:tc>
      </w:tr>
      <w:tr w14:paraId="2F22F6A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648" w:hRule="atLeast"/>
        </w:trPr>
        <w:tc>
          <w:tcPr>
            <w:tcW w:w="8530" w:type="dxa"/>
            <w:tcBorders>
              <w:tl2br w:val="nil"/>
              <w:tr2bl w:val="nil"/>
            </w:tcBorders>
            <w:vAlign w:val="center"/>
          </w:tcPr>
          <w:p w14:paraId="45915C0D">
            <w:pPr>
              <w:pStyle w:val="10"/>
              <w:keepNext/>
              <w:keepLines/>
              <w:pageBreakBefore w:val="0"/>
              <w:widowControl w:val="0"/>
              <w:kinsoku/>
              <w:wordWrap/>
              <w:overflowPunct w:val="0"/>
              <w:topLinePunct/>
              <w:autoSpaceDE/>
              <w:autoSpaceDN/>
              <w:bidi w:val="0"/>
              <w:adjustRightInd w:val="0"/>
              <w:snapToGrid w:val="0"/>
              <w:spacing w:before="239" w:line="220" w:lineRule="auto"/>
              <w:ind w:left="3190"/>
              <w:jc w:val="both"/>
              <w:textAlignment w:val="baseline"/>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b/>
                <w:bCs/>
                <w:spacing w:val="0"/>
                <w:sz w:val="24"/>
                <w:szCs w:val="24"/>
              </w:rPr>
              <w:t>七、</w:t>
            </w:r>
            <w:r>
              <w:rPr>
                <w:b/>
                <w:bCs/>
                <w:spacing w:val="0"/>
              </w:rPr>
              <w:t>其他需要说明的事项</w:t>
            </w:r>
          </w:p>
        </w:tc>
      </w:tr>
      <w:tr w14:paraId="56BE6022">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58" w:hRule="atLeast"/>
        </w:trPr>
        <w:tc>
          <w:tcPr>
            <w:tcW w:w="8530" w:type="dxa"/>
            <w:tcBorders>
              <w:tl2br w:val="nil"/>
              <w:tr2bl w:val="nil"/>
            </w:tcBorders>
            <w:vAlign w:val="center"/>
          </w:tcPr>
          <w:p w14:paraId="42EDF515">
            <w:pPr>
              <w:pStyle w:val="10"/>
              <w:keepNext/>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jc w:val="left"/>
              <w:textAlignment w:val="baseline"/>
              <w:rPr>
                <w:rFonts w:hint="eastAsia"/>
                <w:spacing w:val="0"/>
                <w:lang w:val="en-US" w:eastAsia="zh-CN"/>
              </w:rPr>
            </w:pPr>
            <w:r>
              <w:rPr>
                <w:rFonts w:hint="eastAsia"/>
                <w:spacing w:val="0"/>
                <w:lang w:val="en-US" w:eastAsia="zh-CN"/>
              </w:rPr>
              <w:t>1.采取统筹规划评价工期、规范评价管理流程、严格评价机构筛选、强化评价过程管控、优化评价组织模式等措施，统筹推进项目实施；</w:t>
            </w:r>
          </w:p>
          <w:p w14:paraId="3CEE8BE1">
            <w:pPr>
              <w:pStyle w:val="10"/>
              <w:keepNext/>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jc w:val="left"/>
              <w:textAlignment w:val="baseline"/>
              <w:rPr>
                <w:rFonts w:hint="eastAsia"/>
                <w:spacing w:val="0"/>
                <w:lang w:val="en-US" w:eastAsia="zh-CN"/>
              </w:rPr>
            </w:pPr>
            <w:r>
              <w:rPr>
                <w:rFonts w:hint="eastAsia"/>
                <w:spacing w:val="0"/>
                <w:lang w:val="en-US" w:eastAsia="zh-CN"/>
              </w:rPr>
              <w:t>2.创新项目主评人“交叉评审”、第三方机构“内审+终审”“质费挂钩”等机制，提高绩效评价服务水平和报告质量；</w:t>
            </w:r>
          </w:p>
          <w:p w14:paraId="49465040">
            <w:pPr>
              <w:pStyle w:val="10"/>
              <w:keepNext/>
              <w:keepLines/>
              <w:pageBreakBefore w:val="0"/>
              <w:widowControl w:val="0"/>
              <w:kinsoku/>
              <w:wordWrap/>
              <w:overflowPunct w:val="0"/>
              <w:topLinePunct/>
              <w:autoSpaceDE/>
              <w:autoSpaceDN/>
              <w:bidi w:val="0"/>
              <w:adjustRightInd w:val="0"/>
              <w:snapToGrid w:val="0"/>
              <w:spacing w:line="400" w:lineRule="exact"/>
              <w:ind w:left="42" w:leftChars="20" w:firstLine="480" w:firstLineChars="200"/>
              <w:jc w:val="left"/>
              <w:textAlignment w:val="baseline"/>
              <w:rPr>
                <w:rFonts w:hint="eastAsia" w:asciiTheme="minorEastAsia" w:hAnsiTheme="minorEastAsia" w:eastAsiaTheme="minorEastAsia" w:cstheme="minorEastAsia"/>
                <w:spacing w:val="0"/>
                <w:sz w:val="24"/>
                <w:szCs w:val="24"/>
              </w:rPr>
            </w:pPr>
            <w:r>
              <w:rPr>
                <w:rFonts w:hint="eastAsia"/>
                <w:spacing w:val="0"/>
                <w:lang w:val="en-US" w:eastAsia="zh-CN"/>
              </w:rPr>
              <w:t>3.对财政绩效评价结果及有关情况进行了通报，要求各有关部门举一反三、跟踪落实问效，充分发挥“以评促改”的积极作用，对标对表分析本部门本行业在预算绩效管理方面存在的短板弱项，做好问题整改和政策落实。</w:t>
            </w:r>
          </w:p>
        </w:tc>
      </w:tr>
    </w:tbl>
    <w:p w14:paraId="7BDAA81C">
      <w:pPr>
        <w:rPr>
          <w:rFonts w:hint="eastAsia" w:asciiTheme="minorEastAsia" w:hAnsiTheme="minorEastAsia" w:eastAsiaTheme="minorEastAsia" w:cstheme="minorEastAsia"/>
          <w:spacing w:val="0"/>
          <w:sz w:val="24"/>
          <w:szCs w:val="24"/>
        </w:rPr>
      </w:pPr>
    </w:p>
    <w:sectPr>
      <w:footerReference r:id="rId5" w:type="default"/>
      <w:pgSz w:w="11906" w:h="16839"/>
      <w:pgMar w:top="1431" w:right="1687" w:bottom="1170" w:left="1688" w:header="0" w:footer="975" w:gutter="0"/>
      <w:pgBorders>
        <w:top w:val="none" w:sz="0" w:space="0"/>
        <w:left w:val="none" w:sz="0" w:space="0"/>
        <w:bottom w:val="none" w:sz="0" w:space="0"/>
        <w:right w:val="none" w:sz="0" w:space="0"/>
      </w:pgBorders>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27AAC">
    <w:pPr>
      <w:pStyle w:val="2"/>
      <w:spacing w:line="179" w:lineRule="auto"/>
      <w:ind w:left="4020"/>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E31B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2E31B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A566D5"/>
    <w:rsid w:val="010D433E"/>
    <w:rsid w:val="02E1776D"/>
    <w:rsid w:val="049C7DEF"/>
    <w:rsid w:val="058663AA"/>
    <w:rsid w:val="065A37E2"/>
    <w:rsid w:val="067E2E92"/>
    <w:rsid w:val="067E3AD6"/>
    <w:rsid w:val="07A86AAB"/>
    <w:rsid w:val="07BC4304"/>
    <w:rsid w:val="094E1B29"/>
    <w:rsid w:val="09B554AF"/>
    <w:rsid w:val="0ADE7E9F"/>
    <w:rsid w:val="0C8F3D96"/>
    <w:rsid w:val="11A57E6D"/>
    <w:rsid w:val="12C329EB"/>
    <w:rsid w:val="16A06327"/>
    <w:rsid w:val="18D957E5"/>
    <w:rsid w:val="19AC41D9"/>
    <w:rsid w:val="1D5242DB"/>
    <w:rsid w:val="20FA3A7C"/>
    <w:rsid w:val="226B2757"/>
    <w:rsid w:val="23264FFC"/>
    <w:rsid w:val="236D2C2B"/>
    <w:rsid w:val="248A3369"/>
    <w:rsid w:val="28E7579C"/>
    <w:rsid w:val="2E206AEC"/>
    <w:rsid w:val="300E12C4"/>
    <w:rsid w:val="30640F12"/>
    <w:rsid w:val="33707BCD"/>
    <w:rsid w:val="33723946"/>
    <w:rsid w:val="337B2999"/>
    <w:rsid w:val="353531EB"/>
    <w:rsid w:val="356C3834"/>
    <w:rsid w:val="35E82F17"/>
    <w:rsid w:val="39CC5062"/>
    <w:rsid w:val="3B6E70E8"/>
    <w:rsid w:val="3BE253E0"/>
    <w:rsid w:val="3C28373B"/>
    <w:rsid w:val="3C5F1085"/>
    <w:rsid w:val="3F8E13F7"/>
    <w:rsid w:val="43EE7018"/>
    <w:rsid w:val="455F19D3"/>
    <w:rsid w:val="46596265"/>
    <w:rsid w:val="4703102D"/>
    <w:rsid w:val="47422245"/>
    <w:rsid w:val="48904B42"/>
    <w:rsid w:val="530F0D59"/>
    <w:rsid w:val="56175141"/>
    <w:rsid w:val="5A2E5F69"/>
    <w:rsid w:val="5A663FC2"/>
    <w:rsid w:val="5BE30FD5"/>
    <w:rsid w:val="5CB62246"/>
    <w:rsid w:val="5E1436C8"/>
    <w:rsid w:val="5E8124E4"/>
    <w:rsid w:val="5EAC07BF"/>
    <w:rsid w:val="5F3C1128"/>
    <w:rsid w:val="65F0610C"/>
    <w:rsid w:val="6913481E"/>
    <w:rsid w:val="699459AB"/>
    <w:rsid w:val="6DA700B4"/>
    <w:rsid w:val="706E686D"/>
    <w:rsid w:val="74D86DA5"/>
    <w:rsid w:val="788A485A"/>
    <w:rsid w:val="7C4116D4"/>
    <w:rsid w:val="7C8021FC"/>
    <w:rsid w:val="7DCA74A7"/>
    <w:rsid w:val="7DE92023"/>
    <w:rsid w:val="7E3C027A"/>
    <w:rsid w:val="7FC52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2320</Words>
  <Characters>2470</Characters>
  <TotalTime>23</TotalTime>
  <ScaleCrop>false</ScaleCrop>
  <LinksUpToDate>false</LinksUpToDate>
  <CharactersWithSpaces>2488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2024-11-27T14:55:00Z</dcterms:created>
  <dc:creator>Windows 用户</dc:creator>
  <cp:lastModifiedBy>袁小倩</cp:lastModifiedBy>
  <dcterms:modified xsi:type="dcterms:W3CDTF">2025-09-19T09:25:55Z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2024-12-05T15:11:16Z</vt:filetime>
  </property>
  <property fmtid="{D5CDD505-2E9C-101B-9397-08002B2CF9AE}" pid="4" name="KSOProductBuildVer">
    <vt:lpwstr>2052-12.1.0.22529</vt:lpwstr>
  </property>
  <property fmtid="{D5CDD505-2E9C-101B-9397-08002B2CF9AE}" pid="5" name="ICV">
    <vt:lpwstr>7138E83030344FF7BC18072681AE10C2_13</vt:lpwstr>
  </property>
  <property fmtid="{D5CDD505-2E9C-101B-9397-08002B2CF9AE}" pid="6" name="KSOTemplateDocerSaveRecord">
    <vt:lpwstr>eyJoZGlkIjoiMDJkYmIwM2JiMDNjMDk2Njc0NTRlNGYwYjM0ZmMyNzAiLCJ1c2VySWQiOiIzMTc5OTA1NSJ9</vt:lpwstr>
  </property>
</Properties>
</file>