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合水县农业农村局</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731"/>
        <w:gridCol w:w="1776"/>
        <w:gridCol w:w="376"/>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spacing w:before="201"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合水县农业农村局</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731"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776" w:type="dxa"/>
            <w:vAlign w:val="top"/>
          </w:tcPr>
          <w:p w14:paraId="4C578508">
            <w:pPr>
              <w:pStyle w:val="10"/>
              <w:spacing w:before="198" w:line="219" w:lineRule="auto"/>
              <w:ind w:left="40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513" w:type="dxa"/>
            <w:gridSpan w:val="2"/>
            <w:tcBorders>
              <w:right w:val="nil"/>
            </w:tcBorders>
            <w:vAlign w:val="top"/>
          </w:tcPr>
          <w:p w14:paraId="224F3882">
            <w:pPr>
              <w:pStyle w:val="10"/>
              <w:spacing w:before="198" w:line="219" w:lineRule="auto"/>
              <w:ind w:firstLine="480" w:firstLineChars="20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部门</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731"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776" w:type="dxa"/>
            <w:vAlign w:val="top"/>
          </w:tcPr>
          <w:p w14:paraId="6F2F0719">
            <w:pPr>
              <w:pStyle w:val="10"/>
              <w:spacing w:before="285" w:line="219" w:lineRule="auto"/>
              <w:ind w:left="16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513"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spacing w:before="198" w:line="219" w:lineRule="auto"/>
              <w:jc w:val="center"/>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合水县农业农村局</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kinsoku/>
              <w:wordWrap/>
              <w:overflowPunct/>
              <w:topLinePunct w:val="0"/>
              <w:autoSpaceDE w:val="0"/>
              <w:autoSpaceDN w:val="0"/>
              <w:bidi w:val="0"/>
              <w:adjustRightInd w:val="0"/>
              <w:snapToGrid w:val="0"/>
              <w:spacing w:before="193" w:line="303"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合水县农业农村局</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衡量部门整体及核心业务实施效果,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731" w:type="dxa"/>
            <w:vAlign w:val="top"/>
          </w:tcPr>
          <w:p w14:paraId="2EE08C3F">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290.42</w:t>
            </w:r>
            <w:r>
              <w:rPr>
                <w:rFonts w:hint="eastAsia" w:asciiTheme="minorEastAsia" w:hAnsiTheme="minorEastAsia" w:eastAsiaTheme="minorEastAsia" w:cstheme="minorEastAsia"/>
                <w:spacing w:val="0"/>
                <w:sz w:val="24"/>
                <w:szCs w:val="24"/>
                <w:lang w:val="en-US" w:eastAsia="zh-CN"/>
              </w:rPr>
              <w:t>万元</w:t>
            </w:r>
          </w:p>
        </w:tc>
        <w:tc>
          <w:tcPr>
            <w:tcW w:w="215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14,903.59</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731" w:type="dxa"/>
            <w:vAlign w:val="top"/>
          </w:tcPr>
          <w:p w14:paraId="290B9AA6">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c>
          <w:tcPr>
            <w:tcW w:w="2152"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731" w:type="dxa"/>
            <w:vAlign w:val="top"/>
          </w:tcPr>
          <w:p w14:paraId="190C312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290.42</w:t>
            </w:r>
            <w:r>
              <w:rPr>
                <w:rFonts w:hint="eastAsia" w:asciiTheme="minorEastAsia" w:hAnsiTheme="minorEastAsia" w:eastAsiaTheme="minorEastAsia" w:cstheme="minorEastAsia"/>
                <w:spacing w:val="0"/>
                <w:sz w:val="24"/>
                <w:szCs w:val="24"/>
                <w:lang w:val="en-US" w:eastAsia="zh-CN"/>
              </w:rPr>
              <w:t>万元</w:t>
            </w:r>
          </w:p>
        </w:tc>
        <w:tc>
          <w:tcPr>
            <w:tcW w:w="2152"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14,903.59</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731"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14,903.59</w:t>
            </w:r>
            <w:r>
              <w:rPr>
                <w:rFonts w:hint="eastAsia" w:asciiTheme="minorEastAsia" w:hAnsiTheme="minorEastAsia" w:eastAsiaTheme="minorEastAsia" w:cstheme="minorEastAsia"/>
                <w:spacing w:val="0"/>
                <w:sz w:val="24"/>
                <w:szCs w:val="24"/>
                <w:lang w:val="en-US" w:eastAsia="zh-CN"/>
              </w:rPr>
              <w:t>万元</w:t>
            </w:r>
          </w:p>
        </w:tc>
        <w:tc>
          <w:tcPr>
            <w:tcW w:w="2152"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7391F0D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1.全面构建“三元双向”循环农业，粮食安全生产。</w:t>
            </w:r>
          </w:p>
          <w:p w14:paraId="0A561001">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持续改善农村人居环境；以全省“5155”乡村建设示范行动为抓手，高质量推进乡村建设行动，完成吉岘镇吉岘村、西华池镇华市村2个市级乡村建设示范村创建任务。村庄清洁行动，清理农村生活垃圾782.8吨，清理畜禽养殖粪污等农业生产废弃物206.2吨，清理村内沟渠375.6公里，清理乱搭乱建、拆除烂房烂墙烂圈:废弃厂房棚舍共383处，整齐堆放秸秆、柴草、农机具等生产生活资料914处</w:t>
            </w:r>
          </w:p>
          <w:p w14:paraId="22A8B6B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有序推进农村综合改革。按照“五有”标准，提高合作社规范化程度，合作社“五有”率达到70.66%。分类制定“四个一批”发展实施方案，盘活合作社8家。发展家庭农场29家，累计达到289家。强化“三资”监管力度，完成25个村的村财审计工作、55个村财务督查指导指导乡镇完成“三资”网络监管平台信息录入和预警信息纠错。</w:t>
            </w:r>
          </w:p>
          <w:p w14:paraId="6AFAE30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4、有效提升三农服务水平。落实新发展理念，大力推进农业先进技术，做好市场监管和技术服务跟踪服务工作。</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spacing w:before="38" w:line="303" w:lineRule="auto"/>
              <w:ind w:right="151" w:firstLine="480" w:firstLineChars="200"/>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合水县农业农村局</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31F11F03">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07A6B554">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22371790">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7C095BAB">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6037956F">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30B44E1D">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E794838">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both"/>
              <w:textAlignment w:val="baseline"/>
              <w:rPr>
                <w:rFonts w:hint="eastAsia"/>
                <w:spacing w:val="0"/>
              </w:rPr>
            </w:pPr>
            <w:r>
              <w:rPr>
                <w:rFonts w:hint="eastAsia"/>
                <w:spacing w:val="0"/>
              </w:rPr>
              <w:t>围绕部门规划、运行成本、管理效率、履职效能、社会效应、可持续发展能力、服务对象满意度等七个维度构建绩效评价指标体系，其中:一级指标7个、二级指标</w:t>
            </w:r>
            <w:r>
              <w:rPr>
                <w:rFonts w:hint="eastAsia"/>
                <w:spacing w:val="0"/>
                <w:lang w:val="en-US" w:eastAsia="zh-CN"/>
              </w:rPr>
              <w:t>13</w:t>
            </w:r>
            <w:r>
              <w:rPr>
                <w:rFonts w:hint="eastAsia"/>
                <w:spacing w:val="0"/>
              </w:rPr>
              <w:t>个、三级指标</w:t>
            </w:r>
            <w:r>
              <w:rPr>
                <w:rFonts w:hint="eastAsia"/>
                <w:spacing w:val="0"/>
                <w:lang w:val="en-US" w:eastAsia="zh-CN"/>
              </w:rPr>
              <w:t>29</w:t>
            </w:r>
            <w:r>
              <w:rPr>
                <w:rFonts w:hint="eastAsia"/>
                <w:spacing w:val="0"/>
              </w:rPr>
              <w:t xml:space="preserve">个。部门规划等一级指标占比分别为 </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23</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30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eastAsia="zh-CN"/>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spacing w:val="0"/>
              </w:rPr>
            </w:pPr>
            <w:r>
              <w:rPr>
                <w:rFonts w:hint="eastAsia"/>
                <w:spacing w:val="0"/>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asciiTheme="minorEastAsia" w:hAnsiTheme="minorEastAsia" w:eastAsiaTheme="minorEastAsia" w:cstheme="minorEastAsia"/>
                <w:b/>
                <w:bCs/>
                <w:spacing w:val="0"/>
                <w:sz w:val="24"/>
                <w:szCs w:val="24"/>
              </w:rPr>
            </w:pPr>
            <w:r>
              <w:rPr>
                <w:rFonts w:hint="eastAsia"/>
                <w:spacing w:val="0"/>
              </w:rPr>
              <w:t>信息与数据收集采取抽样调查、现场调研、结构式访</w:t>
            </w:r>
            <w:r>
              <w:rPr>
                <w:rFonts w:hint="eastAsia"/>
                <w:spacing w:val="0"/>
                <w:lang w:val="en-US" w:eastAsia="zh-CN"/>
              </w:rPr>
              <w:t>谈</w:t>
            </w:r>
            <w:bookmarkStart w:id="1" w:name="_GoBack"/>
            <w:bookmarkEnd w:id="1"/>
            <w:r>
              <w:rPr>
                <w:rFonts w:hint="eastAsia"/>
                <w:spacing w:val="0"/>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eastAsia="宋体"/>
                <w:spacing w:val="0"/>
                <w:lang w:eastAsia="zh-CN"/>
              </w:rPr>
            </w:pPr>
            <w:r>
              <w:rPr>
                <w:rFonts w:hint="eastAsia"/>
                <w:spacing w:val="0"/>
              </w:rPr>
              <w:t>接受委托任务、拟定方案、开展培训、现场评价、撰写报告、资料归档</w:t>
            </w:r>
            <w:r>
              <w:rPr>
                <w:rFonts w:hint="eastAsia"/>
                <w:spacing w:val="0"/>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912"/>
        <w:gridCol w:w="912"/>
        <w:gridCol w:w="756"/>
        <w:gridCol w:w="864"/>
        <w:gridCol w:w="828"/>
        <w:gridCol w:w="792"/>
        <w:gridCol w:w="936"/>
        <w:gridCol w:w="972"/>
        <w:gridCol w:w="725"/>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32" w:type="dxa"/>
            <w:tcBorders>
              <w:left w:val="nil"/>
            </w:tcBorders>
            <w:vAlign w:val="top"/>
          </w:tcPr>
          <w:p w14:paraId="08AA7ECA">
            <w:pPr>
              <w:pStyle w:val="10"/>
              <w:spacing w:before="117" w:line="220" w:lineRule="auto"/>
              <w:ind w:left="146"/>
              <w:rPr>
                <w:rFonts w:hint="eastAsia" w:asciiTheme="minorEastAsia" w:hAnsiTheme="minorEastAsia" w:eastAsiaTheme="minorEastAsia" w:cstheme="minorEastAsia"/>
                <w:spacing w:val="0"/>
                <w:sz w:val="24"/>
                <w:szCs w:val="24"/>
              </w:rPr>
            </w:pPr>
            <w:r>
              <w:rPr>
                <w:b/>
                <w:bCs/>
                <w:spacing w:val="-6"/>
              </w:rPr>
              <w:t>综合评价结论</w:t>
            </w:r>
          </w:p>
        </w:tc>
        <w:tc>
          <w:tcPr>
            <w:tcW w:w="1824"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448"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87分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1728"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697"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both"/>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32" w:type="dxa"/>
            <w:vMerge w:val="restart"/>
            <w:tcBorders>
              <w:left w:val="nil"/>
              <w:bottom w:val="nil"/>
            </w:tcBorders>
            <w:vAlign w:val="top"/>
          </w:tcPr>
          <w:p w14:paraId="573773EA">
            <w:pPr>
              <w:spacing w:line="244" w:lineRule="auto"/>
              <w:rPr>
                <w:rFonts w:hint="eastAsia" w:asciiTheme="minorEastAsia" w:hAnsiTheme="minorEastAsia" w:eastAsiaTheme="minorEastAsia" w:cstheme="minorEastAsia"/>
                <w:spacing w:val="0"/>
                <w:sz w:val="24"/>
                <w:szCs w:val="24"/>
              </w:rPr>
            </w:pPr>
          </w:p>
          <w:p w14:paraId="4B231BE8">
            <w:pPr>
              <w:pStyle w:val="10"/>
              <w:spacing w:before="78" w:line="220" w:lineRule="auto"/>
              <w:jc w:val="center"/>
              <w:rPr>
                <w:rFonts w:hint="eastAsia"/>
                <w:b/>
                <w:bCs/>
                <w:spacing w:val="-6"/>
                <w:lang w:eastAsia="zh-CN"/>
              </w:rPr>
            </w:pPr>
          </w:p>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rFonts w:hint="eastAsia"/>
                <w:b/>
                <w:bCs/>
                <w:spacing w:val="-5"/>
                <w:lang w:val="en-US" w:eastAsia="zh-CN"/>
              </w:rPr>
              <w:t xml:space="preserve"> </w:t>
            </w:r>
            <w:r>
              <w:rPr>
                <w:b/>
                <w:bCs/>
                <w:spacing w:val="-5"/>
              </w:rPr>
              <w:t>分析</w:t>
            </w:r>
          </w:p>
        </w:tc>
        <w:tc>
          <w:tcPr>
            <w:tcW w:w="912" w:type="dxa"/>
            <w:vAlign w:val="center"/>
          </w:tcPr>
          <w:p w14:paraId="4DFEE862">
            <w:pPr>
              <w:pStyle w:val="10"/>
              <w:spacing w:before="78" w:line="221"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75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864"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28"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792"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936"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72"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725"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32" w:type="dxa"/>
            <w:vMerge w:val="continue"/>
            <w:tcBorders>
              <w:top w:val="nil"/>
              <w:left w:val="nil"/>
            </w:tcBorders>
            <w:vAlign w:val="top"/>
          </w:tcPr>
          <w:p w14:paraId="5D5C8174">
            <w:pPr>
              <w:rPr>
                <w:rFonts w:hint="eastAsia" w:asciiTheme="minorEastAsia" w:hAnsiTheme="minorEastAsia" w:eastAsiaTheme="minorEastAsia" w:cstheme="minorEastAsia"/>
                <w:spacing w:val="0"/>
                <w:sz w:val="24"/>
                <w:szCs w:val="24"/>
              </w:rPr>
            </w:pPr>
          </w:p>
        </w:tc>
        <w:tc>
          <w:tcPr>
            <w:tcW w:w="912" w:type="dxa"/>
            <w:vAlign w:val="top"/>
          </w:tcPr>
          <w:p w14:paraId="077BB81C">
            <w:pPr>
              <w:pStyle w:val="10"/>
              <w:spacing w:before="174" w:line="284" w:lineRule="auto"/>
              <w:ind w:right="169"/>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w:t>
            </w:r>
            <w:r>
              <w:rPr>
                <w:rFonts w:hint="eastAsia" w:asciiTheme="minorEastAsia" w:hAnsiTheme="minorEastAsia" w:eastAsiaTheme="minorEastAsia" w:cstheme="minorEastAsia"/>
                <w:b/>
                <w:bCs/>
                <w:spacing w:val="0"/>
                <w:sz w:val="24"/>
                <w:szCs w:val="24"/>
                <w:lang w:val="en-US" w:eastAsia="zh-CN"/>
              </w:rPr>
              <w:t>分</w:t>
            </w:r>
            <w:r>
              <w:rPr>
                <w:rFonts w:hint="eastAsia" w:asciiTheme="minorEastAsia" w:hAnsiTheme="minorEastAsia" w:eastAsiaTheme="minorEastAsia" w:cstheme="minorEastAsia"/>
                <w:b/>
                <w:bCs/>
                <w:spacing w:val="0"/>
                <w:sz w:val="24"/>
                <w:szCs w:val="24"/>
              </w:rPr>
              <w:t>率</w:t>
            </w:r>
          </w:p>
        </w:tc>
        <w:tc>
          <w:tcPr>
            <w:tcW w:w="912" w:type="dxa"/>
            <w:vAlign w:val="center"/>
          </w:tcPr>
          <w:p w14:paraId="410E4AED">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756"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864"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86.96%</w:t>
            </w:r>
          </w:p>
        </w:tc>
        <w:tc>
          <w:tcPr>
            <w:tcW w:w="828"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92"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936"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972"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25"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87%</w:t>
            </w:r>
          </w:p>
        </w:tc>
      </w:tr>
    </w:tbl>
    <w:p w14:paraId="12F5AC03">
      <w:pPr>
        <w:pStyle w:val="2"/>
        <w:spacing w:before="238" w:line="219" w:lineRule="auto"/>
        <w:jc w:val="center"/>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spacing w:line="91" w:lineRule="auto"/>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803" w:hRule="atLeast"/>
        </w:trPr>
        <w:tc>
          <w:tcPr>
            <w:tcW w:w="8530" w:type="dxa"/>
            <w:tcBorders>
              <w:tl2br w:val="nil"/>
              <w:tr2bl w:val="nil"/>
            </w:tcBorders>
            <w:vAlign w:val="center"/>
          </w:tcPr>
          <w:p w14:paraId="3900468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bookmarkStart w:id="0" w:name="_Toc21567"/>
          </w:p>
          <w:bookmarkEnd w:id="0"/>
          <w:p w14:paraId="379AB314">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eastAsia"/>
                <w:spacing w:val="0"/>
                <w:lang w:val="en-US" w:eastAsia="zh-CN"/>
              </w:rPr>
            </w:pPr>
            <w:r>
              <w:rPr>
                <w:rFonts w:hint="eastAsia"/>
                <w:spacing w:val="0"/>
                <w:lang w:val="en-US" w:eastAsia="zh-CN"/>
              </w:rPr>
              <w:t>1.合水县农业农村局绩效目标设定脱离实际，导向性缺失，目标模糊且量化不足：年度绩效目标多为 “推动乡村振兴”“提升农业产业化水平” 等定性表述，缺乏可衡量的具体指标。</w:t>
            </w:r>
          </w:p>
          <w:p w14:paraId="60DFD9A0">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eastAsia"/>
                <w:spacing w:val="0"/>
                <w:lang w:val="en-US" w:eastAsia="zh-CN"/>
              </w:rPr>
              <w:t>2.</w:t>
            </w:r>
            <w:r>
              <w:rPr>
                <w:rFonts w:hint="default"/>
                <w:spacing w:val="0"/>
                <w:lang w:val="en-US" w:eastAsia="zh-CN"/>
              </w:rPr>
              <w:t>资产管理制度、预算管理制度、政府采购制度、资产管理、重点工作管理制度等内容不完善</w:t>
            </w:r>
            <w:r>
              <w:rPr>
                <w:rFonts w:hint="eastAsia"/>
                <w:spacing w:val="0"/>
                <w:lang w:val="en-US" w:eastAsia="zh-CN"/>
              </w:rPr>
              <w:t>。</w:t>
            </w:r>
          </w:p>
          <w:p w14:paraId="28201138">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eastAsia"/>
                <w:spacing w:val="0"/>
                <w:lang w:val="en-US" w:eastAsia="zh-CN"/>
              </w:rPr>
              <w:t>3.</w:t>
            </w:r>
            <w:r>
              <w:rPr>
                <w:rFonts w:hint="default"/>
                <w:spacing w:val="0"/>
                <w:lang w:val="en-US" w:eastAsia="zh-CN"/>
              </w:rPr>
              <w:t>部分项目超预算支出及部分项目预算未执行到位</w:t>
            </w:r>
            <w:r>
              <w:rPr>
                <w:rFonts w:hint="eastAsia"/>
                <w:spacing w:val="0"/>
                <w:lang w:val="en-US" w:eastAsia="zh-CN"/>
              </w:rPr>
              <w:t>。</w:t>
            </w:r>
          </w:p>
          <w:p w14:paraId="057A8072">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left"/>
              <w:textAlignment w:val="baseline"/>
              <w:rPr>
                <w:rFonts w:hint="default"/>
                <w:spacing w:val="0"/>
                <w:lang w:val="en-US" w:eastAsia="zh-CN"/>
              </w:rPr>
            </w:pPr>
            <w:r>
              <w:rPr>
                <w:rFonts w:hint="eastAsia"/>
                <w:spacing w:val="0"/>
                <w:lang w:val="en-US" w:eastAsia="zh-CN"/>
              </w:rPr>
              <w:t>4.</w:t>
            </w:r>
            <w:r>
              <w:rPr>
                <w:rFonts w:hint="default"/>
                <w:spacing w:val="0"/>
                <w:lang w:val="en-US" w:eastAsia="zh-CN"/>
              </w:rPr>
              <w:t>预算与决算差距过大</w:t>
            </w:r>
            <w:r>
              <w:rPr>
                <w:rFonts w:hint="eastAsia"/>
                <w:spacing w:val="0"/>
                <w:lang w:val="en-US" w:eastAsia="zh-CN"/>
              </w:rPr>
              <w:t>。</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spacing w:before="193" w:line="220" w:lineRule="auto"/>
              <w:ind w:left="3312"/>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736B70DC">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both"/>
              <w:textAlignment w:val="baseline"/>
              <w:rPr>
                <w:rFonts w:hint="eastAsia"/>
                <w:spacing w:val="0"/>
                <w:lang w:val="en-US" w:eastAsia="zh-CN"/>
              </w:rPr>
            </w:pPr>
            <w:r>
              <w:rPr>
                <w:rFonts w:hint="eastAsia"/>
                <w:spacing w:val="0"/>
                <w:lang w:val="en-US" w:eastAsia="zh-CN"/>
              </w:rPr>
              <w:t>1.规范绩效目标设定，强化目标与实际需求的匹配度构建量化清晰的目标体系：将年度绩效目标细化为可衡量、可考核的具体指标，避免模糊表述；规范绩效目标设定，强化目标与实际需求的匹配度；强化结果应用，建立激励约束闭环。</w:t>
            </w:r>
          </w:p>
          <w:p w14:paraId="10D36C2E">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both"/>
              <w:textAlignment w:val="baseline"/>
              <w:rPr>
                <w:rFonts w:hint="eastAsia"/>
                <w:spacing w:val="0"/>
                <w:lang w:val="en-US" w:eastAsia="zh-CN"/>
              </w:rPr>
            </w:pPr>
            <w:r>
              <w:rPr>
                <w:rFonts w:hint="eastAsia"/>
                <w:spacing w:val="0"/>
                <w:lang w:val="en-US" w:eastAsia="zh-CN"/>
              </w:rPr>
              <w:t>2.构建系统性制度框架，明确制度建设优先级,如强化预算管理、规范资金使用、完善财务监督机制、资产管理制度、规范采购行为、加强采购监督管理、规范履约验收和档案管理，加强业务培训，指定专人负责制度的编制、装订、发放、回收及更新工作，明确各环节责任，确保制度管理工作常态化、规范化。</w:t>
            </w:r>
          </w:p>
          <w:p w14:paraId="32C9B510">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both"/>
              <w:textAlignment w:val="baseline"/>
              <w:rPr>
                <w:rFonts w:hint="eastAsia"/>
                <w:spacing w:val="0"/>
                <w:lang w:val="en-US" w:eastAsia="zh-CN"/>
              </w:rPr>
            </w:pPr>
            <w:r>
              <w:rPr>
                <w:rFonts w:hint="eastAsia"/>
                <w:spacing w:val="0"/>
                <w:lang w:val="en-US" w:eastAsia="zh-CN"/>
              </w:rPr>
              <w:t>3.深化项目前期调研论证：对所有涉农项目（如种养殖补贴、农田建设、农机购置等），要求立项前开展 “三查”；建立 “预算与绩效目标” 绑定机制。</w:t>
            </w:r>
          </w:p>
          <w:p w14:paraId="214ED5AA">
            <w:pPr>
              <w:pStyle w:val="10"/>
              <w:keepNext w:val="0"/>
              <w:keepLines w:val="0"/>
              <w:pageBreakBefore w:val="0"/>
              <w:widowControl w:val="0"/>
              <w:numPr>
                <w:ilvl w:val="0"/>
                <w:numId w:val="0"/>
              </w:numPr>
              <w:kinsoku/>
              <w:wordWrap/>
              <w:overflowPunct w:val="0"/>
              <w:topLinePunct/>
              <w:autoSpaceDE/>
              <w:autoSpaceDN/>
              <w:bidi w:val="0"/>
              <w:adjustRightInd w:val="0"/>
              <w:snapToGrid w:val="0"/>
              <w:spacing w:line="400" w:lineRule="exact"/>
              <w:ind w:firstLine="480" w:firstLineChars="200"/>
              <w:jc w:val="both"/>
              <w:textAlignment w:val="baseline"/>
              <w:rPr>
                <w:rFonts w:hint="eastAsia"/>
                <w:spacing w:val="0"/>
                <w:lang w:val="en-US" w:eastAsia="zh-CN"/>
              </w:rPr>
            </w:pPr>
            <w:r>
              <w:rPr>
                <w:rFonts w:hint="eastAsia"/>
                <w:spacing w:val="0"/>
                <w:lang w:val="en-US" w:eastAsia="zh-CN"/>
              </w:rPr>
              <w:t>4.规范决算编制与分析，提升数据真实性；强化监督问责，压实管理责任推动“预算与决算数据联动”，将决算差异数据纳入下年度预算编制依据，形成“编制—执行—决算—优化”闭环。</w:t>
            </w:r>
          </w:p>
          <w:p w14:paraId="3553D44A">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19" w:lineRule="auto"/>
              <w:ind w:firstLine="480" w:firstLineChars="200"/>
              <w:jc w:val="left"/>
              <w:textAlignment w:val="baseline"/>
              <w:rPr>
                <w:rFonts w:hint="default"/>
                <w:spacing w:val="0"/>
                <w:lang w:val="en-US" w:eastAsia="zh-CN"/>
              </w:rPr>
            </w:pP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spacing w:before="239" w:line="220" w:lineRule="auto"/>
              <w:ind w:left="3190"/>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2E1776D"/>
    <w:rsid w:val="049C7DEF"/>
    <w:rsid w:val="058663AA"/>
    <w:rsid w:val="065A37E2"/>
    <w:rsid w:val="067E2E92"/>
    <w:rsid w:val="067E3AD6"/>
    <w:rsid w:val="07A86AAB"/>
    <w:rsid w:val="07BC4304"/>
    <w:rsid w:val="09B554AF"/>
    <w:rsid w:val="0ADE7E9F"/>
    <w:rsid w:val="0C8F3D96"/>
    <w:rsid w:val="11A57E6D"/>
    <w:rsid w:val="12C329EB"/>
    <w:rsid w:val="16A06327"/>
    <w:rsid w:val="18D957E5"/>
    <w:rsid w:val="19AC41D9"/>
    <w:rsid w:val="1D5242DB"/>
    <w:rsid w:val="20FA3A7C"/>
    <w:rsid w:val="226B2757"/>
    <w:rsid w:val="22932738"/>
    <w:rsid w:val="23264FFC"/>
    <w:rsid w:val="236D2C2B"/>
    <w:rsid w:val="248A3369"/>
    <w:rsid w:val="28E7579C"/>
    <w:rsid w:val="2E206AEC"/>
    <w:rsid w:val="300E12C4"/>
    <w:rsid w:val="30640F12"/>
    <w:rsid w:val="318B2990"/>
    <w:rsid w:val="33707BCD"/>
    <w:rsid w:val="33723946"/>
    <w:rsid w:val="337B2999"/>
    <w:rsid w:val="353531EB"/>
    <w:rsid w:val="35E82F17"/>
    <w:rsid w:val="3B6E70E8"/>
    <w:rsid w:val="3BE253E0"/>
    <w:rsid w:val="3C28373B"/>
    <w:rsid w:val="3C5F1085"/>
    <w:rsid w:val="3F8E13F7"/>
    <w:rsid w:val="43EE7018"/>
    <w:rsid w:val="455F19D3"/>
    <w:rsid w:val="46596265"/>
    <w:rsid w:val="4703102D"/>
    <w:rsid w:val="47422245"/>
    <w:rsid w:val="48904B42"/>
    <w:rsid w:val="530F0D59"/>
    <w:rsid w:val="5A2E5F69"/>
    <w:rsid w:val="5BE30FD5"/>
    <w:rsid w:val="5CB62246"/>
    <w:rsid w:val="5E1436C8"/>
    <w:rsid w:val="5E8124E4"/>
    <w:rsid w:val="5F3C1128"/>
    <w:rsid w:val="65F0610C"/>
    <w:rsid w:val="6913481E"/>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2175</Words>
  <Characters>2337</Characters>
  <TotalTime>8</TotalTime>
  <ScaleCrop>false</ScaleCrop>
  <LinksUpToDate>false</LinksUpToDate>
  <CharactersWithSpaces>2353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2025-09-19T09:56:50Z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31BB5D9FCE5E4B19BF8775DBE3CE227C_13</vt:lpwstr>
  </property>
  <property fmtid="{D5CDD505-2E9C-101B-9397-08002B2CF9AE}" pid="6" name="KSOTemplateDocerSaveRecord">
    <vt:lpwstr>eyJoZGlkIjoiZjI2MTNiNTVjNGY5YmUwMjNkZTA2ZDQwOTlkNThiNGIiLCJ1c2VySWQiOiIzMTc5OTA1NSJ9</vt:lpwstr>
  </property>
</Properties>
</file>