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eastAsia="zh-CN"/>
        </w:rPr>
        <w:t>合水县教育和科学技术局</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635"/>
        <w:gridCol w:w="1872"/>
        <w:gridCol w:w="376"/>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spacing w:before="201"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合水县教育和科学技术局</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635"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72" w:type="dxa"/>
            <w:vAlign w:val="top"/>
          </w:tcPr>
          <w:p w14:paraId="4C578508">
            <w:pPr>
              <w:pStyle w:val="10"/>
              <w:spacing w:before="198" w:line="219" w:lineRule="auto"/>
              <w:ind w:left="401"/>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513" w:type="dxa"/>
            <w:gridSpan w:val="2"/>
            <w:tcBorders>
              <w:right w:val="nil"/>
            </w:tcBorders>
            <w:vAlign w:val="top"/>
          </w:tcPr>
          <w:p w14:paraId="224F3882">
            <w:pPr>
              <w:pStyle w:val="10"/>
              <w:spacing w:before="198" w:line="219" w:lineRule="auto"/>
              <w:ind w:firstLine="480" w:firstLineChars="200"/>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635"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72" w:type="dxa"/>
            <w:vAlign w:val="top"/>
          </w:tcPr>
          <w:p w14:paraId="6F2F0719">
            <w:pPr>
              <w:pStyle w:val="10"/>
              <w:spacing w:before="285" w:line="219" w:lineRule="auto"/>
              <w:ind w:left="161"/>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513"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spacing w:before="198" w:line="219" w:lineRule="auto"/>
              <w:jc w:val="center"/>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合水县教育和科学技术局</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kinsoku/>
              <w:wordWrap/>
              <w:overflowPunct/>
              <w:topLinePunct w:val="0"/>
              <w:autoSpaceDE w:val="0"/>
              <w:autoSpaceDN w:val="0"/>
              <w:bidi w:val="0"/>
              <w:adjustRightInd w:val="0"/>
              <w:snapToGrid w:val="0"/>
              <w:spacing w:before="193" w:line="303"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合水县教育和科学技术局</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衡量部门整体及核心业务实施效果,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635"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39,791.55</w:t>
            </w:r>
            <w:r>
              <w:rPr>
                <w:rFonts w:hint="eastAsia" w:asciiTheme="minorEastAsia" w:hAnsiTheme="minorEastAsia" w:eastAsiaTheme="minorEastAsia" w:cstheme="minorEastAsia"/>
                <w:spacing w:val="0"/>
                <w:sz w:val="24"/>
                <w:szCs w:val="24"/>
                <w:lang w:val="en-US" w:eastAsia="zh-CN"/>
              </w:rPr>
              <w:t>万元</w:t>
            </w:r>
          </w:p>
        </w:tc>
        <w:tc>
          <w:tcPr>
            <w:tcW w:w="2248"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51,609.92</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635"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248"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635"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39,791.55</w:t>
            </w:r>
            <w:r>
              <w:rPr>
                <w:rFonts w:hint="eastAsia" w:asciiTheme="minorEastAsia" w:hAnsiTheme="minorEastAsia" w:eastAsiaTheme="minorEastAsia" w:cstheme="minorEastAsia"/>
                <w:spacing w:val="0"/>
                <w:sz w:val="24"/>
                <w:szCs w:val="24"/>
                <w:lang w:val="en-US" w:eastAsia="zh-CN"/>
              </w:rPr>
              <w:t>万元</w:t>
            </w:r>
          </w:p>
        </w:tc>
        <w:tc>
          <w:tcPr>
            <w:tcW w:w="2248"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51,609.92</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635"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51,609.92</w:t>
            </w:r>
            <w:r>
              <w:rPr>
                <w:rFonts w:hint="eastAsia" w:asciiTheme="minorEastAsia" w:hAnsiTheme="minorEastAsia" w:eastAsiaTheme="minorEastAsia" w:cstheme="minorEastAsia"/>
                <w:spacing w:val="0"/>
                <w:sz w:val="24"/>
                <w:szCs w:val="24"/>
                <w:lang w:val="en-US" w:eastAsia="zh-CN"/>
              </w:rPr>
              <w:t>万元</w:t>
            </w:r>
          </w:p>
        </w:tc>
        <w:tc>
          <w:tcPr>
            <w:tcW w:w="2248"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spacing w:val="0"/>
                <w:sz w:val="24"/>
                <w:szCs w:val="24"/>
                <w:lang w:val="en-US" w:eastAsia="zh-CN"/>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5379F3D4">
            <w:pPr>
              <w:pStyle w:val="10"/>
              <w:keepNext w:val="0"/>
              <w:keepLines w:val="0"/>
              <w:pageBreakBefore w:val="0"/>
              <w:widowControl/>
              <w:kinsoku/>
              <w:wordWrap/>
              <w:overflowPunct/>
              <w:topLinePunct w:val="0"/>
              <w:autoSpaceDE w:val="0"/>
              <w:autoSpaceDN w:val="0"/>
              <w:bidi w:val="0"/>
              <w:adjustRightInd w:val="0"/>
              <w:snapToGrid w:val="0"/>
              <w:spacing w:before="193" w:line="303" w:lineRule="auto"/>
              <w:ind w:left="113" w:right="108" w:firstLine="48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贯彻党的二十大和国家、省、市、县教育大会精神，牢牢把握高质量发展总要求，聚焦一个中心（全面提升教育质量），落实三项措施（深化教育改革、优化教育管理、加强项目建设），突出五个重点（强化党建引领、强化队伍建设、强化机制保障、强化安全稳定、强化创新发展），全力推动教科事业高质量发展。</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spacing w:before="38" w:line="303" w:lineRule="auto"/>
              <w:ind w:left="116" w:right="151" w:firstLine="478"/>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合水县教育和科学技术局</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31F11F03">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07A6B554">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22371790">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7C095BAB">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6037956F">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30B44E1D">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37BC9F1D">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both"/>
              <w:textAlignment w:val="baseline"/>
              <w:rPr>
                <w:rFonts w:hint="eastAsia"/>
                <w:spacing w:val="0"/>
              </w:rPr>
            </w:pPr>
            <w:r>
              <w:rPr>
                <w:rFonts w:hint="eastAsia"/>
                <w:spacing w:val="0"/>
              </w:rPr>
              <w:t>围绕部门规划、运行成本、管理效率、履职效能、社会效应、可持续发展能力、服务对象满意度等七个维度构建绩效评价指标体系，其中:一级指标7个、二级指标</w:t>
            </w:r>
            <w:r>
              <w:rPr>
                <w:rFonts w:hint="eastAsia"/>
                <w:spacing w:val="0"/>
                <w:lang w:val="en-US" w:eastAsia="zh-CN"/>
              </w:rPr>
              <w:t>13</w:t>
            </w:r>
            <w:r>
              <w:rPr>
                <w:rFonts w:hint="eastAsia"/>
                <w:spacing w:val="0"/>
              </w:rPr>
              <w:t xml:space="preserve">个、三级指标32个。部门规划等一级指标占比分别为 </w:t>
            </w:r>
            <w:r>
              <w:rPr>
                <w:rFonts w:hint="eastAsia"/>
                <w:spacing w:val="0"/>
                <w:lang w:val="en-US" w:eastAsia="zh-CN"/>
              </w:rPr>
              <w:t>12</w:t>
            </w:r>
            <w:r>
              <w:rPr>
                <w:rFonts w:hint="eastAsia"/>
                <w:spacing w:val="0"/>
              </w:rPr>
              <w:t>%、</w:t>
            </w:r>
            <w:r>
              <w:rPr>
                <w:rFonts w:hint="eastAsia"/>
                <w:spacing w:val="0"/>
                <w:lang w:val="en-US" w:eastAsia="zh-CN"/>
              </w:rPr>
              <w:t>10%</w:t>
            </w:r>
            <w:r>
              <w:rPr>
                <w:rFonts w:hint="eastAsia"/>
                <w:spacing w:val="0"/>
              </w:rPr>
              <w:t>、20%、</w:t>
            </w:r>
            <w:r>
              <w:rPr>
                <w:rFonts w:hint="eastAsia"/>
                <w:spacing w:val="0"/>
                <w:lang w:val="en-US" w:eastAsia="zh-CN"/>
              </w:rPr>
              <w:t>34</w:t>
            </w:r>
            <w:r>
              <w:rPr>
                <w:rFonts w:hint="eastAsia"/>
                <w:spacing w:val="0"/>
              </w:rPr>
              <w:t>%、</w:t>
            </w:r>
            <w:r>
              <w:rPr>
                <w:rFonts w:hint="eastAsia"/>
                <w:spacing w:val="0"/>
                <w:lang w:val="en-US" w:eastAsia="zh-CN"/>
              </w:rPr>
              <w:t>4</w:t>
            </w:r>
            <w:r>
              <w:rPr>
                <w:rFonts w:hint="eastAsia"/>
                <w:spacing w:val="0"/>
              </w:rPr>
              <w:t>%、</w:t>
            </w:r>
            <w:r>
              <w:rPr>
                <w:rFonts w:hint="eastAsia"/>
                <w:spacing w:val="0"/>
                <w:lang w:val="en-US" w:eastAsia="zh-CN"/>
              </w:rPr>
              <w:t>10</w:t>
            </w:r>
            <w:r>
              <w:rPr>
                <w:rFonts w:hint="eastAsia"/>
                <w:spacing w:val="0"/>
              </w:rPr>
              <w:t>%、</w:t>
            </w:r>
            <w:r>
              <w:rPr>
                <w:rFonts w:hint="eastAsia"/>
                <w:spacing w:val="0"/>
                <w:lang w:val="en-US" w:eastAsia="zh-CN"/>
              </w:rPr>
              <w:t>10</w:t>
            </w:r>
            <w:r>
              <w:rPr>
                <w:rFonts w:hint="eastAsia"/>
                <w:spacing w:val="0"/>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kinsoku/>
              <w:wordWrap/>
              <w:overflowPunct/>
              <w:topLinePunct w:val="0"/>
              <w:autoSpaceDE w:val="0"/>
              <w:autoSpaceDN w:val="0"/>
              <w:bidi w:val="0"/>
              <w:adjustRightInd w:val="0"/>
              <w:snapToGrid w:val="0"/>
              <w:spacing w:before="88" w:line="298" w:lineRule="auto"/>
              <w:ind w:right="119" w:firstLine="480" w:firstLineChars="200"/>
              <w:jc w:val="left"/>
              <w:textAlignment w:val="baseline"/>
              <w:rPr>
                <w:spacing w:val="0"/>
              </w:rPr>
            </w:pPr>
            <w:r>
              <w:rPr>
                <w:rFonts w:hint="eastAsia"/>
                <w:spacing w:val="0"/>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asciiTheme="minorEastAsia" w:hAnsiTheme="minorEastAsia" w:eastAsiaTheme="minorEastAsia" w:cstheme="minorEastAsia"/>
                <w:b/>
                <w:bCs/>
                <w:spacing w:val="0"/>
                <w:sz w:val="24"/>
                <w:szCs w:val="24"/>
              </w:rPr>
            </w:pPr>
            <w:r>
              <w:rPr>
                <w:rFonts w:hint="eastAsia"/>
                <w:spacing w:val="0"/>
              </w:rPr>
              <w:t>信息与数据收集采取抽样调查、现场调研、结构式访</w:t>
            </w:r>
            <w:r>
              <w:rPr>
                <w:rFonts w:hint="eastAsia"/>
                <w:spacing w:val="0"/>
                <w:lang w:val="en-US" w:eastAsia="zh-CN"/>
              </w:rPr>
              <w:t>谈</w:t>
            </w:r>
            <w:bookmarkStart w:id="4" w:name="_GoBack"/>
            <w:bookmarkEnd w:id="4"/>
            <w:r>
              <w:rPr>
                <w:rFonts w:hint="eastAsia"/>
                <w:spacing w:val="0"/>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eastAsia="宋体"/>
                <w:spacing w:val="0"/>
                <w:lang w:eastAsia="zh-CN"/>
              </w:rPr>
            </w:pPr>
            <w:r>
              <w:rPr>
                <w:rFonts w:hint="eastAsia"/>
                <w:spacing w:val="0"/>
              </w:rPr>
              <w:t>接受委托任务、拟定方案、开展培训、现场评价、撰写报告、资料归档</w:t>
            </w:r>
            <w:r>
              <w:rPr>
                <w:rFonts w:hint="eastAsia"/>
                <w:spacing w:val="0"/>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857"/>
        <w:gridCol w:w="854"/>
        <w:gridCol w:w="750"/>
        <w:gridCol w:w="720"/>
        <w:gridCol w:w="780"/>
        <w:gridCol w:w="750"/>
        <w:gridCol w:w="1050"/>
        <w:gridCol w:w="1020"/>
        <w:gridCol w:w="1046"/>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top"/>
          </w:tcPr>
          <w:p w14:paraId="08AA7ECA">
            <w:pPr>
              <w:pStyle w:val="10"/>
              <w:spacing w:before="117" w:line="220" w:lineRule="auto"/>
              <w:ind w:left="146"/>
              <w:rPr>
                <w:rFonts w:hint="eastAsia" w:asciiTheme="minorEastAsia" w:hAnsiTheme="minorEastAsia" w:eastAsiaTheme="minorEastAsia" w:cstheme="minorEastAsia"/>
                <w:spacing w:val="0"/>
                <w:sz w:val="24"/>
                <w:szCs w:val="24"/>
              </w:rPr>
            </w:pPr>
            <w:r>
              <w:rPr>
                <w:b/>
                <w:bCs/>
                <w:spacing w:val="-6"/>
              </w:rPr>
              <w:t>综合评价结论</w:t>
            </w:r>
          </w:p>
        </w:tc>
        <w:tc>
          <w:tcPr>
            <w:tcW w:w="1711"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250"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90分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180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206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优</w:t>
            </w: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top"/>
          </w:tcPr>
          <w:p w14:paraId="573773EA">
            <w:pPr>
              <w:spacing w:line="244" w:lineRule="auto"/>
              <w:rPr>
                <w:rFonts w:hint="eastAsia" w:asciiTheme="minorEastAsia" w:hAnsiTheme="minorEastAsia" w:eastAsiaTheme="minorEastAsia" w:cstheme="minorEastAsia"/>
                <w:spacing w:val="0"/>
                <w:sz w:val="24"/>
                <w:szCs w:val="24"/>
              </w:rPr>
            </w:pPr>
          </w:p>
          <w:p w14:paraId="4B231BE8">
            <w:pPr>
              <w:pStyle w:val="10"/>
              <w:spacing w:before="78" w:line="220" w:lineRule="auto"/>
              <w:jc w:val="center"/>
              <w:rPr>
                <w:rFonts w:hint="eastAsia"/>
                <w:b/>
                <w:bCs/>
                <w:spacing w:val="-6"/>
                <w:lang w:eastAsia="zh-CN"/>
              </w:rPr>
            </w:pPr>
          </w:p>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rFonts w:hint="eastAsia"/>
                <w:b/>
                <w:bCs/>
                <w:spacing w:val="-5"/>
                <w:lang w:val="en-US" w:eastAsia="zh-CN"/>
              </w:rPr>
              <w:t xml:space="preserve"> </w:t>
            </w:r>
            <w:r>
              <w:rPr>
                <w:b/>
                <w:bCs/>
                <w:spacing w:val="-5"/>
              </w:rPr>
              <w:t>分析</w:t>
            </w:r>
          </w:p>
        </w:tc>
        <w:tc>
          <w:tcPr>
            <w:tcW w:w="857" w:type="dxa"/>
            <w:vAlign w:val="center"/>
          </w:tcPr>
          <w:p w14:paraId="4DFEE862">
            <w:pPr>
              <w:pStyle w:val="10"/>
              <w:spacing w:before="78" w:line="221" w:lineRule="auto"/>
              <w:ind w:left="178"/>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854"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750"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20"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780"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75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5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1020"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1046"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top"/>
          </w:tcPr>
          <w:p w14:paraId="5D5C8174">
            <w:pPr>
              <w:rPr>
                <w:rFonts w:hint="eastAsia" w:asciiTheme="minorEastAsia" w:hAnsiTheme="minorEastAsia" w:eastAsiaTheme="minorEastAsia" w:cstheme="minorEastAsia"/>
                <w:spacing w:val="0"/>
                <w:sz w:val="24"/>
                <w:szCs w:val="24"/>
              </w:rPr>
            </w:pPr>
          </w:p>
        </w:tc>
        <w:tc>
          <w:tcPr>
            <w:tcW w:w="857" w:type="dxa"/>
            <w:vAlign w:val="top"/>
          </w:tcPr>
          <w:p w14:paraId="077BB81C">
            <w:pPr>
              <w:pStyle w:val="10"/>
              <w:spacing w:before="174" w:line="284" w:lineRule="auto"/>
              <w:ind w:left="304" w:right="169" w:hanging="11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854" w:type="dxa"/>
            <w:vAlign w:val="center"/>
          </w:tcPr>
          <w:p w14:paraId="410E4AED">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750"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20"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780"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5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20"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1046"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90%</w:t>
            </w:r>
          </w:p>
        </w:tc>
      </w:tr>
    </w:tbl>
    <w:p w14:paraId="12F5AC03">
      <w:pPr>
        <w:pStyle w:val="2"/>
        <w:spacing w:before="238" w:line="219" w:lineRule="auto"/>
        <w:jc w:val="center"/>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spacing w:line="91" w:lineRule="auto"/>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556" w:hRule="atLeast"/>
        </w:trPr>
        <w:tc>
          <w:tcPr>
            <w:tcW w:w="8530" w:type="dxa"/>
            <w:tcBorders>
              <w:tl2br w:val="nil"/>
              <w:tr2bl w:val="nil"/>
            </w:tcBorders>
            <w:vAlign w:val="center"/>
          </w:tcPr>
          <w:p w14:paraId="3900468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bookmarkStart w:id="0" w:name="_Toc21567"/>
          </w:p>
          <w:bookmarkEnd w:id="0"/>
          <w:p w14:paraId="47996CB8">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1.资产管理制度、重点工作管理制度相关制度内容不完善、预算管理制度不完善、财务核算制度不规范、资金监管制度缺失、采购制度内容制定不完善。核心制度缺失或碎片化：部分组织缺乏基础性制度（如《全面预算管理制度》《资金支付审批管理办法》），或制度分散在不同文件中，未形成统一体系。</w:t>
            </w:r>
          </w:p>
          <w:p w14:paraId="4DB406FB">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bookmarkStart w:id="1" w:name="_Toc15647"/>
            <w:r>
              <w:rPr>
                <w:rFonts w:hint="eastAsia"/>
                <w:spacing w:val="0"/>
                <w:lang w:val="en-US" w:eastAsia="zh-CN"/>
              </w:rPr>
              <w:t>2.预算与决算差距过大</w:t>
            </w:r>
            <w:bookmarkEnd w:id="1"/>
            <w:r>
              <w:rPr>
                <w:rFonts w:hint="eastAsia"/>
                <w:spacing w:val="0"/>
                <w:lang w:val="en-US" w:eastAsia="zh-CN"/>
              </w:rPr>
              <w:t>；根据合水县教育和科学技术局2024年预算下达数为39,791.55万元，决算数字为49037.04万元，预算决算编制粗糙，无法反映真实差异原因，决算报表仅罗列收支总额，未详细说明“哪些项目超支、哪些项目结余”及具体原因。</w:t>
            </w:r>
          </w:p>
          <w:p w14:paraId="049A65B4">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both"/>
              <w:textAlignment w:val="baseline"/>
              <w:rPr>
                <w:rFonts w:hint="eastAsia"/>
                <w:spacing w:val="0"/>
                <w:lang w:val="en-US" w:eastAsia="zh-CN"/>
              </w:rPr>
            </w:pPr>
            <w:bookmarkStart w:id="2" w:name="_Toc30727"/>
            <w:r>
              <w:rPr>
                <w:rFonts w:hint="eastAsia"/>
                <w:spacing w:val="0"/>
                <w:lang w:val="en-US" w:eastAsia="zh-CN"/>
              </w:rPr>
              <w:t>3.内部控制制度不健全</w:t>
            </w:r>
            <w:bookmarkEnd w:id="2"/>
            <w:r>
              <w:rPr>
                <w:rFonts w:hint="eastAsia"/>
                <w:spacing w:val="0"/>
                <w:lang w:val="en-US" w:eastAsia="zh-CN"/>
              </w:rPr>
              <w:t>；核心领域存在空白，缺乏系统性内控框架。未形成覆盖 “教育经费管理、科技项目审批、资产处置、招生考试” 等核心业务的内控体系，仅依赖零散的文件规定（如《办公用品采购须知》《会议费报销标准》），且未明确各环节的风险点与防控措施。</w:t>
            </w:r>
          </w:p>
          <w:p w14:paraId="6F149175">
            <w:pPr>
              <w:pStyle w:val="10"/>
              <w:keepNext/>
              <w:keepLines/>
              <w:pageBreakBefore w:val="0"/>
              <w:widowControl w:val="0"/>
              <w:kinsoku/>
              <w:wordWrap/>
              <w:overflowPunct w:val="0"/>
              <w:topLinePunct/>
              <w:autoSpaceDE/>
              <w:autoSpaceDN/>
              <w:bidi w:val="0"/>
              <w:adjustRightInd w:val="0"/>
              <w:snapToGrid w:val="0"/>
              <w:spacing w:line="219" w:lineRule="auto"/>
              <w:ind w:left="0" w:firstLine="480" w:firstLineChars="200"/>
              <w:jc w:val="left"/>
              <w:textAlignment w:val="baseline"/>
              <w:rPr>
                <w:rFonts w:hint="eastAsia"/>
                <w:spacing w:val="0"/>
                <w:lang w:val="en-US" w:eastAsia="zh-CN"/>
              </w:rPr>
            </w:pPr>
            <w:bookmarkStart w:id="3" w:name="_Toc6435"/>
            <w:r>
              <w:rPr>
                <w:rFonts w:hint="eastAsia"/>
                <w:spacing w:val="0"/>
                <w:lang w:val="en-US" w:eastAsia="zh-CN"/>
              </w:rPr>
              <w:t>4.绩效管理工作不规范</w:t>
            </w:r>
            <w:bookmarkEnd w:id="3"/>
            <w:r>
              <w:rPr>
                <w:rFonts w:hint="eastAsia"/>
                <w:spacing w:val="0"/>
                <w:lang w:val="en-US" w:eastAsia="zh-CN"/>
              </w:rPr>
              <w:t>；目标模糊且量化不足：年度绩效目标多为 “提升教育教学质量”“推动科技创新发展” 等定性表述，缺乏可衡量的具体指标。例如，“提升农村学校教学水平” 未明确 “教师培训覆盖率”“学生成绩提升幅度” 等量化标准，导致工作推进无明确方向，考核时只能凭主观印象评判。</w:t>
            </w:r>
          </w:p>
          <w:p w14:paraId="3059C8E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asciiTheme="minorEastAsia" w:hAnsiTheme="minorEastAsia" w:eastAsiaTheme="minorEastAsia" w:cstheme="minorEastAsia"/>
                <w:spacing w:val="0"/>
                <w:sz w:val="24"/>
                <w:szCs w:val="24"/>
                <w:lang w:eastAsia="zh-CN"/>
              </w:rPr>
            </w:pP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spacing w:before="193" w:line="220" w:lineRule="auto"/>
              <w:ind w:left="3312"/>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57330E5A">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1.构建系统性制度框架，明确制度建设优先级,如强化预算管理、规范资金使用、完善财务监督机制、资产管理制度、规范采购行为、加强采购监督管理、规范履约验收和档案管理，加强业务培训，指定专人负责制度的编制、装订、发放、回收及更新工作，明确各环节责任，确保制度管理工作常态化、规范化。</w:t>
            </w:r>
          </w:p>
          <w:p w14:paraId="6777BB42">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2.规范决算编制与分析，提升数据真实性；强化监督问责，压实管理责任推动“预算与决算数据联动”，将决算差异数据纳入下年度预算编制依据，形成“编制—执行—决算—优化”闭环。</w:t>
            </w:r>
          </w:p>
          <w:p w14:paraId="79ACA6FD">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3.应提高内部控制意识，制定与单位实际情况相符的内部控制制度。</w:t>
            </w:r>
          </w:p>
          <w:p w14:paraId="5F9B45B1">
            <w:pPr>
              <w:pStyle w:val="10"/>
              <w:keepNext/>
              <w:keepLines/>
              <w:pageBreakBefore w:val="0"/>
              <w:widowControl w:val="0"/>
              <w:numPr>
                <w:ilvl w:val="0"/>
                <w:numId w:val="0"/>
              </w:numPr>
              <w:kinsoku/>
              <w:wordWrap/>
              <w:overflowPunct w:val="0"/>
              <w:topLinePunct/>
              <w:autoSpaceDE/>
              <w:autoSpaceDN/>
              <w:bidi w:val="0"/>
              <w:adjustRightInd w:val="0"/>
              <w:snapToGrid w:val="0"/>
              <w:spacing w:line="219" w:lineRule="auto"/>
              <w:ind w:firstLine="480" w:firstLineChars="200"/>
              <w:jc w:val="both"/>
              <w:textAlignment w:val="baseline"/>
              <w:rPr>
                <w:rFonts w:hint="eastAsia"/>
                <w:spacing w:val="0"/>
                <w:lang w:val="en-US" w:eastAsia="zh-CN"/>
              </w:rPr>
            </w:pPr>
            <w:r>
              <w:rPr>
                <w:rFonts w:hint="eastAsia"/>
                <w:spacing w:val="0"/>
                <w:lang w:val="en-US" w:eastAsia="zh-CN"/>
              </w:rPr>
              <w:t>4.规范绩效目标设定，强化目标与实际需求的匹配度构建量化清晰的目标体系：将年度绩效目标细化为可衡量、可考核的具体指标，避免模糊表述；规范绩效目标设定，强化目标与实际需求的匹配度；强化结果应用，建立激励约束闭环。</w:t>
            </w:r>
          </w:p>
          <w:p w14:paraId="5EB4B28E">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19" w:lineRule="auto"/>
              <w:jc w:val="left"/>
              <w:textAlignment w:val="baseline"/>
              <w:rPr>
                <w:rFonts w:hint="default"/>
                <w:spacing w:val="0"/>
                <w:lang w:val="en-US" w:eastAsia="zh-CN"/>
              </w:rPr>
            </w:pP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spacing w:before="239" w:line="220" w:lineRule="auto"/>
              <w:ind w:left="3190"/>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0A63ED9"/>
    <w:rsid w:val="02E1776D"/>
    <w:rsid w:val="039A50CD"/>
    <w:rsid w:val="049C7DEF"/>
    <w:rsid w:val="058663AA"/>
    <w:rsid w:val="065A37E2"/>
    <w:rsid w:val="067E2E92"/>
    <w:rsid w:val="067E3AD6"/>
    <w:rsid w:val="07A86AAB"/>
    <w:rsid w:val="07BC4304"/>
    <w:rsid w:val="09B554AF"/>
    <w:rsid w:val="0ADE7E9F"/>
    <w:rsid w:val="0C8F3D96"/>
    <w:rsid w:val="11A57E6D"/>
    <w:rsid w:val="12C329EB"/>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F8E13F7"/>
    <w:rsid w:val="43EE7018"/>
    <w:rsid w:val="455F19D3"/>
    <w:rsid w:val="46596265"/>
    <w:rsid w:val="4703102D"/>
    <w:rsid w:val="47422245"/>
    <w:rsid w:val="48904B42"/>
    <w:rsid w:val="530F0D59"/>
    <w:rsid w:val="5A2E5F69"/>
    <w:rsid w:val="5BE30FD5"/>
    <w:rsid w:val="5CB62246"/>
    <w:rsid w:val="5E1436C8"/>
    <w:rsid w:val="5E8124E4"/>
    <w:rsid w:val="5ED96B00"/>
    <w:rsid w:val="5F3C1128"/>
    <w:rsid w:val="65F0610C"/>
    <w:rsid w:val="6913481E"/>
    <w:rsid w:val="6DA700B4"/>
    <w:rsid w:val="6E7C43B5"/>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2240</Words>
  <Characters>2394</Characters>
  <TotalTime>0</TotalTime>
  <ScaleCrop>false</ScaleCrop>
  <LinksUpToDate>false</LinksUpToDate>
  <CharactersWithSpaces>2412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2025-09-19T09:53:59Z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31BB5D9FCE5E4B19BF8775DBE3CE227C_13</vt:lpwstr>
  </property>
  <property fmtid="{D5CDD505-2E9C-101B-9397-08002B2CF9AE}" pid="6" name="KSOTemplateDocerSaveRecord">
    <vt:lpwstr>eyJoZGlkIjoiZjI2MTNiNTVjNGY5YmUwMjNkZTA2ZDQwOTlkNThiNGIiLCJ1c2VySWQiOiIzMTc5OTA1NSJ9</vt:lpwstr>
  </property>
</Properties>
</file>