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8520D">
      <w:pPr>
        <w:spacing w:before="85" w:line="492" w:lineRule="exact"/>
        <w:jc w:val="center"/>
        <w:outlineLvl w:val="0"/>
        <w:rPr>
          <w:rFonts w:hint="eastAsia" w:asciiTheme="minorEastAsia" w:hAnsiTheme="minorEastAsia" w:eastAsiaTheme="minorEastAsia" w:cstheme="minorEastAsia"/>
          <w:b/>
          <w:bCs/>
          <w:spacing w:val="0"/>
          <w:position w:val="2"/>
          <w:sz w:val="36"/>
          <w:szCs w:val="36"/>
        </w:rPr>
      </w:pPr>
      <w:r>
        <w:rPr>
          <w:rFonts w:hint="eastAsia" w:asciiTheme="minorEastAsia" w:hAnsiTheme="minorEastAsia" w:eastAsiaTheme="minorEastAsia" w:cstheme="minorEastAsia"/>
          <w:b/>
          <w:bCs/>
          <w:spacing w:val="0"/>
          <w:position w:val="2"/>
          <w:sz w:val="36"/>
          <w:szCs w:val="36"/>
          <w:lang w:eastAsia="zh-CN"/>
        </w:rPr>
        <w:t>合水县城市管理综合行政执法队</w:t>
      </w:r>
      <w:r>
        <w:rPr>
          <w:rFonts w:hint="eastAsia" w:asciiTheme="minorEastAsia" w:hAnsiTheme="minorEastAsia" w:eastAsiaTheme="minorEastAsia" w:cstheme="minorEastAsia"/>
          <w:b/>
          <w:bCs/>
          <w:spacing w:val="0"/>
          <w:position w:val="2"/>
          <w:sz w:val="36"/>
          <w:szCs w:val="36"/>
        </w:rPr>
        <w:t>部门整体支出</w:t>
      </w:r>
    </w:p>
    <w:p w14:paraId="688B9A51">
      <w:pPr>
        <w:spacing w:before="85" w:line="492" w:lineRule="exact"/>
        <w:jc w:val="center"/>
        <w:outlineLvl w:val="0"/>
        <w:rPr>
          <w:rFonts w:hint="eastAsia" w:asciiTheme="minorEastAsia" w:hAnsiTheme="minorEastAsia" w:eastAsiaTheme="minorEastAsia" w:cstheme="minorEastAsia"/>
          <w:spacing w:val="0"/>
          <w:sz w:val="36"/>
          <w:szCs w:val="36"/>
        </w:rPr>
      </w:pPr>
      <w:r>
        <w:rPr>
          <w:rFonts w:hint="eastAsia" w:asciiTheme="minorEastAsia" w:hAnsiTheme="minorEastAsia" w:eastAsiaTheme="minorEastAsia" w:cstheme="minorEastAsia"/>
          <w:b/>
          <w:bCs/>
          <w:spacing w:val="0"/>
          <w:position w:val="2"/>
          <w:sz w:val="36"/>
          <w:szCs w:val="36"/>
        </w:rPr>
        <w:t>绩效评价报告</w:t>
      </w:r>
    </w:p>
    <w:p w14:paraId="2877EE77">
      <w:pPr>
        <w:spacing w:line="55"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807"/>
        <w:gridCol w:w="1551"/>
        <w:gridCol w:w="1848"/>
        <w:gridCol w:w="484"/>
        <w:gridCol w:w="2137"/>
      </w:tblGrid>
      <w:tr w14:paraId="23D57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29" w:type="dxa"/>
            <w:gridSpan w:val="6"/>
            <w:tcBorders>
              <w:left w:val="nil"/>
              <w:bottom w:val="nil"/>
              <w:right w:val="nil"/>
            </w:tcBorders>
            <w:vAlign w:val="center"/>
          </w:tcPr>
          <w:p w14:paraId="6E4CB95B">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一、项目基本情况</w:t>
            </w:r>
          </w:p>
        </w:tc>
      </w:tr>
      <w:tr w14:paraId="5CD06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02" w:type="dxa"/>
            <w:vMerge w:val="restart"/>
            <w:tcBorders>
              <w:left w:val="nil"/>
              <w:bottom w:val="nil"/>
            </w:tcBorders>
            <w:textDirection w:val="tbRlV"/>
            <w:vAlign w:val="top"/>
          </w:tcPr>
          <w:p w14:paraId="75D206E8">
            <w:pPr>
              <w:pStyle w:val="10"/>
              <w:spacing w:before="229" w:line="209" w:lineRule="auto"/>
              <w:ind w:left="552"/>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基</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本</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情</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况</w:t>
            </w:r>
          </w:p>
        </w:tc>
        <w:tc>
          <w:tcPr>
            <w:tcW w:w="1807" w:type="dxa"/>
            <w:vAlign w:val="top"/>
          </w:tcPr>
          <w:p w14:paraId="72555EE4">
            <w:pPr>
              <w:pStyle w:val="10"/>
              <w:spacing w:before="201" w:line="221" w:lineRule="auto"/>
              <w:ind w:left="43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项目名称</w:t>
            </w:r>
          </w:p>
        </w:tc>
        <w:tc>
          <w:tcPr>
            <w:tcW w:w="6020" w:type="dxa"/>
            <w:gridSpan w:val="4"/>
            <w:tcBorders>
              <w:right w:val="nil"/>
            </w:tcBorders>
            <w:vAlign w:val="center"/>
          </w:tcPr>
          <w:p w14:paraId="74F7AC73">
            <w:pPr>
              <w:pStyle w:val="10"/>
              <w:keepNext w:val="0"/>
              <w:keepLines w:val="0"/>
              <w:pageBreakBefore w:val="0"/>
              <w:widowControl w:val="0"/>
              <w:kinsoku/>
              <w:wordWrap/>
              <w:overflowPunct w:val="0"/>
              <w:topLinePunct/>
              <w:autoSpaceDE/>
              <w:autoSpaceDN/>
              <w:bidi w:val="0"/>
              <w:adjustRightInd w:val="0"/>
              <w:snapToGrid w:val="0"/>
              <w:spacing w:line="400" w:lineRule="exact"/>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合水县城市管理综合行政执法队</w:t>
            </w:r>
            <w:r>
              <w:rPr>
                <w:rFonts w:hint="eastAsia" w:asciiTheme="minorEastAsia" w:hAnsiTheme="minorEastAsia" w:eastAsiaTheme="minorEastAsia" w:cstheme="minorEastAsia"/>
                <w:spacing w:val="0"/>
                <w:sz w:val="24"/>
                <w:szCs w:val="24"/>
              </w:rPr>
              <w:t>部门整体支出绩效评价</w:t>
            </w:r>
          </w:p>
        </w:tc>
      </w:tr>
      <w:tr w14:paraId="649E7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continue"/>
            <w:tcBorders>
              <w:top w:val="nil"/>
              <w:left w:val="nil"/>
              <w:bottom w:val="nil"/>
            </w:tcBorders>
            <w:textDirection w:val="tbRlV"/>
            <w:vAlign w:val="top"/>
          </w:tcPr>
          <w:p w14:paraId="6F7B67CA">
            <w:pPr>
              <w:rPr>
                <w:rFonts w:hint="eastAsia" w:asciiTheme="minorEastAsia" w:hAnsiTheme="minorEastAsia" w:eastAsiaTheme="minorEastAsia" w:cstheme="minorEastAsia"/>
                <w:spacing w:val="0"/>
                <w:sz w:val="24"/>
                <w:szCs w:val="24"/>
              </w:rPr>
            </w:pPr>
          </w:p>
        </w:tc>
        <w:tc>
          <w:tcPr>
            <w:tcW w:w="1807" w:type="dxa"/>
            <w:vAlign w:val="top"/>
          </w:tcPr>
          <w:p w14:paraId="2EA19E04">
            <w:pPr>
              <w:pStyle w:val="10"/>
              <w:spacing w:before="198" w:line="219" w:lineRule="auto"/>
              <w:ind w:left="42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评价年度</w:t>
            </w:r>
          </w:p>
        </w:tc>
        <w:tc>
          <w:tcPr>
            <w:tcW w:w="1551" w:type="dxa"/>
            <w:vAlign w:val="top"/>
          </w:tcPr>
          <w:p w14:paraId="0329762F">
            <w:pPr>
              <w:pStyle w:val="10"/>
              <w:spacing w:before="199" w:line="220"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202</w:t>
            </w: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t>年度</w:t>
            </w:r>
          </w:p>
        </w:tc>
        <w:tc>
          <w:tcPr>
            <w:tcW w:w="1848" w:type="dxa"/>
            <w:vAlign w:val="top"/>
          </w:tcPr>
          <w:p w14:paraId="4C578508">
            <w:pPr>
              <w:pStyle w:val="10"/>
              <w:spacing w:before="19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评价类型</w:t>
            </w:r>
          </w:p>
        </w:tc>
        <w:tc>
          <w:tcPr>
            <w:tcW w:w="2621" w:type="dxa"/>
            <w:gridSpan w:val="2"/>
            <w:tcBorders>
              <w:right w:val="nil"/>
            </w:tcBorders>
            <w:vAlign w:val="top"/>
          </w:tcPr>
          <w:p w14:paraId="224F3882">
            <w:pPr>
              <w:pStyle w:val="10"/>
              <w:keepNext w:val="0"/>
              <w:keepLines w:val="0"/>
              <w:pageBreakBefore w:val="0"/>
              <w:widowControl w:val="0"/>
              <w:kinsoku/>
              <w:wordWrap/>
              <w:overflowPunct w:val="0"/>
              <w:topLinePunct/>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财政</w:t>
            </w:r>
            <w:r>
              <w:rPr>
                <w:rFonts w:hint="eastAsia" w:asciiTheme="minorEastAsia" w:hAnsiTheme="minorEastAsia" w:eastAsiaTheme="minorEastAsia" w:cstheme="minorEastAsia"/>
                <w:spacing w:val="0"/>
                <w:sz w:val="24"/>
                <w:szCs w:val="24"/>
              </w:rPr>
              <w:t>评价</w:t>
            </w:r>
          </w:p>
        </w:tc>
      </w:tr>
      <w:tr w14:paraId="3C413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02" w:type="dxa"/>
            <w:vMerge w:val="continue"/>
            <w:tcBorders>
              <w:top w:val="nil"/>
              <w:left w:val="nil"/>
              <w:bottom w:val="nil"/>
            </w:tcBorders>
            <w:textDirection w:val="tbRlV"/>
            <w:vAlign w:val="top"/>
          </w:tcPr>
          <w:p w14:paraId="39E1F17B">
            <w:pPr>
              <w:rPr>
                <w:rFonts w:hint="eastAsia" w:asciiTheme="minorEastAsia" w:hAnsiTheme="minorEastAsia" w:eastAsiaTheme="minorEastAsia" w:cstheme="minorEastAsia"/>
                <w:spacing w:val="0"/>
                <w:sz w:val="24"/>
                <w:szCs w:val="24"/>
              </w:rPr>
            </w:pPr>
          </w:p>
        </w:tc>
        <w:tc>
          <w:tcPr>
            <w:tcW w:w="1807" w:type="dxa"/>
            <w:vAlign w:val="top"/>
          </w:tcPr>
          <w:p w14:paraId="64C60D4E">
            <w:pPr>
              <w:pStyle w:val="10"/>
              <w:spacing w:before="285" w:line="219" w:lineRule="auto"/>
              <w:ind w:left="18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委托评价单位</w:t>
            </w:r>
          </w:p>
        </w:tc>
        <w:tc>
          <w:tcPr>
            <w:tcW w:w="1551" w:type="dxa"/>
            <w:vAlign w:val="top"/>
          </w:tcPr>
          <w:p w14:paraId="5290E408">
            <w:pPr>
              <w:pStyle w:val="10"/>
              <w:spacing w:before="286"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合水</w:t>
            </w:r>
            <w:r>
              <w:rPr>
                <w:rFonts w:hint="eastAsia" w:asciiTheme="minorEastAsia" w:hAnsiTheme="minorEastAsia" w:eastAsiaTheme="minorEastAsia" w:cstheme="minorEastAsia"/>
                <w:spacing w:val="0"/>
                <w:sz w:val="24"/>
                <w:szCs w:val="24"/>
              </w:rPr>
              <w:t>县财政局</w:t>
            </w:r>
          </w:p>
        </w:tc>
        <w:tc>
          <w:tcPr>
            <w:tcW w:w="1848" w:type="dxa"/>
            <w:vAlign w:val="top"/>
          </w:tcPr>
          <w:p w14:paraId="6F2F0719">
            <w:pPr>
              <w:pStyle w:val="10"/>
              <w:spacing w:before="285"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评价机构名称</w:t>
            </w:r>
          </w:p>
        </w:tc>
        <w:tc>
          <w:tcPr>
            <w:tcW w:w="2621" w:type="dxa"/>
            <w:gridSpan w:val="2"/>
            <w:tcBorders>
              <w:right w:val="nil"/>
            </w:tcBorders>
            <w:vAlign w:val="top"/>
          </w:tcPr>
          <w:p w14:paraId="12367D41">
            <w:pPr>
              <w:pStyle w:val="10"/>
              <w:spacing w:before="96" w:line="229" w:lineRule="auto"/>
              <w:ind w:right="292"/>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甘肃正成鸿诺会计师事务所（普通合伙）</w:t>
            </w:r>
          </w:p>
        </w:tc>
      </w:tr>
      <w:tr w14:paraId="6499B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02" w:type="dxa"/>
            <w:vMerge w:val="continue"/>
            <w:tcBorders>
              <w:top w:val="nil"/>
              <w:left w:val="nil"/>
            </w:tcBorders>
            <w:textDirection w:val="tbRlV"/>
            <w:vAlign w:val="top"/>
          </w:tcPr>
          <w:p w14:paraId="287D7E1E">
            <w:pPr>
              <w:rPr>
                <w:rFonts w:hint="eastAsia" w:asciiTheme="minorEastAsia" w:hAnsiTheme="minorEastAsia" w:eastAsiaTheme="minorEastAsia" w:cstheme="minorEastAsia"/>
                <w:spacing w:val="0"/>
                <w:sz w:val="24"/>
                <w:szCs w:val="24"/>
              </w:rPr>
            </w:pPr>
          </w:p>
        </w:tc>
        <w:tc>
          <w:tcPr>
            <w:tcW w:w="1807" w:type="dxa"/>
            <w:vAlign w:val="top"/>
          </w:tcPr>
          <w:p w14:paraId="12295708">
            <w:pPr>
              <w:pStyle w:val="10"/>
              <w:spacing w:before="197" w:line="219" w:lineRule="auto"/>
              <w:ind w:left="18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评价对象名称</w:t>
            </w:r>
          </w:p>
        </w:tc>
        <w:tc>
          <w:tcPr>
            <w:tcW w:w="6020" w:type="dxa"/>
            <w:gridSpan w:val="4"/>
            <w:tcBorders>
              <w:right w:val="nil"/>
            </w:tcBorders>
            <w:vAlign w:val="center"/>
          </w:tcPr>
          <w:p w14:paraId="01CA1CD3">
            <w:pPr>
              <w:pStyle w:val="10"/>
              <w:keepNext w:val="0"/>
              <w:keepLines w:val="0"/>
              <w:pageBreakBefore w:val="0"/>
              <w:widowControl w:val="0"/>
              <w:kinsoku/>
              <w:wordWrap/>
              <w:overflowPunct w:val="0"/>
              <w:topLinePunct/>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eastAsia="zh-CN"/>
              </w:rPr>
              <w:t>合水县城市管理综合行政执法队</w:t>
            </w:r>
          </w:p>
        </w:tc>
      </w:tr>
      <w:tr w14:paraId="4DBF5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702" w:type="dxa"/>
            <w:tcBorders>
              <w:left w:val="nil"/>
            </w:tcBorders>
            <w:textDirection w:val="tbRlV"/>
            <w:vAlign w:val="top"/>
          </w:tcPr>
          <w:p w14:paraId="3218D0BA">
            <w:pPr>
              <w:pStyle w:val="10"/>
              <w:spacing w:before="229" w:line="202" w:lineRule="auto"/>
              <w:ind w:left="20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实</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施</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position w:val="1"/>
                <w:sz w:val="24"/>
                <w:szCs w:val="24"/>
              </w:rPr>
              <w:t>目</w:t>
            </w:r>
            <w:r>
              <w:rPr>
                <w:rFonts w:hint="eastAsia" w:asciiTheme="minorEastAsia" w:hAnsiTheme="minorEastAsia" w:eastAsiaTheme="minorEastAsia" w:cstheme="minorEastAsia"/>
                <w:spacing w:val="0"/>
                <w:position w:val="1"/>
                <w:sz w:val="24"/>
                <w:szCs w:val="24"/>
              </w:rPr>
              <w:t xml:space="preserve"> </w:t>
            </w:r>
            <w:r>
              <w:rPr>
                <w:rFonts w:hint="eastAsia" w:asciiTheme="minorEastAsia" w:hAnsiTheme="minorEastAsia" w:eastAsiaTheme="minorEastAsia" w:cstheme="minorEastAsia"/>
                <w:b/>
                <w:bCs/>
                <w:spacing w:val="0"/>
                <w:sz w:val="24"/>
                <w:szCs w:val="24"/>
              </w:rPr>
              <w:t>的</w:t>
            </w:r>
          </w:p>
        </w:tc>
        <w:tc>
          <w:tcPr>
            <w:tcW w:w="7827" w:type="dxa"/>
            <w:gridSpan w:val="5"/>
            <w:tcBorders>
              <w:right w:val="nil"/>
            </w:tcBorders>
            <w:vAlign w:val="top"/>
          </w:tcPr>
          <w:p w14:paraId="44CDA8F0">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为强化部门支出责任，提升部门履职成效，提高财政资金使用效益，对</w:t>
            </w:r>
            <w:r>
              <w:rPr>
                <w:rFonts w:hint="eastAsia" w:asciiTheme="minorEastAsia" w:hAnsiTheme="minorEastAsia" w:eastAsiaTheme="minorEastAsia" w:cstheme="minorEastAsia"/>
                <w:spacing w:val="0"/>
                <w:sz w:val="24"/>
                <w:szCs w:val="24"/>
                <w:lang w:eastAsia="zh-CN"/>
              </w:rPr>
              <w:t>合水县城市管理综合行政执法队</w:t>
            </w:r>
            <w:r>
              <w:rPr>
                <w:rFonts w:hint="eastAsia" w:asciiTheme="minorEastAsia" w:hAnsiTheme="minorEastAsia" w:eastAsiaTheme="minorEastAsia" w:cstheme="minorEastAsia"/>
                <w:spacing w:val="0"/>
                <w:sz w:val="24"/>
                <w:szCs w:val="24"/>
                <w:lang w:val="en-US" w:eastAsia="zh-CN"/>
              </w:rPr>
              <w:t>2024</w:t>
            </w:r>
            <w:r>
              <w:rPr>
                <w:rFonts w:hint="eastAsia" w:asciiTheme="minorEastAsia" w:hAnsiTheme="minorEastAsia" w:eastAsiaTheme="minorEastAsia" w:cstheme="minorEastAsia"/>
                <w:spacing w:val="0"/>
                <w:sz w:val="24"/>
                <w:szCs w:val="24"/>
              </w:rPr>
              <w:t>年度部门整体支出开展绩效评价，评价工作以预算资金管理为主线，从部门规划、运行成本、管理效率、履职效能、社会效应、可持续发展能力和服务对象满意度等方面</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衡量部门整体及核心业务实施效果</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推动部门提高整体绩效水平。</w:t>
            </w:r>
          </w:p>
        </w:tc>
      </w:tr>
      <w:tr w14:paraId="0883A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restart"/>
            <w:tcBorders>
              <w:left w:val="nil"/>
              <w:bottom w:val="nil"/>
            </w:tcBorders>
            <w:textDirection w:val="tbLrV"/>
            <w:vAlign w:val="top"/>
          </w:tcPr>
          <w:p w14:paraId="1ABA98AF">
            <w:pPr>
              <w:pStyle w:val="10"/>
              <w:spacing w:before="229" w:line="202" w:lineRule="auto"/>
              <w:ind w:left="204" w:leftChars="0" w:right="113" w:firstLine="241" w:firstLineChars="100"/>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b/>
                <w:bCs/>
                <w:spacing w:val="0"/>
                <w:sz w:val="24"/>
                <w:szCs w:val="24"/>
                <w:highlight w:val="none"/>
                <w:lang w:val="en-US" w:eastAsia="zh-CN"/>
              </w:rPr>
              <w:t>资 金 情 况（万元）</w:t>
            </w:r>
          </w:p>
        </w:tc>
        <w:tc>
          <w:tcPr>
            <w:tcW w:w="1807" w:type="dxa"/>
            <w:vAlign w:val="top"/>
          </w:tcPr>
          <w:p w14:paraId="41F20640">
            <w:pPr>
              <w:pStyle w:val="10"/>
              <w:spacing w:before="200" w:line="220" w:lineRule="auto"/>
              <w:ind w:left="189"/>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预算安排资金</w:t>
            </w:r>
          </w:p>
        </w:tc>
        <w:tc>
          <w:tcPr>
            <w:tcW w:w="1551" w:type="dxa"/>
            <w:vAlign w:val="top"/>
          </w:tcPr>
          <w:p w14:paraId="2EE08C3F">
            <w:pPr>
              <w:pStyle w:val="10"/>
              <w:spacing w:before="238" w:line="183" w:lineRule="auto"/>
              <w:jc w:val="center"/>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2,387.25</w:t>
            </w:r>
            <w:r>
              <w:rPr>
                <w:rFonts w:hint="eastAsia" w:asciiTheme="minorEastAsia" w:hAnsiTheme="minorEastAsia" w:eastAsiaTheme="minorEastAsia" w:cstheme="minorEastAsia"/>
                <w:spacing w:val="0"/>
                <w:sz w:val="24"/>
                <w:szCs w:val="24"/>
                <w:lang w:val="en-US" w:eastAsia="zh-CN"/>
              </w:rPr>
              <w:t>万元</w:t>
            </w:r>
          </w:p>
        </w:tc>
        <w:tc>
          <w:tcPr>
            <w:tcW w:w="2332" w:type="dxa"/>
            <w:gridSpan w:val="2"/>
            <w:vAlign w:val="top"/>
          </w:tcPr>
          <w:p w14:paraId="41C16993">
            <w:pPr>
              <w:pStyle w:val="10"/>
              <w:spacing w:before="200" w:line="221" w:lineRule="auto"/>
              <w:ind w:left="247"/>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实际到位资金</w:t>
            </w:r>
          </w:p>
        </w:tc>
        <w:tc>
          <w:tcPr>
            <w:tcW w:w="2137" w:type="dxa"/>
            <w:tcBorders>
              <w:right w:val="nil"/>
            </w:tcBorders>
            <w:vAlign w:val="top"/>
          </w:tcPr>
          <w:p w14:paraId="05DBC0B0">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2,387.25</w:t>
            </w:r>
            <w:r>
              <w:rPr>
                <w:rFonts w:hint="eastAsia" w:asciiTheme="minorEastAsia" w:hAnsiTheme="minorEastAsia" w:eastAsiaTheme="minorEastAsia" w:cstheme="minorEastAsia"/>
                <w:spacing w:val="0"/>
                <w:sz w:val="24"/>
                <w:szCs w:val="24"/>
                <w:lang w:val="en-US" w:eastAsia="zh-CN"/>
              </w:rPr>
              <w:t>万元</w:t>
            </w:r>
          </w:p>
        </w:tc>
      </w:tr>
      <w:tr w14:paraId="47414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E280996">
            <w:pPr>
              <w:rPr>
                <w:rFonts w:hint="eastAsia" w:asciiTheme="minorEastAsia" w:hAnsiTheme="minorEastAsia" w:eastAsiaTheme="minorEastAsia" w:cstheme="minorEastAsia"/>
                <w:spacing w:val="0"/>
                <w:sz w:val="24"/>
                <w:szCs w:val="24"/>
                <w:highlight w:val="none"/>
              </w:rPr>
            </w:pPr>
          </w:p>
        </w:tc>
        <w:tc>
          <w:tcPr>
            <w:tcW w:w="1807" w:type="dxa"/>
            <w:vAlign w:val="top"/>
          </w:tcPr>
          <w:p w14:paraId="4D05CF04">
            <w:pPr>
              <w:pStyle w:val="10"/>
              <w:spacing w:before="200" w:line="221" w:lineRule="auto"/>
              <w:ind w:left="116"/>
              <w:jc w:val="right"/>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1551" w:type="dxa"/>
            <w:vAlign w:val="top"/>
          </w:tcPr>
          <w:p w14:paraId="290B9AA6">
            <w:pPr>
              <w:pStyle w:val="10"/>
              <w:spacing w:before="240" w:line="183" w:lineRule="auto"/>
              <w:jc w:val="center"/>
              <w:rPr>
                <w:rFonts w:hint="eastAsia" w:asciiTheme="minorEastAsia" w:hAnsiTheme="minorEastAsia" w:eastAsiaTheme="minorEastAsia" w:cstheme="minorEastAsia"/>
                <w:spacing w:val="0"/>
                <w:sz w:val="24"/>
                <w:szCs w:val="24"/>
                <w:highlight w:val="none"/>
              </w:rPr>
            </w:pPr>
          </w:p>
        </w:tc>
        <w:tc>
          <w:tcPr>
            <w:tcW w:w="2332" w:type="dxa"/>
            <w:gridSpan w:val="2"/>
            <w:vAlign w:val="top"/>
          </w:tcPr>
          <w:p w14:paraId="66105287">
            <w:pPr>
              <w:pStyle w:val="10"/>
              <w:spacing w:before="200" w:line="221" w:lineRule="auto"/>
              <w:ind w:left="127"/>
              <w:jc w:val="center"/>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2137" w:type="dxa"/>
            <w:tcBorders>
              <w:right w:val="nil"/>
            </w:tcBorders>
            <w:vAlign w:val="top"/>
          </w:tcPr>
          <w:p w14:paraId="1C1E23BB">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p>
        </w:tc>
      </w:tr>
      <w:tr w14:paraId="0E60C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486ED73E">
            <w:pPr>
              <w:rPr>
                <w:rFonts w:hint="eastAsia" w:asciiTheme="minorEastAsia" w:hAnsiTheme="minorEastAsia" w:eastAsiaTheme="minorEastAsia" w:cstheme="minorEastAsia"/>
                <w:spacing w:val="0"/>
                <w:sz w:val="24"/>
                <w:szCs w:val="24"/>
                <w:highlight w:val="none"/>
              </w:rPr>
            </w:pPr>
          </w:p>
        </w:tc>
        <w:tc>
          <w:tcPr>
            <w:tcW w:w="1807" w:type="dxa"/>
            <w:vAlign w:val="top"/>
          </w:tcPr>
          <w:p w14:paraId="3B7E900E">
            <w:pPr>
              <w:pStyle w:val="10"/>
              <w:spacing w:before="202" w:line="220" w:lineRule="auto"/>
              <w:jc w:val="right"/>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1551" w:type="dxa"/>
            <w:vAlign w:val="top"/>
          </w:tcPr>
          <w:p w14:paraId="190C312A">
            <w:pPr>
              <w:pStyle w:val="10"/>
              <w:spacing w:before="240" w:line="183" w:lineRule="auto"/>
              <w:jc w:val="center"/>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2,387.25</w:t>
            </w:r>
            <w:r>
              <w:rPr>
                <w:rFonts w:hint="eastAsia" w:asciiTheme="minorEastAsia" w:hAnsiTheme="minorEastAsia" w:eastAsiaTheme="minorEastAsia" w:cstheme="minorEastAsia"/>
                <w:spacing w:val="0"/>
                <w:sz w:val="24"/>
                <w:szCs w:val="24"/>
                <w:lang w:val="en-US" w:eastAsia="zh-CN"/>
              </w:rPr>
              <w:t>万元</w:t>
            </w:r>
          </w:p>
        </w:tc>
        <w:tc>
          <w:tcPr>
            <w:tcW w:w="2332" w:type="dxa"/>
            <w:gridSpan w:val="2"/>
            <w:vAlign w:val="top"/>
          </w:tcPr>
          <w:p w14:paraId="2DF377AF">
            <w:pPr>
              <w:pStyle w:val="10"/>
              <w:spacing w:before="202" w:line="220" w:lineRule="auto"/>
              <w:jc w:val="center"/>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 xml:space="preserve">       </w:t>
            </w:r>
            <w:r>
              <w:rPr>
                <w:rFonts w:hint="eastAsia" w:asciiTheme="minorEastAsia" w:hAnsiTheme="minorEastAsia" w:eastAsiaTheme="minorEastAsia" w:cstheme="minorEastAsia"/>
                <w:spacing w:val="0"/>
                <w:sz w:val="24"/>
                <w:szCs w:val="24"/>
                <w:highlight w:val="none"/>
              </w:rPr>
              <w:t>县级财政</w:t>
            </w:r>
          </w:p>
        </w:tc>
        <w:tc>
          <w:tcPr>
            <w:tcW w:w="2137" w:type="dxa"/>
            <w:tcBorders>
              <w:right w:val="nil"/>
            </w:tcBorders>
            <w:vAlign w:val="top"/>
          </w:tcPr>
          <w:p w14:paraId="3710645A">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2,387.25</w:t>
            </w:r>
            <w:r>
              <w:rPr>
                <w:rFonts w:hint="eastAsia" w:asciiTheme="minorEastAsia" w:hAnsiTheme="minorEastAsia" w:eastAsiaTheme="minorEastAsia" w:cstheme="minorEastAsia"/>
                <w:spacing w:val="0"/>
                <w:sz w:val="24"/>
                <w:szCs w:val="24"/>
                <w:lang w:val="en-US" w:eastAsia="zh-CN"/>
              </w:rPr>
              <w:t>万元</w:t>
            </w:r>
          </w:p>
        </w:tc>
      </w:tr>
      <w:tr w14:paraId="4516D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239453F">
            <w:pPr>
              <w:rPr>
                <w:rFonts w:hint="eastAsia" w:asciiTheme="minorEastAsia" w:hAnsiTheme="minorEastAsia" w:eastAsiaTheme="minorEastAsia" w:cstheme="minorEastAsia"/>
                <w:spacing w:val="0"/>
                <w:sz w:val="24"/>
                <w:szCs w:val="24"/>
                <w:highlight w:val="none"/>
              </w:rPr>
            </w:pPr>
          </w:p>
        </w:tc>
        <w:tc>
          <w:tcPr>
            <w:tcW w:w="1807" w:type="dxa"/>
            <w:vAlign w:val="top"/>
          </w:tcPr>
          <w:p w14:paraId="6A7167D4">
            <w:pPr>
              <w:pStyle w:val="10"/>
              <w:spacing w:before="200" w:line="221" w:lineRule="auto"/>
              <w:ind w:left="193"/>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实际支出资金</w:t>
            </w:r>
          </w:p>
        </w:tc>
        <w:tc>
          <w:tcPr>
            <w:tcW w:w="1551" w:type="dxa"/>
            <w:vAlign w:val="top"/>
          </w:tcPr>
          <w:p w14:paraId="64F54DE7">
            <w:pPr>
              <w:pStyle w:val="10"/>
              <w:spacing w:before="239" w:line="183" w:lineRule="auto"/>
              <w:jc w:val="center"/>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2,387.25</w:t>
            </w:r>
            <w:r>
              <w:rPr>
                <w:rFonts w:hint="eastAsia" w:asciiTheme="minorEastAsia" w:hAnsiTheme="minorEastAsia" w:eastAsiaTheme="minorEastAsia" w:cstheme="minorEastAsia"/>
                <w:spacing w:val="0"/>
                <w:sz w:val="24"/>
                <w:szCs w:val="24"/>
                <w:lang w:val="en-US" w:eastAsia="zh-CN"/>
              </w:rPr>
              <w:t>万元</w:t>
            </w:r>
          </w:p>
        </w:tc>
        <w:tc>
          <w:tcPr>
            <w:tcW w:w="2332" w:type="dxa"/>
            <w:gridSpan w:val="2"/>
            <w:vAlign w:val="top"/>
          </w:tcPr>
          <w:p w14:paraId="5F8D6931">
            <w:pPr>
              <w:pStyle w:val="10"/>
              <w:spacing w:before="200" w:line="221" w:lineRule="auto"/>
              <w:ind w:left="247"/>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结转结余资金</w:t>
            </w:r>
          </w:p>
        </w:tc>
        <w:tc>
          <w:tcPr>
            <w:tcW w:w="2137" w:type="dxa"/>
            <w:tcBorders>
              <w:right w:val="nil"/>
            </w:tcBorders>
            <w:vAlign w:val="top"/>
          </w:tcPr>
          <w:p w14:paraId="5D763974">
            <w:pPr>
              <w:pStyle w:val="10"/>
              <w:spacing w:before="239" w:line="183" w:lineRule="auto"/>
              <w:jc w:val="center"/>
              <w:rPr>
                <w:rFonts w:hint="default"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0万元</w:t>
            </w:r>
            <w:bookmarkStart w:id="0" w:name="_GoBack"/>
            <w:bookmarkEnd w:id="0"/>
          </w:p>
        </w:tc>
      </w:tr>
      <w:tr w14:paraId="1F90A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02" w:type="dxa"/>
            <w:vMerge w:val="continue"/>
            <w:tcBorders>
              <w:top w:val="nil"/>
              <w:left w:val="nil"/>
            </w:tcBorders>
            <w:vAlign w:val="top"/>
          </w:tcPr>
          <w:p w14:paraId="3AEA6B58">
            <w:pPr>
              <w:rPr>
                <w:rFonts w:hint="eastAsia" w:asciiTheme="minorEastAsia" w:hAnsiTheme="minorEastAsia" w:eastAsiaTheme="minorEastAsia" w:cstheme="minorEastAsia"/>
                <w:spacing w:val="0"/>
                <w:sz w:val="24"/>
                <w:szCs w:val="24"/>
                <w:highlight w:val="none"/>
              </w:rPr>
            </w:pPr>
          </w:p>
        </w:tc>
        <w:tc>
          <w:tcPr>
            <w:tcW w:w="1807" w:type="dxa"/>
            <w:vAlign w:val="top"/>
          </w:tcPr>
          <w:p w14:paraId="0818A1CE">
            <w:pPr>
              <w:pStyle w:val="10"/>
              <w:spacing w:before="202" w:line="220" w:lineRule="auto"/>
              <w:ind w:left="309"/>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预算执行率</w:t>
            </w:r>
          </w:p>
        </w:tc>
        <w:tc>
          <w:tcPr>
            <w:tcW w:w="6020" w:type="dxa"/>
            <w:gridSpan w:val="4"/>
            <w:tcBorders>
              <w:right w:val="nil"/>
            </w:tcBorders>
            <w:vAlign w:val="center"/>
          </w:tcPr>
          <w:p w14:paraId="315F5367">
            <w:pPr>
              <w:pStyle w:val="10"/>
              <w:spacing w:before="239" w:line="183" w:lineRule="auto"/>
              <w:jc w:val="center"/>
              <w:rPr>
                <w:rFonts w:hint="default" w:asciiTheme="minorEastAsia" w:hAnsiTheme="minorEastAsia" w:eastAsiaTheme="minorEastAsia" w:cstheme="minorEastAsia"/>
                <w:spacing w:val="0"/>
                <w:sz w:val="24"/>
                <w:szCs w:val="24"/>
                <w:highlight w:val="none"/>
                <w:lang w:val="en-US" w:eastAsia="zh-CN"/>
              </w:rPr>
            </w:pPr>
            <w:r>
              <w:rPr>
                <w:rFonts w:hint="eastAsia" w:ascii="Times New Roman" w:hAnsi="Times New Roman" w:eastAsia="仿宋_GB2312" w:cstheme="minorBidi"/>
                <w:b w:val="0"/>
                <w:bCs w:val="0"/>
                <w:kern w:val="2"/>
                <w:sz w:val="24"/>
                <w:szCs w:val="24"/>
                <w:lang w:val="en-US" w:eastAsia="zh-CN" w:bidi="ar-SA"/>
              </w:rPr>
              <w:t>100%</w:t>
            </w:r>
          </w:p>
        </w:tc>
      </w:tr>
    </w:tbl>
    <w:p w14:paraId="3298B6A8">
      <w:pPr>
        <w:spacing w:before="197" w:line="220" w:lineRule="auto"/>
        <w:ind w:left="331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二、部门绩效目标</w:t>
      </w:r>
    </w:p>
    <w:p w14:paraId="3728A160">
      <w:pPr>
        <w:spacing w:line="83"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3"/>
        <w:gridCol w:w="7136"/>
      </w:tblGrid>
      <w:tr w14:paraId="00622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8" w:hRule="atLeast"/>
        </w:trPr>
        <w:tc>
          <w:tcPr>
            <w:tcW w:w="1393" w:type="dxa"/>
            <w:tcBorders>
              <w:left w:val="nil"/>
            </w:tcBorders>
            <w:vAlign w:val="center"/>
          </w:tcPr>
          <w:p w14:paraId="325593E1">
            <w:pPr>
              <w:pStyle w:val="10"/>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年度绩效</w:t>
            </w:r>
          </w:p>
          <w:p w14:paraId="6261B586">
            <w:pPr>
              <w:pStyle w:val="10"/>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目标</w:t>
            </w:r>
          </w:p>
        </w:tc>
        <w:tc>
          <w:tcPr>
            <w:tcW w:w="7136" w:type="dxa"/>
            <w:tcBorders>
              <w:right w:val="nil"/>
            </w:tcBorders>
            <w:vAlign w:val="top"/>
          </w:tcPr>
          <w:p w14:paraId="7C898536">
            <w:pPr>
              <w:pStyle w:val="10"/>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leftChars="0" w:right="0" w:rightChars="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1.实现城市基础设施正常运转；</w:t>
            </w:r>
          </w:p>
          <w:p w14:paraId="08E59370">
            <w:pPr>
              <w:pStyle w:val="10"/>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leftChars="0" w:right="0" w:rightChars="0" w:firstLine="480" w:firstLineChars="200"/>
              <w:jc w:val="both"/>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val="en-US" w:eastAsia="zh-CN"/>
              </w:rPr>
              <w:t>2.确保城市管理秩序良好；</w:t>
            </w:r>
          </w:p>
          <w:p w14:paraId="02C0E426">
            <w:pPr>
              <w:pStyle w:val="10"/>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leftChars="0" w:right="0" w:rightChars="0" w:firstLine="480" w:firstLineChars="200"/>
              <w:jc w:val="both"/>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val="en-US" w:eastAsia="zh-CN"/>
              </w:rPr>
              <w:t>3.营造良好的人居环境；</w:t>
            </w:r>
          </w:p>
          <w:p w14:paraId="0203C07C">
            <w:pPr>
              <w:pStyle w:val="10"/>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leftChars="0" w:right="0" w:rightChars="0" w:firstLine="480" w:firstLineChars="200"/>
              <w:jc w:val="both"/>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val="en-US" w:eastAsia="zh-CN"/>
              </w:rPr>
              <w:t>4.保障市民出行安全；</w:t>
            </w:r>
          </w:p>
          <w:p w14:paraId="6AFAE305">
            <w:pPr>
              <w:pStyle w:val="10"/>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leftChars="0" w:right="0" w:rightChars="0" w:firstLine="480" w:firstLineChars="200"/>
              <w:jc w:val="both"/>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val="en-US" w:eastAsia="zh-CN"/>
              </w:rPr>
              <w:t>5.城区及部分乡镇PM2.5指数达到标准。</w:t>
            </w:r>
          </w:p>
        </w:tc>
      </w:tr>
      <w:tr w14:paraId="40726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529" w:type="dxa"/>
            <w:gridSpan w:val="2"/>
            <w:tcBorders>
              <w:left w:val="nil"/>
              <w:right w:val="nil"/>
            </w:tcBorders>
            <w:vAlign w:val="top"/>
          </w:tcPr>
          <w:p w14:paraId="54E43F7D">
            <w:pPr>
              <w:pStyle w:val="10"/>
              <w:spacing w:before="222" w:line="219" w:lineRule="auto"/>
              <w:ind w:left="3310"/>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三、评价基本情况</w:t>
            </w:r>
          </w:p>
        </w:tc>
      </w:tr>
      <w:tr w14:paraId="03FFF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393" w:type="dxa"/>
            <w:tcBorders>
              <w:left w:val="nil"/>
            </w:tcBorders>
            <w:vAlign w:val="center"/>
          </w:tcPr>
          <w:p w14:paraId="4635A4B6">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评价范围</w:t>
            </w:r>
          </w:p>
        </w:tc>
        <w:tc>
          <w:tcPr>
            <w:tcW w:w="7136" w:type="dxa"/>
            <w:tcBorders>
              <w:right w:val="nil"/>
            </w:tcBorders>
            <w:vAlign w:val="center"/>
          </w:tcPr>
          <w:p w14:paraId="375F4842">
            <w:pPr>
              <w:pStyle w:val="10"/>
              <w:keepNext w:val="0"/>
              <w:keepLines w:val="0"/>
              <w:pageBreakBefore w:val="0"/>
              <w:widowControl w:val="0"/>
              <w:kinsoku/>
              <w:wordWrap/>
              <w:overflowPunct w:val="0"/>
              <w:topLinePunct/>
              <w:autoSpaceDE/>
              <w:autoSpaceDN/>
              <w:bidi w:val="0"/>
              <w:adjustRightInd w:val="0"/>
              <w:snapToGrid w:val="0"/>
              <w:spacing w:line="400" w:lineRule="exact"/>
              <w:ind w:right="0" w:firstLine="480" w:firstLineChars="200"/>
              <w:jc w:val="lef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2024年度</w:t>
            </w:r>
            <w:r>
              <w:rPr>
                <w:rFonts w:hint="eastAsia" w:asciiTheme="minorEastAsia" w:hAnsiTheme="minorEastAsia" w:eastAsiaTheme="minorEastAsia" w:cstheme="minorEastAsia"/>
                <w:spacing w:val="0"/>
                <w:sz w:val="24"/>
                <w:szCs w:val="24"/>
                <w:lang w:eastAsia="zh-CN"/>
              </w:rPr>
              <w:t>合水县城市管理综合行政执法队</w:t>
            </w:r>
            <w:r>
              <w:rPr>
                <w:rFonts w:hint="eastAsia" w:asciiTheme="minorEastAsia" w:hAnsiTheme="minorEastAsia" w:eastAsiaTheme="minorEastAsia" w:cstheme="minorEastAsia"/>
                <w:spacing w:val="0"/>
                <w:sz w:val="24"/>
                <w:szCs w:val="24"/>
              </w:rPr>
              <w:t>部门整体支出</w:t>
            </w:r>
          </w:p>
        </w:tc>
      </w:tr>
      <w:tr w14:paraId="30B54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3" w:type="dxa"/>
            <w:tcBorders>
              <w:left w:val="nil"/>
            </w:tcBorders>
            <w:vAlign w:val="center"/>
          </w:tcPr>
          <w:p w14:paraId="6A1272BF">
            <w:pPr>
              <w:pStyle w:val="10"/>
              <w:keepNext/>
              <w:keepLines/>
              <w:pageBreakBefore w:val="0"/>
              <w:widowControl/>
              <w:kinsoku/>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评价依据</w:t>
            </w:r>
          </w:p>
        </w:tc>
        <w:tc>
          <w:tcPr>
            <w:tcW w:w="7136" w:type="dxa"/>
            <w:tcBorders>
              <w:right w:val="nil"/>
            </w:tcBorders>
            <w:vAlign w:val="top"/>
          </w:tcPr>
          <w:p w14:paraId="0A675F1D">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1.《中华人民共和国预算法》；</w:t>
            </w:r>
          </w:p>
          <w:p w14:paraId="423F2509">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2.《中共中央国务院关于全面实施预算绩效管理的管理》（中发〔2018〕34号）；</w:t>
            </w:r>
          </w:p>
          <w:p w14:paraId="78ADBC98">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3.《财政部关于印发〈项目支出绩效评价管理办法〉的通知》（财预〔2020〕10号）；</w:t>
            </w:r>
          </w:p>
          <w:p w14:paraId="4779F297">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4.《中共中央国务院关于全面实施预算绩效管理的意见》（中发〔2018〕34号）；</w:t>
            </w:r>
          </w:p>
          <w:p w14:paraId="02E8F96B">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5.中共甘肃省委甘肃省人民政府《关于全面实施预算绩效管理的实施意见》（甘发〔2018〕32号）；</w:t>
            </w:r>
          </w:p>
          <w:p w14:paraId="33D58574">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6.《甘肃省财政厅关于印发预算绩效管理工作成效量化评分标准的通知》（甘财绩〔2025〕3号）；</w:t>
            </w:r>
          </w:p>
          <w:p w14:paraId="5D24E64A">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7</w:t>
            </w:r>
            <w:r>
              <w:rPr>
                <w:rFonts w:hint="eastAsia" w:asciiTheme="minorEastAsia" w:hAnsiTheme="minorEastAsia" w:eastAsiaTheme="minorEastAsia" w:cstheme="minorEastAsia"/>
                <w:spacing w:val="0"/>
                <w:sz w:val="24"/>
                <w:szCs w:val="24"/>
              </w:rPr>
              <w:t>.《中共合水县委合水县人民政府关于进一步加强预算绩效管理工作的实施意见》（合发〔2024〕7号）；</w:t>
            </w:r>
          </w:p>
          <w:p w14:paraId="4CAEC29D">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val="en-US" w:eastAsia="zh-CN"/>
              </w:rPr>
              <w:t>8</w:t>
            </w:r>
            <w:r>
              <w:rPr>
                <w:rFonts w:hint="eastAsia" w:asciiTheme="minorEastAsia" w:hAnsiTheme="minorEastAsia" w:eastAsiaTheme="minorEastAsia" w:cstheme="minorEastAsia"/>
                <w:spacing w:val="0"/>
                <w:sz w:val="24"/>
                <w:szCs w:val="24"/>
              </w:rPr>
              <w:t>.《关于开展2025年部门和财政重点绩效评价评估工作的通知》（合财发〔2025〕59号）</w:t>
            </w:r>
            <w:r>
              <w:rPr>
                <w:rFonts w:hint="eastAsia" w:asciiTheme="minorEastAsia" w:hAnsiTheme="minorEastAsia" w:eastAsiaTheme="minorEastAsia" w:cstheme="minorEastAsia"/>
                <w:spacing w:val="0"/>
                <w:sz w:val="24"/>
                <w:szCs w:val="24"/>
                <w:lang w:eastAsia="zh-CN"/>
              </w:rPr>
              <w:t>；</w:t>
            </w:r>
          </w:p>
        </w:tc>
      </w:tr>
      <w:tr w14:paraId="46B19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1393" w:type="dxa"/>
            <w:tcBorders>
              <w:left w:val="nil"/>
            </w:tcBorders>
            <w:vAlign w:val="center"/>
          </w:tcPr>
          <w:p w14:paraId="6D0697B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绩效评价指标体系</w:t>
            </w:r>
          </w:p>
        </w:tc>
        <w:tc>
          <w:tcPr>
            <w:tcW w:w="7136" w:type="dxa"/>
            <w:tcBorders>
              <w:right w:val="nil"/>
            </w:tcBorders>
            <w:vAlign w:val="center"/>
          </w:tcPr>
          <w:p w14:paraId="1F1E9C00">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spacing w:val="0"/>
              </w:rPr>
            </w:pPr>
            <w:r>
              <w:rPr>
                <w:rFonts w:hint="eastAsia" w:asciiTheme="minorEastAsia" w:hAnsiTheme="minorEastAsia" w:eastAsiaTheme="minorEastAsia" w:cstheme="minorEastAsia"/>
                <w:spacing w:val="0"/>
                <w:sz w:val="24"/>
                <w:szCs w:val="24"/>
              </w:rPr>
              <w:t>围绕部门规划、运行成本、管理效率、履职效能、社会效应、可持续发展能力、服务对象满意度等七个维度构建绩效评价指标体系，其中</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一级指标7个、二级指标</w:t>
            </w:r>
            <w:r>
              <w:rPr>
                <w:rFonts w:hint="eastAsia" w:asciiTheme="minorEastAsia" w:hAnsiTheme="minorEastAsia" w:eastAsiaTheme="minorEastAsia" w:cstheme="minorEastAsia"/>
                <w:spacing w:val="0"/>
                <w:sz w:val="24"/>
                <w:szCs w:val="24"/>
                <w:lang w:val="en-US" w:eastAsia="zh-CN"/>
              </w:rPr>
              <w:t>12</w:t>
            </w:r>
            <w:r>
              <w:rPr>
                <w:rFonts w:hint="eastAsia" w:asciiTheme="minorEastAsia" w:hAnsiTheme="minorEastAsia" w:eastAsiaTheme="minorEastAsia" w:cstheme="minorEastAsia"/>
                <w:spacing w:val="0"/>
                <w:sz w:val="24"/>
                <w:szCs w:val="24"/>
              </w:rPr>
              <w:t>个、三级指标</w:t>
            </w:r>
            <w:r>
              <w:rPr>
                <w:rFonts w:hint="eastAsia" w:asciiTheme="minorEastAsia" w:hAnsiTheme="minorEastAsia" w:eastAsiaTheme="minorEastAsia" w:cstheme="minorEastAsia"/>
                <w:spacing w:val="0"/>
                <w:sz w:val="24"/>
                <w:szCs w:val="24"/>
                <w:lang w:val="en-US" w:eastAsia="zh-CN"/>
              </w:rPr>
              <w:t>31</w:t>
            </w:r>
            <w:r>
              <w:rPr>
                <w:rFonts w:hint="eastAsia" w:asciiTheme="minorEastAsia" w:hAnsiTheme="minorEastAsia" w:eastAsiaTheme="minorEastAsia" w:cstheme="minorEastAsia"/>
                <w:spacing w:val="0"/>
                <w:sz w:val="24"/>
                <w:szCs w:val="24"/>
              </w:rPr>
              <w:t xml:space="preserve">个。部门规划等一级指标占比分别为 </w:t>
            </w:r>
            <w:r>
              <w:rPr>
                <w:rFonts w:hint="eastAsia" w:asciiTheme="minorEastAsia" w:hAnsiTheme="minorEastAsia" w:eastAsiaTheme="minorEastAsia" w:cstheme="minorEastAsia"/>
                <w:spacing w:val="0"/>
                <w:sz w:val="24"/>
                <w:szCs w:val="24"/>
                <w:lang w:val="en-US" w:eastAsia="zh-CN"/>
              </w:rPr>
              <w:t>12</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26</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28</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w:t>
            </w:r>
          </w:p>
        </w:tc>
      </w:tr>
      <w:tr w14:paraId="2CC81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393" w:type="dxa"/>
            <w:tcBorders>
              <w:left w:val="nil"/>
            </w:tcBorders>
            <w:vAlign w:val="center"/>
          </w:tcPr>
          <w:p w14:paraId="590B79C0">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评价方法</w:t>
            </w:r>
          </w:p>
        </w:tc>
        <w:tc>
          <w:tcPr>
            <w:tcW w:w="7136" w:type="dxa"/>
            <w:tcBorders>
              <w:right w:val="nil"/>
            </w:tcBorders>
            <w:vAlign w:val="center"/>
          </w:tcPr>
          <w:p w14:paraId="532BE00F">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目标管理法、因素分析法、标杆管理法、比较法。</w:t>
            </w:r>
          </w:p>
        </w:tc>
      </w:tr>
      <w:tr w14:paraId="5B646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393" w:type="dxa"/>
            <w:tcBorders>
              <w:left w:val="nil"/>
            </w:tcBorders>
            <w:vAlign w:val="center"/>
          </w:tcPr>
          <w:p w14:paraId="43DFCB9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数据采集及处理办法</w:t>
            </w:r>
          </w:p>
        </w:tc>
        <w:tc>
          <w:tcPr>
            <w:tcW w:w="7136" w:type="dxa"/>
            <w:tcBorders>
              <w:right w:val="nil"/>
            </w:tcBorders>
            <w:vAlign w:val="center"/>
          </w:tcPr>
          <w:p w14:paraId="58423AA5">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信息与数据收集采取抽样调查、现场调研、结构式访等方式进行，数据处理采取统计分析方法开展。</w:t>
            </w:r>
          </w:p>
        </w:tc>
      </w:tr>
      <w:tr w14:paraId="128AE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393" w:type="dxa"/>
            <w:tcBorders>
              <w:left w:val="nil"/>
            </w:tcBorders>
            <w:vAlign w:val="center"/>
          </w:tcPr>
          <w:p w14:paraId="7A26A08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b/>
                <w:bCs/>
                <w:spacing w:val="0"/>
              </w:rPr>
            </w:pPr>
            <w:r>
              <w:rPr>
                <w:b/>
                <w:bCs/>
                <w:spacing w:val="0"/>
              </w:rPr>
              <w:t>绩效评价工作过程</w:t>
            </w:r>
          </w:p>
        </w:tc>
        <w:tc>
          <w:tcPr>
            <w:tcW w:w="7136" w:type="dxa"/>
            <w:tcBorders>
              <w:right w:val="nil"/>
            </w:tcBorders>
            <w:vAlign w:val="center"/>
          </w:tcPr>
          <w:p w14:paraId="1733217E">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接受委托任务、</w:t>
            </w:r>
            <w:r>
              <w:rPr>
                <w:rFonts w:hint="eastAsia" w:asciiTheme="minorEastAsia" w:hAnsiTheme="minorEastAsia" w:eastAsiaTheme="minorEastAsia" w:cstheme="minorEastAsia"/>
                <w:spacing w:val="0"/>
                <w:sz w:val="24"/>
                <w:szCs w:val="24"/>
                <w:lang w:eastAsia="zh-CN"/>
              </w:rPr>
              <w:t>拟订方案</w:t>
            </w:r>
            <w:r>
              <w:rPr>
                <w:rFonts w:hint="eastAsia" w:asciiTheme="minorEastAsia" w:hAnsiTheme="minorEastAsia" w:eastAsiaTheme="minorEastAsia" w:cstheme="minorEastAsia"/>
                <w:spacing w:val="0"/>
                <w:sz w:val="24"/>
                <w:szCs w:val="24"/>
              </w:rPr>
              <w:t>、开展培训、现场评价、撰写报告、资料归档</w:t>
            </w:r>
            <w:r>
              <w:rPr>
                <w:rFonts w:hint="eastAsia" w:asciiTheme="minorEastAsia" w:hAnsiTheme="minorEastAsia" w:eastAsiaTheme="minorEastAsia" w:cstheme="minorEastAsia"/>
                <w:spacing w:val="0"/>
                <w:sz w:val="24"/>
                <w:szCs w:val="24"/>
                <w:lang w:eastAsia="zh-CN"/>
              </w:rPr>
              <w:t>。</w:t>
            </w:r>
          </w:p>
        </w:tc>
      </w:tr>
    </w:tbl>
    <w:p w14:paraId="12ABA30F">
      <w:pPr>
        <w:pStyle w:val="2"/>
        <w:spacing w:before="238" w:line="219" w:lineRule="auto"/>
        <w:ind w:left="297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四、评价结论和绩效分析</w:t>
      </w:r>
    </w:p>
    <w:p w14:paraId="5945FE5F">
      <w:pPr>
        <w:spacing w:line="124"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925"/>
        <w:gridCol w:w="912"/>
        <w:gridCol w:w="696"/>
        <w:gridCol w:w="756"/>
        <w:gridCol w:w="672"/>
        <w:gridCol w:w="960"/>
        <w:gridCol w:w="1080"/>
        <w:gridCol w:w="996"/>
        <w:gridCol w:w="830"/>
      </w:tblGrid>
      <w:tr w14:paraId="40B15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702" w:type="dxa"/>
            <w:tcBorders>
              <w:left w:val="nil"/>
            </w:tcBorders>
            <w:vAlign w:val="center"/>
          </w:tcPr>
          <w:p w14:paraId="08AA7ECA">
            <w:pPr>
              <w:pStyle w:val="10"/>
              <w:spacing w:before="117" w:line="220" w:lineRule="auto"/>
              <w:ind w:left="146"/>
              <w:jc w:val="center"/>
              <w:rPr>
                <w:rFonts w:hint="eastAsia" w:asciiTheme="minorEastAsia" w:hAnsiTheme="minorEastAsia" w:eastAsiaTheme="minorEastAsia" w:cstheme="minorEastAsia"/>
                <w:spacing w:val="0"/>
                <w:sz w:val="24"/>
                <w:szCs w:val="24"/>
              </w:rPr>
            </w:pPr>
            <w:r>
              <w:rPr>
                <w:b/>
                <w:bCs/>
                <w:spacing w:val="-6"/>
              </w:rPr>
              <w:t>综合评价结论</w:t>
            </w:r>
          </w:p>
        </w:tc>
        <w:tc>
          <w:tcPr>
            <w:tcW w:w="1837" w:type="dxa"/>
            <w:gridSpan w:val="2"/>
            <w:vAlign w:val="center"/>
          </w:tcPr>
          <w:p w14:paraId="45670BCB">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评价得分</w:t>
            </w:r>
          </w:p>
        </w:tc>
        <w:tc>
          <w:tcPr>
            <w:tcW w:w="2124" w:type="dxa"/>
            <w:gridSpan w:val="3"/>
            <w:vAlign w:val="center"/>
          </w:tcPr>
          <w:p w14:paraId="2D1E3793">
            <w:pPr>
              <w:pStyle w:val="10"/>
              <w:spacing w:before="78" w:line="183" w:lineRule="auto"/>
              <w:ind w:left="714"/>
              <w:jc w:val="center"/>
              <w:rPr>
                <w:rFonts w:hint="eastAsia" w:asciiTheme="minorEastAsia" w:hAnsiTheme="minorEastAsia" w:eastAsiaTheme="minorEastAsia" w:cstheme="minorEastAsia"/>
                <w:spacing w:val="0"/>
                <w:sz w:val="24"/>
                <w:szCs w:val="24"/>
                <w:lang w:val="en-US" w:eastAsia="zh-CN"/>
              </w:rPr>
            </w:pPr>
          </w:p>
          <w:p w14:paraId="0D5E9CB2">
            <w:pPr>
              <w:pStyle w:val="10"/>
              <w:spacing w:before="78" w:line="183" w:lineRule="auto"/>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89分</w:t>
            </w:r>
          </w:p>
          <w:p w14:paraId="0D8C4482">
            <w:pPr>
              <w:pStyle w:val="10"/>
              <w:spacing w:before="78" w:line="183" w:lineRule="auto"/>
              <w:ind w:left="714"/>
              <w:jc w:val="center"/>
              <w:rPr>
                <w:rFonts w:hint="eastAsia" w:asciiTheme="minorEastAsia" w:hAnsiTheme="minorEastAsia" w:eastAsiaTheme="minorEastAsia" w:cstheme="minorEastAsia"/>
                <w:spacing w:val="0"/>
                <w:sz w:val="24"/>
                <w:szCs w:val="24"/>
                <w:lang w:val="en-US" w:eastAsia="zh-CN"/>
              </w:rPr>
            </w:pPr>
          </w:p>
        </w:tc>
        <w:tc>
          <w:tcPr>
            <w:tcW w:w="2040" w:type="dxa"/>
            <w:gridSpan w:val="2"/>
            <w:vAlign w:val="center"/>
          </w:tcPr>
          <w:p w14:paraId="0722B496">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评价等级</w:t>
            </w:r>
          </w:p>
        </w:tc>
        <w:tc>
          <w:tcPr>
            <w:tcW w:w="1826" w:type="dxa"/>
            <w:gridSpan w:val="2"/>
            <w:tcBorders>
              <w:right w:val="nil"/>
            </w:tcBorders>
            <w:vAlign w:val="center"/>
          </w:tcPr>
          <w:p w14:paraId="6BE09941">
            <w:pPr>
              <w:pStyle w:val="10"/>
              <w:spacing w:before="78" w:line="182" w:lineRule="auto"/>
              <w:jc w:val="center"/>
              <w:rPr>
                <w:rFonts w:hint="eastAsia" w:asciiTheme="minorEastAsia" w:hAnsiTheme="minorEastAsia" w:eastAsiaTheme="minorEastAsia" w:cstheme="minorEastAsia"/>
                <w:spacing w:val="0"/>
                <w:sz w:val="24"/>
                <w:szCs w:val="24"/>
                <w:lang w:val="en-US" w:eastAsia="zh-CN"/>
              </w:rPr>
            </w:pPr>
          </w:p>
          <w:p w14:paraId="212A363F">
            <w:pPr>
              <w:pStyle w:val="10"/>
              <w:spacing w:before="78" w:line="182" w:lineRule="auto"/>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良</w:t>
            </w:r>
          </w:p>
          <w:p w14:paraId="66253B33">
            <w:pPr>
              <w:pStyle w:val="10"/>
              <w:spacing w:before="78" w:line="182" w:lineRule="auto"/>
              <w:jc w:val="center"/>
              <w:rPr>
                <w:rFonts w:hint="eastAsia" w:asciiTheme="minorEastAsia" w:hAnsiTheme="minorEastAsia" w:eastAsiaTheme="minorEastAsia" w:cstheme="minorEastAsia"/>
                <w:spacing w:val="0"/>
                <w:sz w:val="24"/>
                <w:szCs w:val="24"/>
                <w:lang w:val="en-US" w:eastAsia="zh-CN"/>
              </w:rPr>
            </w:pPr>
          </w:p>
        </w:tc>
      </w:tr>
      <w:tr w14:paraId="55DD8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702" w:type="dxa"/>
            <w:vMerge w:val="restart"/>
            <w:tcBorders>
              <w:left w:val="nil"/>
              <w:bottom w:val="nil"/>
            </w:tcBorders>
            <w:vAlign w:val="center"/>
          </w:tcPr>
          <w:p w14:paraId="193A2183">
            <w:pPr>
              <w:pStyle w:val="10"/>
              <w:spacing w:before="78" w:line="220" w:lineRule="auto"/>
              <w:jc w:val="center"/>
            </w:pPr>
            <w:r>
              <w:rPr>
                <w:rFonts w:hint="eastAsia"/>
                <w:b/>
                <w:bCs/>
                <w:spacing w:val="-6"/>
                <w:lang w:eastAsia="zh-CN"/>
              </w:rPr>
              <w:t>绩</w:t>
            </w:r>
            <w:r>
              <w:rPr>
                <w:b/>
                <w:bCs/>
                <w:spacing w:val="-6"/>
              </w:rPr>
              <w:t>效</w:t>
            </w:r>
          </w:p>
          <w:p w14:paraId="4257DBB2">
            <w:pPr>
              <w:pStyle w:val="10"/>
              <w:spacing w:before="78" w:line="230" w:lineRule="auto"/>
              <w:ind w:right="109"/>
              <w:jc w:val="center"/>
              <w:rPr>
                <w:rFonts w:hint="eastAsia" w:asciiTheme="minorEastAsia" w:hAnsiTheme="minorEastAsia" w:eastAsiaTheme="minorEastAsia" w:cstheme="minorEastAsia"/>
                <w:spacing w:val="0"/>
                <w:sz w:val="24"/>
                <w:szCs w:val="24"/>
              </w:rPr>
            </w:pPr>
            <w:r>
              <w:rPr>
                <w:b/>
                <w:bCs/>
                <w:spacing w:val="-5"/>
              </w:rPr>
              <w:t>分析</w:t>
            </w:r>
          </w:p>
        </w:tc>
        <w:tc>
          <w:tcPr>
            <w:tcW w:w="925" w:type="dxa"/>
            <w:vAlign w:val="center"/>
          </w:tcPr>
          <w:p w14:paraId="4DFEE862">
            <w:pPr>
              <w:pStyle w:val="10"/>
              <w:spacing w:before="78" w:line="221"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指标</w:t>
            </w:r>
          </w:p>
        </w:tc>
        <w:tc>
          <w:tcPr>
            <w:tcW w:w="912" w:type="dxa"/>
            <w:vAlign w:val="center"/>
          </w:tcPr>
          <w:p w14:paraId="303DEACB">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部门</w:t>
            </w:r>
          </w:p>
          <w:p w14:paraId="6FA6F1B0">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规划</w:t>
            </w:r>
          </w:p>
        </w:tc>
        <w:tc>
          <w:tcPr>
            <w:tcW w:w="696" w:type="dxa"/>
            <w:vAlign w:val="center"/>
          </w:tcPr>
          <w:p w14:paraId="53F34F75">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运行</w:t>
            </w:r>
          </w:p>
          <w:p w14:paraId="5282F746">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成本</w:t>
            </w:r>
          </w:p>
        </w:tc>
        <w:tc>
          <w:tcPr>
            <w:tcW w:w="756" w:type="dxa"/>
            <w:vAlign w:val="center"/>
          </w:tcPr>
          <w:p w14:paraId="161F1ED2">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管理</w:t>
            </w:r>
          </w:p>
          <w:p w14:paraId="1113C672">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效率</w:t>
            </w:r>
          </w:p>
        </w:tc>
        <w:tc>
          <w:tcPr>
            <w:tcW w:w="672" w:type="dxa"/>
            <w:vAlign w:val="center"/>
          </w:tcPr>
          <w:p w14:paraId="46381FF0">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履职</w:t>
            </w:r>
          </w:p>
          <w:p w14:paraId="690BEEBF">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效能</w:t>
            </w:r>
          </w:p>
        </w:tc>
        <w:tc>
          <w:tcPr>
            <w:tcW w:w="960" w:type="dxa"/>
            <w:vAlign w:val="center"/>
          </w:tcPr>
          <w:p w14:paraId="069193B5">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社会</w:t>
            </w:r>
          </w:p>
          <w:p w14:paraId="32ED4493">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效益</w:t>
            </w:r>
          </w:p>
        </w:tc>
        <w:tc>
          <w:tcPr>
            <w:tcW w:w="1080" w:type="dxa"/>
            <w:vAlign w:val="center"/>
          </w:tcPr>
          <w:p w14:paraId="57EBCBDA">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可持续</w:t>
            </w:r>
          </w:p>
          <w:p w14:paraId="77763604">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发展能力</w:t>
            </w:r>
          </w:p>
        </w:tc>
        <w:tc>
          <w:tcPr>
            <w:tcW w:w="996" w:type="dxa"/>
            <w:vAlign w:val="center"/>
          </w:tcPr>
          <w:p w14:paraId="67CCD9C3">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服务对象满意度</w:t>
            </w:r>
          </w:p>
        </w:tc>
        <w:tc>
          <w:tcPr>
            <w:tcW w:w="830" w:type="dxa"/>
            <w:tcBorders>
              <w:right w:val="nil"/>
            </w:tcBorders>
            <w:vAlign w:val="center"/>
          </w:tcPr>
          <w:p w14:paraId="2DB24984">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合计</w:t>
            </w:r>
          </w:p>
        </w:tc>
      </w:tr>
      <w:tr w14:paraId="49D57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02" w:type="dxa"/>
            <w:vMerge w:val="continue"/>
            <w:tcBorders>
              <w:top w:val="nil"/>
              <w:left w:val="nil"/>
            </w:tcBorders>
            <w:vAlign w:val="center"/>
          </w:tcPr>
          <w:p w14:paraId="5D5C8174">
            <w:pPr>
              <w:jc w:val="center"/>
              <w:rPr>
                <w:rFonts w:hint="eastAsia" w:asciiTheme="minorEastAsia" w:hAnsiTheme="minorEastAsia" w:eastAsiaTheme="minorEastAsia" w:cstheme="minorEastAsia"/>
                <w:spacing w:val="0"/>
                <w:sz w:val="24"/>
                <w:szCs w:val="24"/>
              </w:rPr>
            </w:pPr>
          </w:p>
        </w:tc>
        <w:tc>
          <w:tcPr>
            <w:tcW w:w="925" w:type="dxa"/>
            <w:vAlign w:val="center"/>
          </w:tcPr>
          <w:p w14:paraId="077BB81C">
            <w:pPr>
              <w:pStyle w:val="10"/>
              <w:spacing w:before="174" w:line="284" w:lineRule="auto"/>
              <w:ind w:right="169"/>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得分率</w:t>
            </w:r>
          </w:p>
        </w:tc>
        <w:tc>
          <w:tcPr>
            <w:tcW w:w="912" w:type="dxa"/>
            <w:vAlign w:val="center"/>
          </w:tcPr>
          <w:p w14:paraId="410E4AED">
            <w:pPr>
              <w:pStyle w:val="10"/>
              <w:spacing w:before="65" w:line="270" w:lineRule="exact"/>
              <w:jc w:val="center"/>
              <w:rPr>
                <w:rFonts w:hint="default" w:asciiTheme="minorEastAsia" w:hAnsiTheme="minorEastAsia" w:eastAsiaTheme="minorEastAsia" w:cstheme="minorEastAsia"/>
                <w:spacing w:val="0"/>
                <w:sz w:val="24"/>
                <w:szCs w:val="24"/>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96%</w:t>
            </w:r>
          </w:p>
        </w:tc>
        <w:tc>
          <w:tcPr>
            <w:tcW w:w="696" w:type="dxa"/>
            <w:vAlign w:val="center"/>
          </w:tcPr>
          <w:p w14:paraId="17299B93">
            <w:pPr>
              <w:pStyle w:val="10"/>
              <w:spacing w:before="65" w:line="270"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756" w:type="dxa"/>
            <w:vAlign w:val="center"/>
          </w:tcPr>
          <w:p w14:paraId="6BDA2AA6">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77%</w:t>
            </w:r>
          </w:p>
        </w:tc>
        <w:tc>
          <w:tcPr>
            <w:tcW w:w="672" w:type="dxa"/>
            <w:vAlign w:val="center"/>
          </w:tcPr>
          <w:p w14:paraId="6B7C5C6B">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960" w:type="dxa"/>
            <w:vAlign w:val="center"/>
          </w:tcPr>
          <w:p w14:paraId="28CCF245">
            <w:pPr>
              <w:pStyle w:val="10"/>
              <w:spacing w:before="65" w:line="270"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1080" w:type="dxa"/>
            <w:vAlign w:val="center"/>
          </w:tcPr>
          <w:p w14:paraId="29671117">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75%</w:t>
            </w:r>
          </w:p>
        </w:tc>
        <w:tc>
          <w:tcPr>
            <w:tcW w:w="996" w:type="dxa"/>
            <w:vAlign w:val="center"/>
          </w:tcPr>
          <w:p w14:paraId="55CF812C">
            <w:pPr>
              <w:pStyle w:val="10"/>
              <w:spacing w:before="65" w:line="269" w:lineRule="exact"/>
              <w:jc w:val="center"/>
              <w:rPr>
                <w:rFonts w:hint="eastAsia" w:asciiTheme="minorEastAsia" w:hAnsiTheme="minorEastAsia" w:eastAsiaTheme="minorEastAsia" w:cstheme="minorEastAsia"/>
                <w:spacing w:val="0"/>
                <w:position w:val="1"/>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830" w:type="dxa"/>
            <w:tcBorders>
              <w:right w:val="nil"/>
            </w:tcBorders>
            <w:vAlign w:val="center"/>
          </w:tcPr>
          <w:p w14:paraId="0614FB7D">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89%</w:t>
            </w:r>
          </w:p>
        </w:tc>
      </w:tr>
    </w:tbl>
    <w:p w14:paraId="12F5AC03">
      <w:pPr>
        <w:pStyle w:val="2"/>
        <w:keepNext/>
        <w:keepLines/>
        <w:pageBreakBefore w:val="0"/>
        <w:widowControl w:val="0"/>
        <w:kinsoku/>
        <w:wordWrap/>
        <w:overflowPunct w:val="0"/>
        <w:topLinePunct/>
        <w:autoSpaceDE/>
        <w:autoSpaceDN/>
        <w:bidi w:val="0"/>
        <w:adjustRightInd w:val="0"/>
        <w:snapToGrid w:val="0"/>
        <w:spacing w:before="238" w:line="219" w:lineRule="auto"/>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五、存在的问题</w:t>
      </w:r>
    </w:p>
    <w:p w14:paraId="010E9CDE">
      <w:pPr>
        <w:keepNext/>
        <w:keepLines/>
        <w:pageBreakBefore w:val="0"/>
        <w:widowControl w:val="0"/>
        <w:kinsoku/>
        <w:wordWrap/>
        <w:overflowPunct w:val="0"/>
        <w:topLinePunct/>
        <w:autoSpaceDE/>
        <w:autoSpaceDN/>
        <w:bidi w:val="0"/>
        <w:adjustRightInd w:val="0"/>
        <w:snapToGrid w:val="0"/>
        <w:spacing w:line="91" w:lineRule="auto"/>
        <w:textAlignment w:val="baseline"/>
        <w:rPr>
          <w:rFonts w:hint="eastAsia" w:asciiTheme="minorEastAsia" w:hAnsiTheme="minorEastAsia" w:eastAsiaTheme="minorEastAsia" w:cstheme="minorEastAsia"/>
          <w:spacing w:val="0"/>
          <w:sz w:val="24"/>
          <w:szCs w:val="24"/>
        </w:rPr>
      </w:pPr>
    </w:p>
    <w:tbl>
      <w:tblPr>
        <w:tblStyle w:val="9"/>
        <w:tblW w:w="8530" w:type="dxa"/>
        <w:tblInd w:w="0" w:type="dxa"/>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
      <w:tblGrid>
        <w:gridCol w:w="8530"/>
      </w:tblGrid>
      <w:tr w14:paraId="1492D398">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3556" w:hRule="atLeast"/>
        </w:trPr>
        <w:tc>
          <w:tcPr>
            <w:tcW w:w="8530" w:type="dxa"/>
            <w:tcBorders>
              <w:tl2br w:val="nil"/>
              <w:tr2bl w:val="nil"/>
            </w:tcBorders>
            <w:vAlign w:val="center"/>
          </w:tcPr>
          <w:p w14:paraId="3EC7E8C3">
            <w:pPr>
              <w:pStyle w:val="10"/>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auto"/>
              <w:rPr>
                <w:rFonts w:hint="eastAsia"/>
                <w:spacing w:val="0"/>
                <w:lang w:val="en-US" w:eastAsia="zh-CN"/>
              </w:rPr>
            </w:pPr>
            <w:r>
              <w:rPr>
                <w:rFonts w:hint="eastAsia"/>
                <w:spacing w:val="0"/>
                <w:lang w:val="en-US" w:eastAsia="zh-CN"/>
              </w:rPr>
              <w:t>1.财务管理制度覆盖面不全，缺乏专项管理制度，如档案管理制度，合同管理制度，导致没有明确的归档标准，调取部分档案查阅时较为混乱，上年度财务资料未及时归档。</w:t>
            </w:r>
          </w:p>
          <w:p w14:paraId="2DCD82EC">
            <w:pPr>
              <w:pStyle w:val="10"/>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auto"/>
              <w:rPr>
                <w:rFonts w:hint="eastAsia"/>
                <w:spacing w:val="0"/>
                <w:lang w:val="en-US" w:eastAsia="zh-CN"/>
              </w:rPr>
            </w:pPr>
            <w:r>
              <w:rPr>
                <w:rFonts w:hint="eastAsia"/>
                <w:spacing w:val="0"/>
                <w:lang w:val="en-US" w:eastAsia="zh-CN"/>
              </w:rPr>
              <w:t>2.合水县城市管理综合行政执法队中期规划建设存在关键要素缺失，未单列智慧城管专项规划，与省级"一网统管"要求存在差距；监督考核形式化，规划落实情况未纳入干部绩效考核中；评价机制缺失，未建立科学的规划实施评价体系。</w:t>
            </w:r>
          </w:p>
          <w:p w14:paraId="04EB2E9A">
            <w:pPr>
              <w:pStyle w:val="10"/>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auto"/>
              <w:rPr>
                <w:rFonts w:hint="default"/>
                <w:spacing w:val="0"/>
                <w:lang w:val="en-US" w:eastAsia="zh-CN"/>
              </w:rPr>
            </w:pPr>
            <w:r>
              <w:rPr>
                <w:rFonts w:hint="eastAsia"/>
                <w:spacing w:val="0"/>
                <w:lang w:val="en-US" w:eastAsia="zh-CN"/>
              </w:rPr>
              <w:t>3.群众对城管工作的不满核心在于执法不规范、不透明、不公平，对摆摊区域管理“一天一个样”，缺乏明确规范，摊贩无所适从，作出处罚时过度依赖罚款手段，而非疏导管理，加剧了群众的对立情绪。</w:t>
            </w:r>
          </w:p>
        </w:tc>
      </w:tr>
      <w:tr w14:paraId="78100947">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557" w:hRule="atLeast"/>
        </w:trPr>
        <w:tc>
          <w:tcPr>
            <w:tcW w:w="8530" w:type="dxa"/>
            <w:tcBorders>
              <w:tl2br w:val="nil"/>
              <w:tr2bl w:val="nil"/>
            </w:tcBorders>
            <w:vAlign w:val="center"/>
          </w:tcPr>
          <w:p w14:paraId="631C7164">
            <w:pPr>
              <w:pStyle w:val="10"/>
              <w:keepNext/>
              <w:keepLines/>
              <w:pageBreakBefore w:val="0"/>
              <w:widowControl w:val="0"/>
              <w:kinsoku/>
              <w:wordWrap/>
              <w:overflowPunct w:val="0"/>
              <w:topLinePunct/>
              <w:autoSpaceDE/>
              <w:autoSpaceDN/>
              <w:bidi w:val="0"/>
              <w:adjustRightInd w:val="0"/>
              <w:snapToGrid w:val="0"/>
              <w:spacing w:before="193" w:line="220" w:lineRule="auto"/>
              <w:ind w:left="3312"/>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六、有关意见建议</w:t>
            </w:r>
          </w:p>
        </w:tc>
      </w:tr>
      <w:tr w14:paraId="35FA2F90">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2565" w:hRule="atLeast"/>
        </w:trPr>
        <w:tc>
          <w:tcPr>
            <w:tcW w:w="8530" w:type="dxa"/>
            <w:tcBorders>
              <w:tl2br w:val="nil"/>
              <w:tr2bl w:val="nil"/>
            </w:tcBorders>
            <w:vAlign w:val="center"/>
          </w:tcPr>
          <w:p w14:paraId="4C467CFE">
            <w:pPr>
              <w:pStyle w:val="10"/>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firstLine="480" w:firstLineChars="200"/>
              <w:jc w:val="left"/>
              <w:textAlignment w:val="auto"/>
              <w:rPr>
                <w:rFonts w:hint="eastAsia"/>
                <w:spacing w:val="0"/>
                <w:lang w:val="en-US" w:eastAsia="zh-CN"/>
              </w:rPr>
            </w:pPr>
            <w:r>
              <w:rPr>
                <w:rFonts w:hint="eastAsia"/>
                <w:spacing w:val="0"/>
                <w:lang w:val="en-US" w:eastAsia="zh-CN"/>
              </w:rPr>
              <w:t>1.建立健全《合水县城市管理综合行政执法队财务管理办法》及5个配套细则，开展监督问责机制，每季度开展财务交叉检查，结果纳入绩效考核，组织财务人员参加会计继续教育专题培训。</w:t>
            </w:r>
          </w:p>
          <w:p w14:paraId="0FFBE0E3">
            <w:pPr>
              <w:pStyle w:val="10"/>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firstLine="480" w:firstLineChars="200"/>
              <w:jc w:val="left"/>
              <w:textAlignment w:val="auto"/>
              <w:rPr>
                <w:rFonts w:hint="eastAsia"/>
                <w:spacing w:val="0"/>
                <w:lang w:val="en-US" w:eastAsia="zh-CN"/>
              </w:rPr>
            </w:pPr>
            <w:r>
              <w:rPr>
                <w:rFonts w:hint="eastAsia"/>
                <w:spacing w:val="0"/>
                <w:lang w:val="en-US" w:eastAsia="zh-CN"/>
              </w:rPr>
              <w:t>2.建立专项智慧城管规划，建立“四个一”推进机制，一个项目、一名领导、一个专班、一套方案；建立“双评价”制度，年度评价：重点评价指标完成情况，中期评价：全面评价规划实施效果，完善监督考核，将结果纳入干部绩效考核中。</w:t>
            </w:r>
          </w:p>
          <w:p w14:paraId="2D2AEB22">
            <w:pPr>
              <w:pStyle w:val="10"/>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firstLine="480" w:firstLineChars="200"/>
              <w:jc w:val="left"/>
              <w:textAlignment w:val="auto"/>
              <w:rPr>
                <w:rFonts w:hint="default"/>
                <w:spacing w:val="0"/>
                <w:lang w:val="en-US" w:eastAsia="zh-CN"/>
              </w:rPr>
            </w:pPr>
            <w:r>
              <w:rPr>
                <w:rFonts w:hint="eastAsia"/>
                <w:spacing w:val="0"/>
                <w:lang w:val="en-US" w:eastAsia="zh-CN"/>
              </w:rPr>
              <w:t>3.加强执法监督，建立有效的投诉反馈和问责机制；提升执法透明度，明确政策执行标准，避免随意性；注重民生导向，平衡城市管理与群众生计需求。</w:t>
            </w:r>
          </w:p>
        </w:tc>
      </w:tr>
      <w:tr w14:paraId="2F22F6A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648" w:hRule="atLeast"/>
        </w:trPr>
        <w:tc>
          <w:tcPr>
            <w:tcW w:w="8530" w:type="dxa"/>
            <w:tcBorders>
              <w:tl2br w:val="nil"/>
              <w:tr2bl w:val="nil"/>
            </w:tcBorders>
            <w:vAlign w:val="center"/>
          </w:tcPr>
          <w:p w14:paraId="45915C0D">
            <w:pPr>
              <w:pStyle w:val="10"/>
              <w:keepNext/>
              <w:keepLines/>
              <w:pageBreakBefore w:val="0"/>
              <w:widowControl w:val="0"/>
              <w:kinsoku/>
              <w:wordWrap/>
              <w:overflowPunct w:val="0"/>
              <w:topLinePunct/>
              <w:autoSpaceDE/>
              <w:autoSpaceDN/>
              <w:bidi w:val="0"/>
              <w:adjustRightInd w:val="0"/>
              <w:snapToGrid w:val="0"/>
              <w:spacing w:before="239" w:line="220" w:lineRule="auto"/>
              <w:ind w:left="319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七、</w:t>
            </w:r>
            <w:r>
              <w:rPr>
                <w:b/>
                <w:bCs/>
                <w:spacing w:val="0"/>
              </w:rPr>
              <w:t>其他需要说明的事项</w:t>
            </w:r>
          </w:p>
        </w:tc>
      </w:tr>
      <w:tr w14:paraId="56BE602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758" w:hRule="atLeast"/>
        </w:trPr>
        <w:tc>
          <w:tcPr>
            <w:tcW w:w="8530" w:type="dxa"/>
            <w:tcBorders>
              <w:tl2br w:val="nil"/>
              <w:tr2bl w:val="nil"/>
            </w:tcBorders>
            <w:vAlign w:val="center"/>
          </w:tcPr>
          <w:p w14:paraId="42EDF515">
            <w:pPr>
              <w:pStyle w:val="10"/>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auto"/>
              <w:rPr>
                <w:rFonts w:hint="eastAsia"/>
                <w:spacing w:val="0"/>
                <w:lang w:val="en-US" w:eastAsia="zh-CN"/>
              </w:rPr>
            </w:pPr>
            <w:r>
              <w:rPr>
                <w:rFonts w:hint="eastAsia"/>
                <w:spacing w:val="0"/>
                <w:lang w:val="en-US" w:eastAsia="zh-CN"/>
              </w:rPr>
              <w:t>1.采取统筹规划评价工期、规范评价管理流程、严格评价机构筛选、强化评价过程管控、优化评价组织模式等措施，统筹推进项目实施。</w:t>
            </w:r>
          </w:p>
          <w:p w14:paraId="3CEE8BE1">
            <w:pPr>
              <w:pStyle w:val="10"/>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auto"/>
              <w:rPr>
                <w:rFonts w:hint="eastAsia"/>
                <w:spacing w:val="0"/>
                <w:lang w:val="en-US" w:eastAsia="zh-CN"/>
              </w:rPr>
            </w:pPr>
            <w:r>
              <w:rPr>
                <w:rFonts w:hint="eastAsia"/>
                <w:spacing w:val="0"/>
                <w:lang w:val="en-US" w:eastAsia="zh-CN"/>
              </w:rPr>
              <w:t>2.创新项目主评人“交叉评审”、第三方机构“内审+终审”“质费挂钩”等机制，提高绩效评价服务水平和报告质量。</w:t>
            </w:r>
          </w:p>
          <w:p w14:paraId="49465040">
            <w:pPr>
              <w:pStyle w:val="10"/>
              <w:keepNext w:val="0"/>
              <w:keepLines w:val="0"/>
              <w:pageBreakBefore w:val="0"/>
              <w:widowControl w:val="0"/>
              <w:kinsoku/>
              <w:wordWrap/>
              <w:overflowPunct w:val="0"/>
              <w:topLinePunct/>
              <w:autoSpaceDE/>
              <w:autoSpaceDN/>
              <w:bidi w:val="0"/>
              <w:adjustRightInd w:val="0"/>
              <w:snapToGrid w:val="0"/>
              <w:spacing w:line="400" w:lineRule="exact"/>
              <w:ind w:left="0" w:firstLine="480" w:firstLineChars="200"/>
              <w:jc w:val="left"/>
              <w:textAlignment w:val="auto"/>
              <w:rPr>
                <w:rFonts w:hint="eastAsia" w:asciiTheme="minorEastAsia" w:hAnsiTheme="minorEastAsia" w:eastAsiaTheme="minorEastAsia" w:cstheme="minorEastAsia"/>
                <w:spacing w:val="0"/>
                <w:sz w:val="24"/>
                <w:szCs w:val="24"/>
              </w:rPr>
            </w:pPr>
            <w:r>
              <w:rPr>
                <w:rFonts w:hint="eastAsia"/>
                <w:spacing w:val="0"/>
                <w:lang w:val="en-US" w:eastAsia="zh-CN"/>
              </w:rPr>
              <w:t>3.对财政绩效评价结果及有关情况进行了通报，要求各有关部门举一反三、跟踪落实问效，充分发挥“以评促改”的积极作用，对标对表分析本部门本行业在预算绩效管理方面存在的短板弱项，做好问题整改和政策落实。</w:t>
            </w:r>
          </w:p>
        </w:tc>
      </w:tr>
    </w:tbl>
    <w:p w14:paraId="7BDAA81C">
      <w:pPr>
        <w:rPr>
          <w:rFonts w:hint="eastAsia" w:asciiTheme="minorEastAsia" w:hAnsiTheme="minorEastAsia" w:eastAsiaTheme="minorEastAsia" w:cstheme="minorEastAsia"/>
          <w:spacing w:val="0"/>
          <w:sz w:val="24"/>
          <w:szCs w:val="24"/>
        </w:rPr>
      </w:pPr>
    </w:p>
    <w:sectPr>
      <w:footerReference r:id="rId5" w:type="default"/>
      <w:pgSz w:w="11906" w:h="16839"/>
      <w:pgMar w:top="1431" w:right="1687" w:bottom="1170" w:left="1688" w:header="0" w:footer="975" w:gutter="0"/>
      <w:pgBorders>
        <w:top w:val="none" w:sz="0" w:space="0"/>
        <w:left w:val="none" w:sz="0" w:space="0"/>
        <w:bottom w:val="none" w:sz="0" w:space="0"/>
        <w:right w:val="none" w:sz="0" w:space="0"/>
      </w:pgBorders>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27AAC">
    <w:pPr>
      <w:pStyle w:val="2"/>
      <w:spacing w:line="179" w:lineRule="auto"/>
      <w:ind w:left="4020"/>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E31B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2E31B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172A27"/>
    <w:rsid w:val="00A566D5"/>
    <w:rsid w:val="010D433E"/>
    <w:rsid w:val="02E1776D"/>
    <w:rsid w:val="049C7DEF"/>
    <w:rsid w:val="058663AA"/>
    <w:rsid w:val="065A37E2"/>
    <w:rsid w:val="067E2E92"/>
    <w:rsid w:val="067E3AD6"/>
    <w:rsid w:val="07A86AAB"/>
    <w:rsid w:val="07BC4304"/>
    <w:rsid w:val="09B554AF"/>
    <w:rsid w:val="0ADE7E9F"/>
    <w:rsid w:val="0C8F3D96"/>
    <w:rsid w:val="11A57E6D"/>
    <w:rsid w:val="12C329EB"/>
    <w:rsid w:val="16A06327"/>
    <w:rsid w:val="184243B2"/>
    <w:rsid w:val="18D957E5"/>
    <w:rsid w:val="19AC41D9"/>
    <w:rsid w:val="1D5242DB"/>
    <w:rsid w:val="20FA3A7C"/>
    <w:rsid w:val="226B2757"/>
    <w:rsid w:val="23264FFC"/>
    <w:rsid w:val="236D2C2B"/>
    <w:rsid w:val="248A3369"/>
    <w:rsid w:val="28E7579C"/>
    <w:rsid w:val="2E206AEC"/>
    <w:rsid w:val="300E12C4"/>
    <w:rsid w:val="30640F12"/>
    <w:rsid w:val="33707BCD"/>
    <w:rsid w:val="33723946"/>
    <w:rsid w:val="337B2999"/>
    <w:rsid w:val="353531EB"/>
    <w:rsid w:val="35E82F17"/>
    <w:rsid w:val="3B6E70E8"/>
    <w:rsid w:val="3BE253E0"/>
    <w:rsid w:val="3C28373B"/>
    <w:rsid w:val="3C5F1085"/>
    <w:rsid w:val="3F8E13F7"/>
    <w:rsid w:val="41F05ECC"/>
    <w:rsid w:val="43EE7018"/>
    <w:rsid w:val="455F19D3"/>
    <w:rsid w:val="46596265"/>
    <w:rsid w:val="4703102D"/>
    <w:rsid w:val="47422245"/>
    <w:rsid w:val="48904B42"/>
    <w:rsid w:val="530F0D59"/>
    <w:rsid w:val="54673B9A"/>
    <w:rsid w:val="5A2E5F69"/>
    <w:rsid w:val="5BE30FD5"/>
    <w:rsid w:val="5CB62246"/>
    <w:rsid w:val="5E1436C8"/>
    <w:rsid w:val="5E8124E4"/>
    <w:rsid w:val="5F3C1128"/>
    <w:rsid w:val="65F0610C"/>
    <w:rsid w:val="6913481E"/>
    <w:rsid w:val="699459AB"/>
    <w:rsid w:val="6DA700B4"/>
    <w:rsid w:val="706E686D"/>
    <w:rsid w:val="74D86DA5"/>
    <w:rsid w:val="788A485A"/>
    <w:rsid w:val="7C4116D4"/>
    <w:rsid w:val="7C8021FC"/>
    <w:rsid w:val="7DCA74A7"/>
    <w:rsid w:val="7DE92023"/>
    <w:rsid w:val="7E3C027A"/>
    <w:rsid w:val="7FC526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1856</Words>
  <Characters>1993</Characters>
  <TotalTime>14</TotalTime>
  <ScaleCrop>false</ScaleCrop>
  <LinksUpToDate>false</LinksUpToDate>
  <CharactersWithSpaces>2010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2024-11-27T14:55:00Z</dcterms:created>
  <dc:creator>Windows 用户</dc:creator>
  <cp:lastModifiedBy>张瑾</cp:lastModifiedBy>
  <dcterms:modified xsi:type="dcterms:W3CDTF">2025-09-19T09:20:02Z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2024-12-05T15:11:16Z</vt:filetime>
  </property>
  <property fmtid="{D5CDD505-2E9C-101B-9397-08002B2CF9AE}" pid="4" name="KSOProductBuildVer">
    <vt:lpwstr>2052-12.1.0.22529</vt:lpwstr>
  </property>
  <property fmtid="{D5CDD505-2E9C-101B-9397-08002B2CF9AE}" pid="5" name="ICV">
    <vt:lpwstr>99F010DD63E547C08B03925A73E57FA3_13</vt:lpwstr>
  </property>
  <property fmtid="{D5CDD505-2E9C-101B-9397-08002B2CF9AE}" pid="6" name="KSOTemplateDocerSaveRecord">
    <vt:lpwstr>eyJoZGlkIjoiNjc5Y2IzYTExODk3NWE1ZGQyNjVjZjJhZmYxN2U1NzEiLCJ1c2VySWQiOiI0MTA2NTQ0MTAifQ==</vt:lpwstr>
  </property>
</Properties>
</file>