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bookmarkStart w:id="0" w:name="_GoBack"/>
      <w:bookmarkEnd w:id="0"/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基本信息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2817"/>
        <w:gridCol w:w="1878"/>
        <w:gridCol w:w="2817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项目类型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本级支出项目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项目名称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分配方式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起始年份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项目期限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年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业务管理处室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资金主管处室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0103 行财股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资金主管部门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143 合水县教育和科学技术局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重要程度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一般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热点分类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000 非“三保”支出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联系人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张鹏伟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联系电话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15379236869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标准模板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是否追踪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是否资产配置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是否科研项目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是否设置使用范围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是否二次分配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是否基建项目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是否涉密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否</w:t>
            </w: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项目总金额（元）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121200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其中：非财政性资金（元）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项目概述</w:t>
            </w:r>
          </w:p>
        </w:tc>
        <w:tc>
          <w:tcPr>
            <w:tcW w:w="15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2025年县级专项－公办幼儿园生均公用经费财政拨款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政策依据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合教科发[2023]306号：合水县财政局合水县教育科局《关于调整合水县公办幼儿园生均公用经费财政拨款标准的通知》，“公办幼儿园生均公用经费财政拨款标准由每生每年400元调整为每生每年600元”。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基本情况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学前教育生均公用经费财政拨款用于保障公办幼儿园正常运转。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项目立项必要性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政策规定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保障项目实施的制度措施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强化预算管理，确保专款专用；加强预算监督，提高资金使用效益。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6月底前完成50%资金拨付，12月底前全部拨付到位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组织实施单位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合水县教育和科学技术局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监督管理单位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合水县财政局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项目实施单位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合水县肖咀乡中心小学（幼儿园）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需要说明的其他情况</w:t>
            </w:r>
          </w:p>
        </w:tc>
        <w:tc>
          <w:tcPr>
            <w:tcW w:w="4000" w:type="pct"/>
            <w:gridSpan w:val="3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项目测算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0"/>
        <w:gridCol w:w="670"/>
        <w:gridCol w:w="670"/>
        <w:gridCol w:w="670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  <w:gridCol w:w="671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编报模板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项目任务明细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支出标准分类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计算方式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支出标准值（元）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计量单位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计量数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单价（万元）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测算依据及说明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标准模板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学前教育生均公用经费财政拨款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2025年学前教育生均公用经费财政拨款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暂定标准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定额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121200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357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2025年学前教育生均公用经费财政拨款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分年支出计划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2347"/>
        <w:gridCol w:w="2347"/>
        <w:gridCol w:w="2348"/>
        <w:gridCol w:w="2348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年度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总金额（万元）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申报数（万元）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审核数（万元）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测算参考值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0.00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  <w:tc>
          <w:tcPr>
            <w:tcW w:w="125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12.12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项目绩效目标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878"/>
        <w:gridCol w:w="7512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800" w:hRule="atLeast"/>
        </w:trPr>
        <w:tc>
          <w:tcPr>
            <w:tcW w:w="1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项目绩效目标</w:t>
            </w:r>
          </w:p>
        </w:tc>
        <w:tc>
          <w:tcPr>
            <w:tcW w:w="4000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改善公办幼儿园办学条件，保障公办幼儿园高效运转。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项目绩效指标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173"/>
        <w:gridCol w:w="1173"/>
        <w:gridCol w:w="1174"/>
        <w:gridCol w:w="1174"/>
        <w:gridCol w:w="1174"/>
        <w:gridCol w:w="1174"/>
        <w:gridCol w:w="1174"/>
        <w:gridCol w:w="1174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4375" w:type="pct"/>
            <w:gridSpan w:val="7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分解指标</w:t>
            </w:r>
          </w:p>
        </w:tc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一级指标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二级指标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三级指标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指标值类型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度量单位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指标值内容</w:t>
            </w:r>
          </w:p>
        </w:tc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投入资金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≦12.12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万元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生态环境成本指标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产出指标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补助幼儿园数量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所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年生均拨款标准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≧600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元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数量指标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受益师生数量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≧220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人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生均拨款标准达标率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≧100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质量指标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资金有效利用率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≧90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时效指标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资金分配及时率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≧80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效益指标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经济效益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保障公办幼儿园高效运转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社会效益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改善公办幼儿园办学条件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定性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改善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生态效益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可持续影响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restar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满意度指标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师生满意度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625" w:type="pct"/>
            <w:vMerge w:val="continue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服务对象满意度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学校满意度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定量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≧85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%</w:t>
            </w: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625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事前绩效评估打分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234"/>
        <w:gridCol w:w="1234"/>
        <w:gridCol w:w="1234"/>
        <w:gridCol w:w="1234"/>
        <w:gridCol w:w="1234"/>
        <w:gridCol w:w="1234"/>
        <w:gridCol w:w="1134"/>
        <w:gridCol w:w="50"/>
        <w:gridCol w:w="50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审核内容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审核要点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权重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单位得分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部门意见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预算编制真实完整;预算编制内容科学合理、明确细化(与绩效目标、实施方案紧密衔接);预算标准依据充分、测算准确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政策相关性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与国家政策和规划相关;与我省行业发展规划相关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项目管理制度健全性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保障项目实施的相关管理制度健全、措施有效。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绩效指标细化量程度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将项目绩效目标细化量化为具体的绩效指标，包括产出指标和效果指标且符合相关原则，即指标是明确的、可衡量的、可实现的、相关的具有时限的。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投入产出比科学合理，符合投入最小化、产出最大化预期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绩效目标明确合理性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是否设定绩效目标 (此项为否决性核心指标); 与部门长期规划目标、年度工作目标一致;项目受益群体定位准确;绩效目标与项目实施内容高度相关。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10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筹资来源合规性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资金筹措渠道及方式合法合规;资金投入来源结构合理、真实可靠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立项必要性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项目管理规范性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项目设立、退出有明确的时限;项目清理、退出调整有明确的时限和步骤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3.2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投入经济性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需求相关性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项目具有迫切的现实需求;项目不具有替代性;项目有确定的服务对象或受益对象。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职能相关性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与主管部门职能、规划及年度重点工作相关。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3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财政投入能力风险性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项目投入规模适当;中请预算在财政可承受能力范围内。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成本效益相关性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项目投入成本与预期效益高度相关，符合成本最小化、效益最大化预期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筹资风险可控性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对筹资风险认识全面;针对预期风险制定相应的应对措施;应对措施可行且有效。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项目实施计划可行性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项目实施计划进度节点明确且安排合理;项目实施计划与资金使用计划匹配;实施计划符合全生命周期管理的要求。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5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实施方案完备性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项目实施方案详实完备;项目实施内容明确具体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绩效目标合理性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成本控制措施有效性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成本测算科学合理;成本控制制度健全且措施有效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筹资合规性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财政投入相关性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项目具有公共性，属于公共财政支持范围 (此项为否决性核心指标);属于省级支出责任 (此项为否决性核心指标)。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8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6.4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预算编制准确性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项目管理机构健全有效性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项目的管理机构健全;管理机构职责分工明确:项目人员、设施、物资等基础保障条件完备。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良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1.6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gridAfter w:val="2"/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95.4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单位总体意见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部门综合评定等级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优</w:t>
            </w:r>
          </w:p>
        </w:tc>
        <w:tc>
          <w:tcPr>
            <w:tcW w:w="714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94.4</w:t>
            </w: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0" w:type="auto"/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部门总体意见</w:t>
            </w:r>
          </w:p>
        </w:tc>
        <w:tc>
          <w:tcPr>
            <w:tcW w:w="2500" w:type="pct"/>
            <w:gridSpan w:val="8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同意</w:t>
            </w:r>
          </w:p>
        </w:tc>
      </w:tr>
    </w:tbl>
    <w:p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line="450" w:lineRule="atLeast"/>
        <w:jc w:val="center"/>
        <w:rPr>
          <w:b/>
          <w:bCs/>
          <w:sz w:val="22"/>
          <w:szCs w:val="22"/>
        </w:rPr>
      </w:pPr>
      <w:r>
        <w:rPr>
          <w:rFonts w:ascii="宋体" w:hAnsi="宋体" w:eastAsia="宋体" w:cs="宋体"/>
          <w:b/>
          <w:bCs/>
          <w:kern w:val="0"/>
          <w:sz w:val="22"/>
          <w:szCs w:val="22"/>
          <w:bdr w:val="none" w:color="auto" w:sz="0" w:space="0"/>
          <w:lang w:val="en-US" w:eastAsia="zh-CN" w:bidi="ar"/>
        </w:rPr>
        <w:t>项目附件</w:t>
      </w:r>
    </w:p>
    <w:tbl>
      <w:tblPr>
        <w:tblW w:w="5000" w:type="pct"/>
        <w:tblInd w:w="0" w:type="dxa"/>
        <w:tblBorders>
          <w:top w:val="none" w:color="auto" w:sz="0" w:space="0"/>
          <w:left w:val="none" w:color="auto" w:sz="0" w:space="0"/>
          <w:bottom w:val="single" w:color="000000" w:sz="6" w:space="0"/>
          <w:right w:val="single" w:color="000000" w:sz="6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440"/>
        <w:gridCol w:w="1440"/>
        <w:gridCol w:w="1440"/>
        <w:gridCol w:w="1440"/>
        <w:gridCol w:w="1440"/>
        <w:gridCol w:w="1439"/>
      </w:tblGrid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shd w:val="clear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文号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文件名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类型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备注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附件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上传人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single" w:color="000000" w:sz="6" w:space="0"/>
            <w:right w:val="single" w:color="000000" w:sz="6" w:space="0"/>
            <w:insideH w:val="none" w:color="auto" w:sz="0" w:space="0"/>
            <w:insideV w:val="none" w:color="auto" w:sz="0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0" w:hRule="atLeast"/>
        </w:trPr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1 2025年项目预算.pdf</w:t>
            </w: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1"/>
                <w:szCs w:val="21"/>
              </w:rPr>
            </w:pPr>
          </w:p>
        </w:tc>
        <w:tc>
          <w:tcPr>
            <w:tcW w:w="833" w:type="pct"/>
            <w:tcBorders>
              <w:top w:val="single" w:color="000000" w:sz="6" w:space="0"/>
              <w:left w:val="single" w:color="000000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1"/>
                <w:szCs w:val="21"/>
              </w:rPr>
            </w:pPr>
            <w:r>
              <w:rPr>
                <w:rFonts w:ascii="宋体" w:hAnsi="宋体" w:eastAsia="宋体" w:cs="宋体"/>
                <w:kern w:val="0"/>
                <w:sz w:val="21"/>
                <w:szCs w:val="21"/>
                <w:lang w:val="en-US" w:eastAsia="zh-CN" w:bidi="ar"/>
              </w:rPr>
              <w:t>张永博</w:t>
            </w:r>
          </w:p>
        </w:tc>
      </w:tr>
    </w:tbl>
    <w:p/>
    <w:sectPr>
      <w:pgSz w:w="12240" w:h="15840"/>
      <w:pgMar w:top="1440" w:right="1440" w:bottom="1440" w:left="144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5BE449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sz w:val="21"/>
      <w:szCs w:val="22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ScaleCrop>false</ScaleCrop>
  <LinksUpToDate>false</LinksUpToDate>
  <Application>WPS Office_12.1.0.16250_F1E327BC-269C-435d-A152-05C5408002CA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2025-02-19T06:49:18Z</dcterms:created>
  <dc:creator>Administrator</dc:creator>
  <cp:lastModifiedBy>Administrator</cp:lastModifiedBy>
  <dcterms:modified xsi:type="dcterms:W3CDTF">2025-02-19T06:49:25Z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2052-12.1.0.16250</vt:lpwstr>
  </property>
  <property fmtid="{D5CDD505-2E9C-101B-9397-08002B2CF9AE}" pid="3" name="ICV">
    <vt:lpwstr>0D8E50C141844F5BA4D5CEA2B135D6E6_13</vt:lpwstr>
  </property>
</Properties>
</file>