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合水县中医医院</w:t>
      </w: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right="4" w:firstLine="2088" w:firstLineChars="400"/>
        <w:jc w:val="both"/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  <w:t>合水县中医医院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</w:rPr>
      </w:pP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合水县中医医院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2022年3月30日县十九届人大常委会第三次会议研究通过的《合水县2022年财政收支预算》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我单位无专项资金预算。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2021年我单位实际支出资金数为4035万元，分别为：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1.县级药品零差率补助资金20万元。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2.医防结合信息费用15万元。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3.合水县应急救治保障中心建设项目4000万元。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1.县级药品零差率补助资金20万元，实际支付20万元，支付率100%。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医防结合信息费用15万元，实际支付15万元，支付率100%。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合水县应急救治保障中心建设项目4000万元，实际支付4000万元，支付率100%。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1.2022年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县级药品零差率补助资金20万元，实际支付20万元。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2.2022年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医防结合信息费用15万元，实际支付15万元。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3.2022年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合水县应急救治保障中心建设项目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4000万元，实际支付4000万元。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gree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项目资金支出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gre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5484F6-9BA2-464A-A956-6E699A1793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CBF02D-084C-483E-B559-4DDB3ECE11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AD20095-C1CC-4F75-A8C6-783B036BC7E2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4" w:fontKey="{22CAEACA-39CB-4304-8EA3-10379C47D4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BE20DD1-DBC1-4760-B60A-DA447BDB9A4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34564D8-74C1-42F1-9A21-D081FF0C160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YmY5NzhmNzBjNmFiYWJmM2RhOTRkMjI3MThmZjUifQ=="/>
  </w:docVars>
  <w:rsids>
    <w:rsidRoot w:val="7AF3281B"/>
    <w:rsid w:val="0CDC5928"/>
    <w:rsid w:val="24B53D80"/>
    <w:rsid w:val="3C1F2A3C"/>
    <w:rsid w:val="58F5279F"/>
    <w:rsid w:val="69DF3E38"/>
    <w:rsid w:val="6C92240B"/>
    <w:rsid w:val="72C96936"/>
    <w:rsid w:val="7AF3281B"/>
    <w:rsid w:val="7FD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942</Words>
  <Characters>1028</Characters>
  <Lines>0</Lines>
  <Paragraphs>0</Paragraphs>
  <TotalTime>6</TotalTime>
  <ScaleCrop>false</ScaleCrop>
  <LinksUpToDate>false</LinksUpToDate>
  <CharactersWithSpaces>1087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2023-06-21T10:03:00Z</dcterms:created>
  <dc:creator>无风之水</dc:creator>
  <cp:lastModifiedBy>笙笙千离</cp:lastModifiedBy>
  <dcterms:modified xsi:type="dcterms:W3CDTF">2023-06-21T10:37:30Z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B1EC9F0CF88B4BF78CD1E5F29C365628_13</vt:lpwstr>
  </property>
</Properties>
</file>