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p>
    <w:p>
      <w:pPr>
        <w:widowControl w:val="0"/>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p>
    <w:p>
      <w:pPr>
        <w:keepNext w:val="0"/>
        <w:keepLines w:val="0"/>
        <w:pageBreakBefore w:val="0"/>
        <w:widowControl/>
        <w:kinsoku w:val="0"/>
        <w:wordWrap/>
        <w:overflowPunct/>
        <w:topLinePunct w:val="0"/>
        <w:autoSpaceDE w:val="0"/>
        <w:autoSpaceDN w:val="0"/>
        <w:bidi w:val="0"/>
        <w:adjustRightInd w:val="0"/>
        <w:snapToGrid w:val="0"/>
        <w:spacing w:line="216" w:lineRule="auto"/>
        <w:jc w:val="center"/>
        <w:textAlignment w:val="baseline"/>
        <w:outlineLvl w:val="0"/>
        <w:rPr>
          <w:rFonts w:hint="eastAsia" w:ascii="宋体" w:hAnsi="宋体" w:eastAsia="宋体" w:cs="宋体"/>
          <w:sz w:val="118"/>
          <w:szCs w:val="118"/>
        </w:rPr>
      </w:pPr>
      <w:r>
        <w:rPr>
          <w:rFonts w:hint="eastAsia" w:ascii="宋体" w:hAnsi="宋体" w:eastAsia="宋体" w:cs="宋体"/>
          <w:b w:val="0"/>
          <w:bCs w:val="0"/>
          <w:color w:val="FF0000"/>
          <w:spacing w:val="-23"/>
          <w:w w:val="80"/>
          <w:sz w:val="118"/>
          <w:szCs w:val="118"/>
          <w14:textOutline w14:w="20637" w14:cap="flat" w14:cmpd="sng">
            <w14:solidFill>
              <w14:srgbClr w14:val="FF0000"/>
            </w14:solidFill>
            <w14:prstDash w14:val="solid"/>
            <w14:miter w14:val="0"/>
          </w14:textOutline>
        </w:rPr>
        <w:t>合水县乐蟠小学便函</w:t>
      </w:r>
    </w:p>
    <w:p>
      <w:pPr>
        <w:spacing w:line="50" w:lineRule="exact"/>
        <w:rPr>
          <w:sz w:val="116"/>
          <w:szCs w:val="116"/>
        </w:rPr>
      </w:pPr>
      <w:r>
        <w:rPr>
          <w:position w:val="-1"/>
          <w:sz w:val="116"/>
          <w:szCs w:val="116"/>
        </w:rPr>
        <w:drawing>
          <wp:inline distT="0" distB="0" distL="0" distR="0">
            <wp:extent cx="5365115" cy="76200"/>
            <wp:effectExtent l="0" t="0" r="14605"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
                    <a:stretch>
                      <a:fillRect/>
                    </a:stretch>
                  </pic:blipFill>
                  <pic:spPr>
                    <a:xfrm>
                      <a:off x="0" y="0"/>
                      <a:ext cx="5365115" cy="76200"/>
                    </a:xfrm>
                    <a:prstGeom prst="rect">
                      <a:avLst/>
                    </a:prstGeom>
                  </pic:spPr>
                </pic:pic>
              </a:graphicData>
            </a:graphic>
          </wp:inline>
        </w:drawing>
      </w:r>
    </w:p>
    <w:p>
      <w:pPr>
        <w:widowControl w:val="0"/>
        <w:spacing w:before="0" w:after="0" w:line="240" w:lineRule="auto"/>
        <w:ind w:left="0" w:right="0" w:firstLine="0"/>
        <w:jc w:val="both"/>
        <w:rPr>
          <w:rFonts w:ascii="Times New Roman" w:hAnsi="Times New Roman" w:eastAsia="Times New Roman" w:cs="Times New Roman"/>
          <w:color w:val="auto"/>
          <w:spacing w:val="0"/>
          <w:position w:val="0"/>
          <w:sz w:val="21"/>
          <w:shd w:val="clear" w:fill="auto"/>
        </w:rPr>
      </w:pPr>
    </w:p>
    <w:p>
      <w:pPr>
        <w:widowControl w:val="0"/>
        <w:spacing w:before="0" w:after="0" w:line="240" w:lineRule="auto"/>
        <w:ind w:left="0" w:right="0" w:firstLine="2160" w:firstLineChars="600"/>
        <w:jc w:val="both"/>
        <w:rPr>
          <w:rFonts w:ascii="Times New Roman" w:hAnsi="Times New Roman" w:eastAsia="Times New Roman" w:cs="Times New Roman"/>
          <w:color w:val="auto"/>
          <w:spacing w:val="0"/>
          <w:position w:val="0"/>
          <w:sz w:val="36"/>
          <w:shd w:val="clear" w:fill="auto"/>
        </w:rPr>
      </w:pPr>
      <w:r>
        <w:rPr>
          <w:rFonts w:ascii="宋体" w:hAnsi="宋体" w:eastAsia="宋体" w:cs="宋体"/>
          <w:color w:val="auto"/>
          <w:spacing w:val="0"/>
          <w:position w:val="0"/>
          <w:sz w:val="36"/>
          <w:shd w:val="clear" w:fill="auto"/>
        </w:rPr>
        <w:t>合水县</w:t>
      </w:r>
      <w:r>
        <w:rPr>
          <w:rFonts w:hint="eastAsia" w:ascii="宋体" w:hAnsi="宋体" w:eastAsia="宋体" w:cs="宋体"/>
          <w:color w:val="auto"/>
          <w:spacing w:val="0"/>
          <w:position w:val="0"/>
          <w:sz w:val="36"/>
          <w:shd w:val="clear" w:fill="auto"/>
          <w:lang w:val="en-US" w:eastAsia="zh-CN"/>
        </w:rPr>
        <w:t>乐蟠小学</w:t>
      </w:r>
      <w:r>
        <w:rPr>
          <w:rFonts w:ascii="宋体" w:hAnsi="宋体" w:eastAsia="宋体" w:cs="宋体"/>
          <w:color w:val="auto"/>
          <w:spacing w:val="0"/>
          <w:position w:val="0"/>
          <w:sz w:val="36"/>
          <w:shd w:val="clear" w:fill="auto"/>
        </w:rPr>
        <w:t>整体支出</w:t>
      </w:r>
    </w:p>
    <w:p>
      <w:pPr>
        <w:widowControl w:val="0"/>
        <w:spacing w:before="0" w:after="0" w:line="240" w:lineRule="auto"/>
        <w:ind w:left="0" w:right="0" w:firstLine="0"/>
        <w:jc w:val="center"/>
        <w:rPr>
          <w:rFonts w:ascii="Times New Roman" w:hAnsi="Times New Roman" w:eastAsia="Times New Roman" w:cs="Times New Roman"/>
          <w:color w:val="auto"/>
          <w:spacing w:val="0"/>
          <w:position w:val="0"/>
          <w:sz w:val="36"/>
          <w:shd w:val="clear" w:fill="auto"/>
        </w:rPr>
      </w:pPr>
      <w:r>
        <w:rPr>
          <w:rFonts w:ascii="宋体" w:hAnsi="宋体" w:eastAsia="宋体" w:cs="宋体"/>
          <w:color w:val="auto"/>
          <w:spacing w:val="0"/>
          <w:position w:val="0"/>
          <w:sz w:val="36"/>
          <w:shd w:val="clear" w:fill="auto"/>
        </w:rPr>
        <w:t>绩效自评报告</w:t>
      </w:r>
    </w:p>
    <w:p>
      <w:pPr>
        <w:widowControl w:val="0"/>
        <w:spacing w:before="0" w:after="0" w:line="240" w:lineRule="auto"/>
        <w:ind w:left="0" w:right="0" w:firstLine="0"/>
        <w:jc w:val="center"/>
        <w:rPr>
          <w:rFonts w:ascii="Times New Roman" w:hAnsi="Times New Roman" w:eastAsia="Times New Roman" w:cs="Times New Roman"/>
          <w:color w:val="auto"/>
          <w:spacing w:val="0"/>
          <w:position w:val="0"/>
          <w:sz w:val="36"/>
          <w:shd w:val="clear" w:fill="auto"/>
        </w:rPr>
      </w:pPr>
    </w:p>
    <w:p>
      <w:pPr>
        <w:widowControl w:val="0"/>
        <w:spacing w:before="0" w:after="0" w:line="240" w:lineRule="auto"/>
        <w:ind w:left="0" w:right="0" w:firstLine="0"/>
        <w:jc w:val="center"/>
        <w:rPr>
          <w:rFonts w:ascii="Times New Roman" w:hAnsi="Times New Roman" w:eastAsia="Times New Roman" w:cs="Times New Roman"/>
          <w:color w:val="auto"/>
          <w:spacing w:val="0"/>
          <w:position w:val="0"/>
          <w:sz w:val="36"/>
          <w:shd w:val="clear" w:fill="auto"/>
        </w:rPr>
      </w:pPr>
    </w:p>
    <w:p>
      <w:pPr>
        <w:widowControl w:val="0"/>
        <w:spacing w:before="0" w:after="0" w:line="240" w:lineRule="auto"/>
        <w:ind w:left="0" w:right="0" w:firstLine="0"/>
        <w:jc w:val="left"/>
        <w:rPr>
          <w:rFonts w:ascii="Times New Roman" w:hAnsi="Times New Roman" w:eastAsia="Times New Roman" w:cs="Times New Roman"/>
          <w:color w:val="auto"/>
          <w:spacing w:val="0"/>
          <w:position w:val="0"/>
          <w:sz w:val="36"/>
          <w:shd w:val="clear" w:fill="auto"/>
        </w:rPr>
      </w:pPr>
      <w:r>
        <w:rPr>
          <w:rFonts w:ascii="宋体" w:hAnsi="宋体" w:eastAsia="宋体" w:cs="宋体"/>
          <w:color w:val="auto"/>
          <w:spacing w:val="0"/>
          <w:position w:val="0"/>
          <w:sz w:val="36"/>
          <w:shd w:val="clear" w:fill="auto"/>
        </w:rPr>
        <w:t xml:space="preserve">           评价类型</w:t>
      </w:r>
      <w:r>
        <w:rPr>
          <w:rFonts w:ascii="Times New Roman" w:hAnsi="Times New Roman" w:eastAsia="Times New Roman" w:cs="Times New Roman"/>
          <w:color w:val="auto"/>
          <w:spacing w:val="0"/>
          <w:position w:val="0"/>
          <w:sz w:val="36"/>
          <w:shd w:val="clear" w:fill="auto"/>
        </w:rPr>
        <w:t>:</w:t>
      </w:r>
      <w:r>
        <w:rPr>
          <w:rFonts w:ascii="宋体" w:hAnsi="宋体" w:eastAsia="宋体" w:cs="宋体"/>
          <w:color w:val="auto"/>
          <w:spacing w:val="0"/>
          <w:position w:val="0"/>
          <w:sz w:val="36"/>
          <w:shd w:val="clear" w:fill="auto"/>
        </w:rPr>
        <w:t>单位整体自评</w:t>
      </w:r>
    </w:p>
    <w:p>
      <w:pPr>
        <w:widowControl w:val="0"/>
        <w:spacing w:before="0" w:after="0" w:line="240" w:lineRule="auto"/>
        <w:ind w:left="0" w:right="0" w:firstLine="0"/>
        <w:jc w:val="left"/>
        <w:rPr>
          <w:rFonts w:ascii="Times New Roman" w:hAnsi="Times New Roman" w:eastAsia="Times New Roman" w:cs="Times New Roman"/>
          <w:color w:val="auto"/>
          <w:spacing w:val="0"/>
          <w:position w:val="0"/>
          <w:sz w:val="36"/>
          <w:shd w:val="clear" w:fill="auto"/>
        </w:rPr>
      </w:pPr>
    </w:p>
    <w:p>
      <w:pPr>
        <w:widowControl w:val="0"/>
        <w:spacing w:before="0" w:after="0" w:line="240" w:lineRule="auto"/>
        <w:ind w:left="0" w:right="0" w:firstLine="0"/>
        <w:jc w:val="left"/>
        <w:rPr>
          <w:rFonts w:ascii="Times New Roman" w:hAnsi="Times New Roman" w:eastAsia="Times New Roman" w:cs="Times New Roman"/>
          <w:color w:val="auto"/>
          <w:spacing w:val="0"/>
          <w:position w:val="0"/>
          <w:sz w:val="36"/>
          <w:shd w:val="clear" w:fill="auto"/>
        </w:rPr>
      </w:pPr>
    </w:p>
    <w:p>
      <w:pPr>
        <w:widowControl w:val="0"/>
        <w:spacing w:before="0" w:after="0" w:line="240" w:lineRule="auto"/>
        <w:ind w:left="0" w:right="0" w:firstLine="0"/>
        <w:jc w:val="left"/>
        <w:rPr>
          <w:rFonts w:hint="default" w:ascii="Times New Roman" w:hAnsi="Times New Roman" w:eastAsia="宋体" w:cs="Times New Roman"/>
          <w:color w:val="auto"/>
          <w:spacing w:val="0"/>
          <w:position w:val="0"/>
          <w:sz w:val="36"/>
          <w:shd w:val="clear" w:fill="auto"/>
          <w:lang w:val="en-US" w:eastAsia="zh-CN"/>
        </w:rPr>
      </w:pPr>
      <w:r>
        <w:rPr>
          <w:rFonts w:ascii="宋体" w:hAnsi="宋体" w:eastAsia="宋体" w:cs="宋体"/>
          <w:color w:val="auto"/>
          <w:spacing w:val="0"/>
          <w:position w:val="0"/>
          <w:sz w:val="36"/>
          <w:shd w:val="clear" w:fill="auto"/>
        </w:rPr>
        <w:t xml:space="preserve">           主管部门：合水县</w:t>
      </w:r>
      <w:r>
        <w:rPr>
          <w:rFonts w:hint="eastAsia" w:ascii="宋体" w:hAnsi="宋体" w:eastAsia="宋体" w:cs="宋体"/>
          <w:color w:val="auto"/>
          <w:spacing w:val="0"/>
          <w:position w:val="0"/>
          <w:sz w:val="36"/>
          <w:shd w:val="clear" w:fill="auto"/>
          <w:lang w:val="en-US" w:eastAsia="zh-CN"/>
        </w:rPr>
        <w:t>教育和科学技术局</w:t>
      </w:r>
    </w:p>
    <w:p>
      <w:pPr>
        <w:widowControl w:val="0"/>
        <w:spacing w:before="0" w:after="0" w:line="240" w:lineRule="auto"/>
        <w:ind w:left="0" w:right="0" w:firstLine="0"/>
        <w:jc w:val="left"/>
        <w:rPr>
          <w:rFonts w:ascii="Times New Roman" w:hAnsi="Times New Roman" w:eastAsia="Times New Roman" w:cs="Times New Roman"/>
          <w:color w:val="auto"/>
          <w:spacing w:val="0"/>
          <w:position w:val="0"/>
          <w:sz w:val="36"/>
          <w:shd w:val="clear" w:fill="auto"/>
        </w:rPr>
      </w:pPr>
    </w:p>
    <w:p>
      <w:pPr>
        <w:widowControl w:val="0"/>
        <w:spacing w:before="0" w:after="0" w:line="240" w:lineRule="auto"/>
        <w:ind w:left="0" w:right="0" w:firstLine="0"/>
        <w:jc w:val="left"/>
        <w:rPr>
          <w:rFonts w:ascii="Times New Roman" w:hAnsi="Times New Roman" w:eastAsia="Times New Roman" w:cs="Times New Roman"/>
          <w:color w:val="auto"/>
          <w:spacing w:val="0"/>
          <w:position w:val="0"/>
          <w:sz w:val="36"/>
          <w:shd w:val="clear" w:fill="auto"/>
        </w:rPr>
      </w:pPr>
    </w:p>
    <w:p>
      <w:pPr>
        <w:widowControl w:val="0"/>
        <w:spacing w:before="0" w:after="0" w:line="240" w:lineRule="auto"/>
        <w:ind w:left="0" w:right="0" w:firstLine="0"/>
        <w:jc w:val="left"/>
        <w:rPr>
          <w:rFonts w:hint="eastAsia" w:ascii="Times New Roman" w:hAnsi="Times New Roman" w:eastAsia="宋体" w:cs="Times New Roman"/>
          <w:color w:val="auto"/>
          <w:spacing w:val="0"/>
          <w:position w:val="0"/>
          <w:sz w:val="36"/>
          <w:shd w:val="clear" w:fill="auto"/>
          <w:lang w:val="en-US" w:eastAsia="zh-CN"/>
        </w:rPr>
      </w:pPr>
      <w:r>
        <w:rPr>
          <w:rFonts w:ascii="宋体" w:hAnsi="宋体" w:eastAsia="宋体" w:cs="宋体"/>
          <w:color w:val="auto"/>
          <w:spacing w:val="0"/>
          <w:position w:val="0"/>
          <w:sz w:val="36"/>
          <w:shd w:val="clear" w:fill="auto"/>
        </w:rPr>
        <w:t xml:space="preserve">           单位名称：合水县</w:t>
      </w:r>
      <w:r>
        <w:rPr>
          <w:rFonts w:hint="eastAsia" w:ascii="宋体" w:hAnsi="宋体" w:eastAsia="宋体" w:cs="宋体"/>
          <w:color w:val="auto"/>
          <w:spacing w:val="0"/>
          <w:position w:val="0"/>
          <w:sz w:val="36"/>
          <w:shd w:val="clear" w:fill="auto"/>
          <w:lang w:val="en-US" w:eastAsia="zh-CN"/>
        </w:rPr>
        <w:t>乐蟠小学</w:t>
      </w:r>
    </w:p>
    <w:p>
      <w:pPr>
        <w:widowControl w:val="0"/>
        <w:spacing w:before="0" w:after="0" w:line="240" w:lineRule="auto"/>
        <w:ind w:left="0" w:right="0" w:firstLine="0"/>
        <w:jc w:val="left"/>
        <w:rPr>
          <w:rFonts w:ascii="Times New Roman" w:hAnsi="Times New Roman" w:eastAsia="Times New Roman" w:cs="Times New Roman"/>
          <w:color w:val="auto"/>
          <w:spacing w:val="0"/>
          <w:position w:val="0"/>
          <w:sz w:val="36"/>
          <w:shd w:val="clear" w:fill="auto"/>
        </w:rPr>
      </w:pPr>
    </w:p>
    <w:p>
      <w:pPr>
        <w:widowControl w:val="0"/>
        <w:spacing w:before="0" w:after="0" w:line="240" w:lineRule="auto"/>
        <w:ind w:left="0" w:right="0" w:firstLine="0"/>
        <w:jc w:val="left"/>
        <w:rPr>
          <w:rFonts w:ascii="Times New Roman" w:hAnsi="Times New Roman" w:eastAsia="Times New Roman" w:cs="Times New Roman"/>
          <w:color w:val="auto"/>
          <w:spacing w:val="0"/>
          <w:position w:val="0"/>
          <w:sz w:val="36"/>
          <w:shd w:val="clear" w:fill="auto"/>
        </w:rPr>
      </w:pPr>
    </w:p>
    <w:p>
      <w:pPr>
        <w:widowControl w:val="0"/>
        <w:spacing w:before="0" w:after="0" w:line="240" w:lineRule="auto"/>
        <w:ind w:left="0" w:right="0" w:firstLine="0"/>
        <w:jc w:val="left"/>
        <w:rPr>
          <w:rFonts w:ascii="Times New Roman" w:hAnsi="Times New Roman" w:eastAsia="Times New Roman" w:cs="Times New Roman"/>
          <w:color w:val="auto"/>
          <w:spacing w:val="0"/>
          <w:position w:val="0"/>
          <w:sz w:val="36"/>
          <w:shd w:val="clear" w:fill="auto"/>
        </w:rPr>
      </w:pPr>
      <w:r>
        <w:rPr>
          <w:rFonts w:ascii="宋体" w:hAnsi="宋体" w:eastAsia="宋体" w:cs="宋体"/>
          <w:color w:val="auto"/>
          <w:spacing w:val="0"/>
          <w:position w:val="0"/>
          <w:sz w:val="36"/>
          <w:shd w:val="clear" w:fill="auto"/>
        </w:rPr>
        <w:t xml:space="preserve">           评价方式</w:t>
      </w:r>
      <w:r>
        <w:rPr>
          <w:rFonts w:ascii="Times New Roman" w:hAnsi="Times New Roman" w:eastAsia="Times New Roman" w:cs="Times New Roman"/>
          <w:color w:val="auto"/>
          <w:spacing w:val="0"/>
          <w:position w:val="0"/>
          <w:sz w:val="36"/>
          <w:shd w:val="clear" w:fill="auto"/>
        </w:rPr>
        <w:t>:</w:t>
      </w:r>
      <w:r>
        <w:rPr>
          <w:rFonts w:ascii="宋体" w:hAnsi="宋体" w:eastAsia="宋体" w:cs="宋体"/>
          <w:color w:val="auto"/>
          <w:spacing w:val="0"/>
          <w:position w:val="0"/>
          <w:sz w:val="36"/>
          <w:shd w:val="clear" w:fill="auto"/>
        </w:rPr>
        <w:t>自评</w:t>
      </w:r>
    </w:p>
    <w:p>
      <w:pPr>
        <w:widowControl w:val="0"/>
        <w:spacing w:before="0" w:after="0" w:line="240" w:lineRule="auto"/>
        <w:ind w:left="0" w:right="0" w:firstLine="0"/>
        <w:jc w:val="center"/>
        <w:rPr>
          <w:rFonts w:ascii="Times New Roman" w:hAnsi="Times New Roman" w:eastAsia="Times New Roman" w:cs="Times New Roman"/>
          <w:color w:val="auto"/>
          <w:spacing w:val="0"/>
          <w:position w:val="0"/>
          <w:sz w:val="36"/>
          <w:shd w:val="clear" w:fill="auto"/>
        </w:rPr>
      </w:pPr>
      <w:bookmarkStart w:id="0" w:name="_GoBack"/>
      <w:r>
        <w:drawing>
          <wp:anchor distT="0" distB="0" distL="114300" distR="114300" simplePos="0" relativeHeight="251659264" behindDoc="1" locked="0" layoutInCell="1" allowOverlap="1">
            <wp:simplePos x="0" y="0"/>
            <wp:positionH relativeFrom="column">
              <wp:posOffset>2237740</wp:posOffset>
            </wp:positionH>
            <wp:positionV relativeFrom="paragraph">
              <wp:posOffset>233680</wp:posOffset>
            </wp:positionV>
            <wp:extent cx="1447800" cy="1440180"/>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447800" cy="1440180"/>
                    </a:xfrm>
                    <a:prstGeom prst="rect">
                      <a:avLst/>
                    </a:prstGeom>
                    <a:noFill/>
                    <a:ln>
                      <a:noFill/>
                    </a:ln>
                  </pic:spPr>
                </pic:pic>
              </a:graphicData>
            </a:graphic>
          </wp:anchor>
        </w:drawing>
      </w:r>
      <w:bookmarkEnd w:id="0"/>
    </w:p>
    <w:p>
      <w:pPr>
        <w:widowControl w:val="0"/>
        <w:spacing w:before="0" w:after="0" w:line="240" w:lineRule="auto"/>
        <w:ind w:left="0" w:right="0" w:firstLine="0"/>
        <w:jc w:val="both"/>
        <w:rPr>
          <w:rFonts w:ascii="Times New Roman" w:hAnsi="Times New Roman" w:eastAsia="Times New Roman" w:cs="Times New Roman"/>
          <w:color w:val="auto"/>
          <w:spacing w:val="0"/>
          <w:position w:val="0"/>
          <w:sz w:val="36"/>
          <w:shd w:val="clear" w:fill="auto"/>
        </w:rPr>
      </w:pPr>
    </w:p>
    <w:p>
      <w:pPr>
        <w:widowControl w:val="0"/>
        <w:spacing w:before="0" w:after="0" w:line="240" w:lineRule="auto"/>
        <w:ind w:right="0" w:firstLine="1800" w:firstLineChars="500"/>
        <w:jc w:val="both"/>
        <w:rPr>
          <w:rFonts w:ascii="Times New Roman" w:hAnsi="Times New Roman" w:eastAsia="Times New Roman" w:cs="Times New Roman"/>
          <w:color w:val="auto"/>
          <w:spacing w:val="0"/>
          <w:position w:val="0"/>
          <w:sz w:val="36"/>
          <w:shd w:val="clear" w:fill="auto"/>
        </w:rPr>
      </w:pPr>
      <w:r>
        <w:rPr>
          <w:rFonts w:ascii="宋体" w:hAnsi="宋体" w:eastAsia="宋体" w:cs="宋体"/>
          <w:color w:val="auto"/>
          <w:spacing w:val="0"/>
          <w:position w:val="0"/>
          <w:sz w:val="36"/>
          <w:shd w:val="clear" w:fill="auto"/>
        </w:rPr>
        <w:t>报告日期：</w:t>
      </w:r>
      <w:r>
        <w:rPr>
          <w:rFonts w:ascii="Times New Roman" w:hAnsi="Times New Roman" w:eastAsia="Times New Roman" w:cs="Times New Roman"/>
          <w:color w:val="auto"/>
          <w:spacing w:val="0"/>
          <w:position w:val="0"/>
          <w:sz w:val="36"/>
          <w:shd w:val="clear" w:fill="auto"/>
        </w:rPr>
        <w:t xml:space="preserve"> 202</w:t>
      </w:r>
      <w:r>
        <w:rPr>
          <w:rFonts w:hint="eastAsia" w:ascii="Times New Roman" w:hAnsi="Times New Roman" w:eastAsia="宋体" w:cs="Times New Roman"/>
          <w:color w:val="auto"/>
          <w:spacing w:val="0"/>
          <w:position w:val="0"/>
          <w:sz w:val="36"/>
          <w:shd w:val="clear" w:fill="auto"/>
          <w:lang w:val="en-US" w:eastAsia="zh-CN"/>
        </w:rPr>
        <w:t>4</w:t>
      </w:r>
      <w:r>
        <w:rPr>
          <w:rFonts w:ascii="宋体" w:hAnsi="宋体" w:eastAsia="宋体" w:cs="宋体"/>
          <w:color w:val="auto"/>
          <w:spacing w:val="0"/>
          <w:position w:val="0"/>
          <w:sz w:val="36"/>
          <w:shd w:val="clear" w:fill="auto"/>
        </w:rPr>
        <w:t>年</w:t>
      </w:r>
      <w:r>
        <w:rPr>
          <w:rFonts w:hint="eastAsia" w:ascii="宋体" w:hAnsi="宋体" w:eastAsia="宋体" w:cs="宋体"/>
          <w:color w:val="auto"/>
          <w:spacing w:val="0"/>
          <w:position w:val="0"/>
          <w:sz w:val="36"/>
          <w:shd w:val="clear" w:fill="auto"/>
          <w:lang w:val="en-US" w:eastAsia="zh-CN"/>
        </w:rPr>
        <w:t>3</w:t>
      </w:r>
      <w:r>
        <w:rPr>
          <w:rFonts w:ascii="Times New Roman" w:hAnsi="Times New Roman" w:eastAsia="Times New Roman" w:cs="Times New Roman"/>
          <w:color w:val="auto"/>
          <w:spacing w:val="0"/>
          <w:position w:val="0"/>
          <w:sz w:val="36"/>
          <w:shd w:val="clear" w:fill="auto"/>
        </w:rPr>
        <w:t xml:space="preserve"> </w:t>
      </w:r>
      <w:r>
        <w:rPr>
          <w:rFonts w:ascii="宋体" w:hAnsi="宋体" w:eastAsia="宋体" w:cs="宋体"/>
          <w:color w:val="auto"/>
          <w:spacing w:val="0"/>
          <w:position w:val="0"/>
          <w:sz w:val="36"/>
          <w:shd w:val="clear" w:fill="auto"/>
        </w:rPr>
        <w:t>月</w:t>
      </w:r>
    </w:p>
    <w:p>
      <w:pPr>
        <w:widowControl w:val="0"/>
        <w:spacing w:before="0" w:after="0" w:line="240" w:lineRule="auto"/>
        <w:ind w:left="0" w:right="0" w:firstLine="0"/>
        <w:jc w:val="center"/>
        <w:rPr>
          <w:rFonts w:ascii="Times New Roman" w:hAnsi="Times New Roman" w:eastAsia="Times New Roman" w:cs="Times New Roman"/>
          <w:color w:val="auto"/>
          <w:spacing w:val="0"/>
          <w:position w:val="0"/>
          <w:sz w:val="36"/>
          <w:shd w:val="clear" w:fill="auto"/>
        </w:rPr>
      </w:pPr>
      <w:r>
        <w:rPr>
          <w:sz w:val="36"/>
        </w:rPr>
        <mc:AlternateContent>
          <mc:Choice Requires="wps">
            <w:drawing>
              <wp:anchor distT="0" distB="0" distL="114300" distR="114300" simplePos="0" relativeHeight="251660288" behindDoc="0" locked="0" layoutInCell="1" allowOverlap="1">
                <wp:simplePos x="0" y="0"/>
                <wp:positionH relativeFrom="column">
                  <wp:posOffset>-1270</wp:posOffset>
                </wp:positionH>
                <wp:positionV relativeFrom="paragraph">
                  <wp:posOffset>568325</wp:posOffset>
                </wp:positionV>
                <wp:extent cx="5343525" cy="0"/>
                <wp:effectExtent l="0" t="12700" r="5715" b="17780"/>
                <wp:wrapNone/>
                <wp:docPr id="4" name="直接连接符 4"/>
                <wp:cNvGraphicFramePr/>
                <a:graphic xmlns:a="http://schemas.openxmlformats.org/drawingml/2006/main">
                  <a:graphicData uri="http://schemas.microsoft.com/office/word/2010/wordprocessingShape">
                    <wps:wsp>
                      <wps:cNvCnPr/>
                      <wps:spPr>
                        <a:xfrm>
                          <a:off x="1113155" y="9500235"/>
                          <a:ext cx="5343525"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0.1pt;margin-top:44.75pt;height:0pt;width:420.75pt;z-index:251660288;mso-width-relative:page;mso-height-relative:page;" filled="f" stroked="t" coordsize="21600,21600" o:gfxdata="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0Wf5z1AAA&#10;AAcBAAAPAAAAAAAAAAEAIAAAACIAAABkcnMvZG93bnJldi54bWxQSwECFAAUAAAACACHTuJA7QCZ&#10;COkBAACnAwAADgAAAAAAAAABACAAAAAjAQAAZHJzL2Uyb0RvYy54bWxQSwUGAAAAAAYABgBZAQAA&#10;fgUAAAAA&#10;">
                <v:fill on="f" focussize="0,0"/>
                <v:stroke weight="2pt" color="#FF0000 [3204]" joinstyle="round"/>
                <v:imagedata o:title=""/>
                <o:lock v:ext="edit" aspectratio="f"/>
              </v:line>
            </w:pict>
          </mc:Fallback>
        </mc:AlternateContent>
      </w:r>
    </w:p>
    <w:p>
      <w:pPr>
        <w:widowControl w:val="0"/>
        <w:spacing w:before="0" w:after="0" w:line="240" w:lineRule="auto"/>
        <w:ind w:left="0" w:right="0" w:firstLine="0"/>
        <w:jc w:val="left"/>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pPr>
        <w:widowControl w:val="0"/>
        <w:spacing w:before="0" w:after="0" w:line="240" w:lineRule="auto"/>
        <w:ind w:left="0" w:right="0" w:firstLine="0"/>
        <w:jc w:val="left"/>
        <w:rPr>
          <w:rFonts w:ascii="仿宋_GB2312" w:hAnsi="仿宋_GB2312" w:eastAsia="仿宋_GB2312" w:cs="仿宋_GB2312"/>
          <w:b/>
          <w:color w:val="auto"/>
          <w:spacing w:val="0"/>
          <w:position w:val="0"/>
          <w:sz w:val="32"/>
          <w:shd w:val="clear" w:fill="auto"/>
        </w:rPr>
      </w:pPr>
      <w:r>
        <w:rPr>
          <w:rFonts w:ascii="宋体" w:hAnsi="宋体" w:eastAsia="宋体" w:cs="宋体"/>
          <w:b/>
          <w:color w:val="auto"/>
          <w:spacing w:val="0"/>
          <w:position w:val="0"/>
          <w:sz w:val="32"/>
          <w:shd w:val="clear" w:fill="auto"/>
        </w:rPr>
        <w:t>一、单位基本情况</w:t>
      </w:r>
    </w:p>
    <w:p>
      <w:pPr>
        <w:widowControl w:val="0"/>
        <w:spacing w:before="0" w:after="0" w:line="240" w:lineRule="auto"/>
        <w:ind w:left="0" w:right="0" w:firstLine="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 xml:space="preserve">    (一)单位职能概述。</w:t>
      </w:r>
    </w:p>
    <w:p>
      <w:pPr>
        <w:widowControl w:val="0"/>
        <w:spacing w:before="0" w:after="0" w:line="240" w:lineRule="auto"/>
        <w:ind w:left="0" w:right="0" w:firstLine="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 xml:space="preserve">    合水县</w:t>
      </w:r>
      <w:r>
        <w:rPr>
          <w:rFonts w:hint="eastAsia" w:ascii="仿宋" w:hAnsi="仿宋" w:eastAsia="仿宋" w:cs="仿宋"/>
          <w:color w:val="auto"/>
          <w:spacing w:val="0"/>
          <w:position w:val="0"/>
          <w:sz w:val="28"/>
          <w:shd w:val="clear" w:fill="auto"/>
          <w:lang w:val="en-US" w:eastAsia="zh-CN"/>
        </w:rPr>
        <w:t>乐蟠小学</w:t>
      </w:r>
      <w:r>
        <w:rPr>
          <w:rFonts w:ascii="仿宋" w:hAnsi="仿宋" w:eastAsia="仿宋" w:cs="仿宋"/>
          <w:color w:val="auto"/>
          <w:spacing w:val="0"/>
          <w:position w:val="0"/>
          <w:sz w:val="28"/>
          <w:shd w:val="clear" w:fill="auto"/>
        </w:rPr>
        <w:t>是全额拨款公益一类事业单位，为二级预算单位，主要承担合水县辖区的九年义务教育</w:t>
      </w:r>
      <w:r>
        <w:rPr>
          <w:rFonts w:hint="eastAsia" w:ascii="仿宋" w:hAnsi="仿宋" w:eastAsia="仿宋" w:cs="仿宋"/>
          <w:color w:val="auto"/>
          <w:spacing w:val="0"/>
          <w:position w:val="0"/>
          <w:sz w:val="28"/>
          <w:shd w:val="clear" w:fill="auto"/>
          <w:lang w:val="en-US" w:eastAsia="zh-CN"/>
        </w:rPr>
        <w:t>小学</w:t>
      </w:r>
      <w:r>
        <w:rPr>
          <w:rFonts w:ascii="仿宋" w:hAnsi="仿宋" w:eastAsia="仿宋" w:cs="仿宋"/>
          <w:color w:val="auto"/>
          <w:spacing w:val="0"/>
          <w:position w:val="0"/>
          <w:sz w:val="28"/>
          <w:shd w:val="clear" w:fill="auto"/>
        </w:rPr>
        <w:t>阶段教育教学工作以及完成上级主管部门交办的其他工作，贯彻执行党的教育方针、政策及国家教育法律、法规和制度。</w:t>
      </w:r>
    </w:p>
    <w:p>
      <w:pPr>
        <w:widowControl w:val="0"/>
        <w:spacing w:before="0" w:after="0" w:line="24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(二)单位组织机构及人员情况</w:t>
      </w:r>
    </w:p>
    <w:p>
      <w:pPr>
        <w:widowControl w:val="0"/>
        <w:spacing w:before="0" w:after="0" w:line="240" w:lineRule="auto"/>
        <w:ind w:left="0" w:right="0" w:firstLine="0"/>
        <w:jc w:val="both"/>
        <w:rPr>
          <w:rFonts w:hint="eastAsia" w:ascii="仿宋" w:hAnsi="仿宋" w:eastAsia="仿宋" w:cs="仿宋"/>
          <w:color w:val="auto"/>
          <w:spacing w:val="0"/>
          <w:position w:val="0"/>
          <w:sz w:val="28"/>
          <w:shd w:val="clear" w:fill="auto"/>
          <w:lang w:eastAsia="zh-CN"/>
        </w:rPr>
      </w:pPr>
      <w:r>
        <w:rPr>
          <w:rFonts w:ascii="仿宋" w:hAnsi="仿宋" w:eastAsia="仿宋" w:cs="仿宋"/>
          <w:color w:val="auto"/>
          <w:spacing w:val="0"/>
          <w:position w:val="0"/>
          <w:sz w:val="28"/>
          <w:shd w:val="clear" w:fill="auto"/>
        </w:rPr>
        <w:t>   202</w:t>
      </w:r>
      <w:r>
        <w:rPr>
          <w:rFonts w:hint="eastAsia" w:ascii="仿宋" w:hAnsi="仿宋" w:eastAsia="仿宋" w:cs="仿宋"/>
          <w:color w:val="auto"/>
          <w:spacing w:val="0"/>
          <w:position w:val="0"/>
          <w:sz w:val="28"/>
          <w:shd w:val="clear" w:fill="auto"/>
          <w:lang w:val="en-US" w:eastAsia="zh-CN"/>
        </w:rPr>
        <w:t>3</w:t>
      </w:r>
      <w:r>
        <w:rPr>
          <w:rFonts w:ascii="仿宋" w:hAnsi="仿宋" w:eastAsia="仿宋" w:cs="仿宋"/>
          <w:color w:val="auto"/>
          <w:spacing w:val="0"/>
          <w:position w:val="0"/>
          <w:sz w:val="28"/>
          <w:shd w:val="clear" w:fill="auto"/>
        </w:rPr>
        <w:t>年度，我单位独立设置编制机构数1个，内设4个处室，分别教务处、政教处、总务处、办公室。202</w:t>
      </w:r>
      <w:r>
        <w:rPr>
          <w:rFonts w:hint="eastAsia" w:ascii="仿宋" w:hAnsi="仿宋" w:eastAsia="仿宋" w:cs="仿宋"/>
          <w:color w:val="auto"/>
          <w:spacing w:val="0"/>
          <w:position w:val="0"/>
          <w:sz w:val="28"/>
          <w:shd w:val="clear" w:fill="auto"/>
          <w:lang w:val="en-US" w:eastAsia="zh-CN"/>
        </w:rPr>
        <w:t>3</w:t>
      </w:r>
      <w:r>
        <w:rPr>
          <w:rFonts w:ascii="仿宋" w:hAnsi="仿宋" w:eastAsia="仿宋" w:cs="仿宋"/>
          <w:color w:val="auto"/>
          <w:spacing w:val="0"/>
          <w:position w:val="0"/>
          <w:sz w:val="28"/>
          <w:shd w:val="clear" w:fill="auto"/>
        </w:rPr>
        <w:t>年度核定事业编制</w:t>
      </w:r>
      <w:r>
        <w:rPr>
          <w:rFonts w:hint="eastAsia" w:ascii="仿宋" w:hAnsi="仿宋" w:eastAsia="仿宋" w:cs="仿宋"/>
          <w:color w:val="auto"/>
          <w:spacing w:val="0"/>
          <w:position w:val="0"/>
          <w:sz w:val="28"/>
          <w:shd w:val="clear" w:fill="auto"/>
          <w:lang w:val="en-US" w:eastAsia="zh-CN"/>
        </w:rPr>
        <w:t>110</w:t>
      </w:r>
      <w:r>
        <w:rPr>
          <w:rFonts w:ascii="仿宋" w:hAnsi="仿宋" w:eastAsia="仿宋" w:cs="仿宋"/>
          <w:color w:val="auto"/>
          <w:spacing w:val="0"/>
          <w:position w:val="0"/>
          <w:sz w:val="28"/>
          <w:shd w:val="clear" w:fill="auto"/>
        </w:rPr>
        <w:t>名，年末实有在职人员</w:t>
      </w:r>
      <w:r>
        <w:rPr>
          <w:rFonts w:hint="eastAsia" w:ascii="仿宋" w:hAnsi="仿宋" w:eastAsia="仿宋" w:cs="仿宋"/>
          <w:color w:val="auto"/>
          <w:spacing w:val="0"/>
          <w:position w:val="0"/>
          <w:sz w:val="28"/>
          <w:shd w:val="clear" w:fill="auto"/>
          <w:lang w:val="en-US" w:eastAsia="zh-CN"/>
        </w:rPr>
        <w:t>104</w:t>
      </w:r>
      <w:r>
        <w:rPr>
          <w:rFonts w:ascii="仿宋" w:hAnsi="仿宋" w:eastAsia="仿宋" w:cs="仿宋"/>
          <w:color w:val="auto"/>
          <w:spacing w:val="0"/>
          <w:position w:val="0"/>
          <w:sz w:val="28"/>
          <w:shd w:val="clear" w:fill="auto"/>
        </w:rPr>
        <w:t>名</w:t>
      </w:r>
      <w:r>
        <w:rPr>
          <w:rFonts w:hint="eastAsia" w:ascii="仿宋" w:hAnsi="仿宋" w:eastAsia="仿宋" w:cs="仿宋"/>
          <w:color w:val="auto"/>
          <w:spacing w:val="0"/>
          <w:position w:val="0"/>
          <w:sz w:val="28"/>
          <w:shd w:val="clear" w:fill="auto"/>
          <w:lang w:eastAsia="zh-CN"/>
        </w:rPr>
        <w:t>。</w:t>
      </w:r>
    </w:p>
    <w:p>
      <w:pPr>
        <w:widowControl w:val="0"/>
        <w:spacing w:before="0" w:after="0" w:line="24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(三) 202</w:t>
      </w:r>
      <w:r>
        <w:rPr>
          <w:rFonts w:hint="eastAsia" w:ascii="仿宋" w:hAnsi="仿宋" w:eastAsia="仿宋" w:cs="仿宋"/>
          <w:color w:val="auto"/>
          <w:spacing w:val="0"/>
          <w:position w:val="0"/>
          <w:sz w:val="28"/>
          <w:shd w:val="clear" w:fill="auto"/>
          <w:lang w:val="en-US" w:eastAsia="zh-CN"/>
        </w:rPr>
        <w:t>3</w:t>
      </w:r>
      <w:r>
        <w:rPr>
          <w:rFonts w:ascii="仿宋" w:hAnsi="仿宋" w:eastAsia="仿宋" w:cs="仿宋"/>
          <w:color w:val="auto"/>
          <w:spacing w:val="0"/>
          <w:position w:val="0"/>
          <w:sz w:val="28"/>
          <w:shd w:val="clear" w:fill="auto"/>
        </w:rPr>
        <w:t>年度重点工作</w:t>
      </w:r>
    </w:p>
    <w:p>
      <w:pPr>
        <w:widowControl w:val="0"/>
        <w:spacing w:before="0" w:after="0" w:line="24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坚持立德树人，全面贯彻党的教育方针，以培养德智体美劳全面发展的社会主义建设者和接班人为根本任务。创新德育教育工作模式，进一步优化师德师风和培养学生良好的行为习惯;注重教师队伍建设，深化教研改革，促进教师专业成长。</w:t>
      </w:r>
    </w:p>
    <w:p>
      <w:pPr>
        <w:widowControl w:val="0"/>
        <w:spacing w:before="0" w:after="0" w:line="24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2.全面提高教育质量，“高效课堂”构建稳步推进。</w:t>
      </w:r>
    </w:p>
    <w:p>
      <w:pPr>
        <w:widowControl w:val="0"/>
        <w:spacing w:before="0" w:after="0" w:line="24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3.加强学校管理，规范办学行为，推动教育协调发展。重视安全卫生管理，营造良好育人环境。</w:t>
      </w:r>
    </w:p>
    <w:p>
      <w:pPr>
        <w:widowControl w:val="0"/>
        <w:spacing w:before="0" w:after="0" w:line="240" w:lineRule="auto"/>
        <w:ind w:left="0" w:right="0" w:firstLine="56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4.各类学生资助政策及时落实，项目建设按照既定目标有序推进。</w:t>
      </w:r>
    </w:p>
    <w:p>
      <w:pPr>
        <w:widowControl w:val="0"/>
        <w:spacing w:before="0" w:after="0" w:line="240" w:lineRule="auto"/>
        <w:ind w:left="0" w:right="0" w:firstLine="0"/>
        <w:jc w:val="left"/>
        <w:rPr>
          <w:rFonts w:ascii="宋体" w:hAnsi="宋体" w:eastAsia="宋体" w:cs="宋体"/>
          <w:b/>
          <w:color w:val="auto"/>
          <w:spacing w:val="0"/>
          <w:position w:val="0"/>
          <w:sz w:val="32"/>
          <w:shd w:val="clear" w:fill="auto"/>
        </w:rPr>
      </w:pPr>
      <w:r>
        <w:rPr>
          <w:rFonts w:hint="eastAsia" w:ascii="宋体" w:hAnsi="宋体" w:eastAsia="宋体" w:cs="宋体"/>
          <w:b/>
          <w:color w:val="auto"/>
          <w:spacing w:val="0"/>
          <w:position w:val="0"/>
          <w:sz w:val="32"/>
          <w:shd w:val="clear" w:fill="auto"/>
          <w:lang w:eastAsia="zh-CN"/>
        </w:rPr>
        <w:t>二</w:t>
      </w:r>
      <w:r>
        <w:rPr>
          <w:rFonts w:ascii="宋体" w:hAnsi="宋体" w:eastAsia="宋体" w:cs="宋体"/>
          <w:b/>
          <w:color w:val="auto"/>
          <w:spacing w:val="0"/>
          <w:position w:val="0"/>
          <w:sz w:val="32"/>
          <w:shd w:val="clear" w:fill="auto"/>
        </w:rPr>
        <w:t>、项目绩效目标</w:t>
      </w:r>
      <w:r>
        <w:rPr>
          <w:sz w:val="36"/>
        </w:rPr>
        <mc:AlternateContent>
          <mc:Choice Requires="wps">
            <w:drawing>
              <wp:anchor distT="0" distB="0" distL="114300" distR="114300" simplePos="0" relativeHeight="251661312" behindDoc="0" locked="0" layoutInCell="1" allowOverlap="1">
                <wp:simplePos x="0" y="0"/>
                <wp:positionH relativeFrom="column">
                  <wp:posOffset>-1270</wp:posOffset>
                </wp:positionH>
                <wp:positionV relativeFrom="paragraph">
                  <wp:posOffset>483870</wp:posOffset>
                </wp:positionV>
                <wp:extent cx="5343525" cy="0"/>
                <wp:effectExtent l="0" t="12700" r="5715" b="17780"/>
                <wp:wrapNone/>
                <wp:docPr id="5" name="直接连接符 5"/>
                <wp:cNvGraphicFramePr/>
                <a:graphic xmlns:a="http://schemas.openxmlformats.org/drawingml/2006/main">
                  <a:graphicData uri="http://schemas.microsoft.com/office/word/2010/wordprocessingShape">
                    <wps:wsp>
                      <wps:cNvCnPr/>
                      <wps:spPr>
                        <a:xfrm>
                          <a:off x="0" y="0"/>
                          <a:ext cx="5343525"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0.1pt;margin-top:38.1pt;height:0pt;width:420.75pt;z-index:251661312;mso-width-relative:page;mso-height-relative:page;" filled="f" stroked="t" coordsize="21600,21600" o:gfxdata="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LNVxzVAAAABwEAAA8AAAAAAAAA&#10;AQAgAAAAIgAAAGRycy9kb3ducmV2LnhtbFBLAQIUABQAAAAIAIdO4kAqNPGk2wEAAJsDAAAOAAAA&#10;AAAAAAEAIAAAACQBAABkcnMvZTJvRG9jLnhtbFBLBQYAAAAABgAGAFkBAABxBQAAAAA=&#10;">
                <v:fill on="f" focussize="0,0"/>
                <v:stroke weight="2pt" color="#FF0000 [3204]" joinstyle="round"/>
                <v:imagedata o:title=""/>
                <o:lock v:ext="edit" aspectratio="f"/>
              </v:line>
            </w:pict>
          </mc:Fallback>
        </mc:AlternateContent>
      </w:r>
    </w:p>
    <w:p>
      <w:pPr>
        <w:widowControl w:val="0"/>
        <w:spacing w:before="0" w:after="0" w:line="240" w:lineRule="auto"/>
        <w:ind w:left="0" w:right="0" w:firstLine="640"/>
        <w:jc w:val="both"/>
        <w:rPr>
          <w:rFonts w:ascii="仿宋" w:hAnsi="仿宋" w:eastAsia="仿宋" w:cs="仿宋"/>
          <w:color w:val="auto"/>
          <w:spacing w:val="0"/>
          <w:position w:val="0"/>
          <w:sz w:val="32"/>
          <w:shd w:val="clear" w:fill="auto"/>
        </w:rPr>
      </w:pPr>
      <w:r>
        <w:rPr>
          <w:rFonts w:ascii="仿宋" w:hAnsi="仿宋" w:eastAsia="仿宋" w:cs="仿宋"/>
          <w:color w:val="auto"/>
          <w:spacing w:val="0"/>
          <w:position w:val="0"/>
          <w:sz w:val="32"/>
          <w:shd w:val="clear" w:fill="auto"/>
        </w:rPr>
        <w:t>落实义务教育保障经费、免除普通</w:t>
      </w:r>
      <w:r>
        <w:rPr>
          <w:rFonts w:hint="eastAsia" w:ascii="仿宋" w:hAnsi="仿宋" w:eastAsia="仿宋" w:cs="仿宋"/>
          <w:color w:val="auto"/>
          <w:spacing w:val="0"/>
          <w:position w:val="0"/>
          <w:sz w:val="32"/>
          <w:shd w:val="clear" w:fill="auto"/>
          <w:lang w:val="en-US" w:eastAsia="zh-CN"/>
        </w:rPr>
        <w:t>小学</w:t>
      </w:r>
      <w:r>
        <w:rPr>
          <w:rFonts w:ascii="仿宋" w:hAnsi="仿宋" w:eastAsia="仿宋" w:cs="仿宋"/>
          <w:color w:val="auto"/>
          <w:spacing w:val="0"/>
          <w:position w:val="0"/>
          <w:sz w:val="32"/>
          <w:shd w:val="clear" w:fill="auto"/>
        </w:rPr>
        <w:t>学杂费、实施农村义务教育学生营养改善计划、家庭经济困难学生助学金、生活补助等指标均达到相关要求。</w:t>
      </w:r>
    </w:p>
    <w:p>
      <w:pPr>
        <w:widowControl w:val="0"/>
        <w:spacing w:before="0" w:after="0" w:line="240" w:lineRule="auto"/>
        <w:ind w:left="0" w:right="0" w:firstLine="0"/>
        <w:jc w:val="left"/>
        <w:rPr>
          <w:rFonts w:hint="eastAsia" w:ascii="宋体" w:hAnsi="宋体" w:eastAsia="宋体" w:cs="宋体"/>
          <w:b/>
          <w:color w:val="auto"/>
          <w:spacing w:val="0"/>
          <w:position w:val="0"/>
          <w:sz w:val="32"/>
          <w:shd w:val="clear" w:fill="auto"/>
          <w:lang w:eastAsia="zh-CN"/>
        </w:rPr>
      </w:pPr>
      <w:r>
        <w:rPr>
          <w:rFonts w:hint="eastAsia" w:ascii="宋体" w:hAnsi="宋体" w:eastAsia="宋体" w:cs="宋体"/>
          <w:b/>
          <w:color w:val="auto"/>
          <w:spacing w:val="0"/>
          <w:position w:val="0"/>
          <w:sz w:val="32"/>
          <w:shd w:val="clear" w:fill="auto"/>
          <w:lang w:eastAsia="zh-CN"/>
        </w:rPr>
        <w:t>三、评价基本情况</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两类资金评价依据和范围：</w:t>
      </w:r>
    </w:p>
    <w:p>
      <w:pPr>
        <w:widowControl w:val="0"/>
        <w:spacing w:before="0" w:after="0" w:line="240" w:lineRule="auto"/>
        <w:ind w:right="0" w:firstLine="280" w:firstLineChars="1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公用经费补助资金。公用经费补助资金具体包括：教学业务与管理、教师培训、实验实习、文体活动、水电、取暖、交通差旅、邮电，仪器设备及图书资料等购置，房屋、建筑物及仪器设备的日常维修维护等，不得用于教职工福利、临时聘用人员工资等人员经费，不得用于基本建设投资、偿还债务等方面的支出。</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农村义务教育学生营养改善计划膳食补助。用于为农村义务教育阶段学生提供等值优质的食品，不得以现金形式直接发放，不得用于补贴教职工伙食、学校公用经费，不得用于劳务费、宣传费、运输费等工作经费。</w:t>
      </w:r>
    </w:p>
    <w:p>
      <w:pPr>
        <w:widowControl w:val="0"/>
        <w:spacing w:before="0" w:after="0" w:line="240" w:lineRule="auto"/>
        <w:ind w:left="0" w:right="0" w:firstLine="0"/>
        <w:jc w:val="left"/>
        <w:rPr>
          <w:rFonts w:hint="eastAsia" w:ascii="宋体" w:hAnsi="宋体" w:eastAsia="宋体" w:cs="宋体"/>
          <w:b/>
          <w:color w:val="auto"/>
          <w:spacing w:val="0"/>
          <w:position w:val="0"/>
          <w:sz w:val="32"/>
          <w:shd w:val="clear" w:fill="auto"/>
          <w:lang w:eastAsia="zh-CN"/>
        </w:rPr>
      </w:pPr>
      <w:r>
        <w:rPr>
          <w:rFonts w:hint="eastAsia" w:ascii="宋体" w:hAnsi="宋体" w:eastAsia="宋体" w:cs="宋体"/>
          <w:b/>
          <w:color w:val="auto"/>
          <w:spacing w:val="0"/>
          <w:position w:val="0"/>
          <w:sz w:val="32"/>
          <w:shd w:val="clear" w:fill="auto"/>
          <w:lang w:eastAsia="zh-CN"/>
        </w:rPr>
        <w:t>四、绩效评价工作过程</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1、绩效评价是根据设定的绩效目标，运用科学、合理的绩效评价指标、评价标准和评价方法，对财政支出的经济性、效率性和效益性进行客观、公正的评价。</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绩效评价的内容主要包括绩效目标及各项指标完成情况、预算执行情况和与其相关的投入决策、过程管理、产出效益、履职效能、制度建设等，不仅要包括产出、成本，还要包括经济效益、社会效益、生态效益、可持续影响力和服务对象满意度等绩效指标。</w:t>
      </w:r>
      <w:r>
        <w:rPr>
          <w:sz w:val="36"/>
        </w:rPr>
        <mc:AlternateContent>
          <mc:Choice Requires="wps">
            <w:drawing>
              <wp:anchor distT="0" distB="0" distL="114300" distR="114300" simplePos="0" relativeHeight="251662336" behindDoc="0" locked="0" layoutInCell="1" allowOverlap="1">
                <wp:simplePos x="0" y="0"/>
                <wp:positionH relativeFrom="column">
                  <wp:posOffset>-1270</wp:posOffset>
                </wp:positionH>
                <wp:positionV relativeFrom="paragraph">
                  <wp:posOffset>1672590</wp:posOffset>
                </wp:positionV>
                <wp:extent cx="5343525" cy="0"/>
                <wp:effectExtent l="0" t="12700" r="5715" b="17780"/>
                <wp:wrapNone/>
                <wp:docPr id="6" name="直接连接符 6"/>
                <wp:cNvGraphicFramePr/>
                <a:graphic xmlns:a="http://schemas.openxmlformats.org/drawingml/2006/main">
                  <a:graphicData uri="http://schemas.microsoft.com/office/word/2010/wordprocessingShape">
                    <wps:wsp>
                      <wps:cNvCnPr/>
                      <wps:spPr>
                        <a:xfrm>
                          <a:off x="0" y="0"/>
                          <a:ext cx="5343525"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0.1pt;margin-top:131.7pt;height:0pt;width:420.75pt;z-index:251662336;mso-width-relative:page;mso-height-relative:page;" filled="f" stroked="t" coordsize="21600,21600" o:gfxdata="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oGJ/bXAAAACQEAAA8AAAAA&#10;AAAAAQAgAAAAIgAAAGRycy9kb3ducmV2LnhtbFBLAQIUABQAAAAIAIdO4kCFeGje3AEAAJsDAAAO&#10;AAAAAAAAAAEAIAAAACYBAABkcnMvZTJvRG9jLnhtbFBLBQYAAAAABgAGAFkBAAB0BQAAAAA=&#10;">
                <v:fill on="f" focussize="0,0"/>
                <v:stroke weight="2pt" color="#FF0000 [3204]" joinstyle="round"/>
                <v:imagedata o:title=""/>
                <o:lock v:ext="edit" aspectratio="f"/>
              </v:line>
            </w:pict>
          </mc:Fallback>
        </mc:AlternateContent>
      </w:r>
    </w:p>
    <w:p>
      <w:pPr>
        <w:widowControl w:val="0"/>
        <w:spacing w:before="0" w:after="0" w:line="240" w:lineRule="auto"/>
        <w:ind w:left="0" w:right="0" w:firstLine="0"/>
        <w:jc w:val="left"/>
        <w:rPr>
          <w:rFonts w:hint="eastAsia" w:ascii="宋体" w:hAnsi="宋体" w:eastAsia="宋体" w:cs="宋体"/>
          <w:b/>
          <w:color w:val="auto"/>
          <w:spacing w:val="0"/>
          <w:position w:val="0"/>
          <w:sz w:val="32"/>
          <w:shd w:val="clear" w:fill="auto"/>
          <w:lang w:eastAsia="zh-CN"/>
        </w:rPr>
      </w:pPr>
      <w:r>
        <w:rPr>
          <w:rFonts w:hint="eastAsia" w:ascii="宋体" w:hAnsi="宋体" w:eastAsia="宋体" w:cs="宋体"/>
          <w:b/>
          <w:color w:val="auto"/>
          <w:spacing w:val="0"/>
          <w:position w:val="0"/>
          <w:sz w:val="32"/>
          <w:shd w:val="clear" w:fill="auto"/>
          <w:lang w:eastAsia="zh-CN"/>
        </w:rPr>
        <w:t>五、评价结论及分析</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按照《甘肃省城乡义务教育补助经费管理办法》(甘财教〔2021〕 44号)等有关要求，城乡义务教育公用经费确保了学校正常运转、完成了教育教学活动和其他日常工作任务等。农村义务教育学生营养改善计划膳食补助学校提供了等值优质营养食品，确保了学生吃的营养安全。</w:t>
      </w:r>
    </w:p>
    <w:p>
      <w:pPr>
        <w:widowControl w:val="0"/>
        <w:spacing w:before="0" w:after="0" w:line="240" w:lineRule="auto"/>
        <w:ind w:left="0" w:right="0" w:firstLine="0"/>
        <w:jc w:val="left"/>
        <w:rPr>
          <w:rFonts w:hint="eastAsia" w:ascii="宋体" w:hAnsi="宋体" w:eastAsia="宋体" w:cs="宋体"/>
          <w:b/>
          <w:color w:val="auto"/>
          <w:spacing w:val="0"/>
          <w:position w:val="0"/>
          <w:sz w:val="32"/>
          <w:shd w:val="clear" w:fill="auto"/>
          <w:lang w:eastAsia="zh-CN"/>
        </w:rPr>
      </w:pPr>
      <w:r>
        <w:rPr>
          <w:rFonts w:hint="eastAsia" w:ascii="宋体" w:hAnsi="宋体" w:eastAsia="宋体" w:cs="宋体"/>
          <w:b/>
          <w:color w:val="auto"/>
          <w:spacing w:val="0"/>
          <w:position w:val="0"/>
          <w:sz w:val="32"/>
          <w:shd w:val="clear" w:fill="auto"/>
          <w:lang w:eastAsia="zh-CN"/>
        </w:rPr>
        <w:t>六、绩效评价指标分析</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根据202</w:t>
      </w:r>
      <w:r>
        <w:rPr>
          <w:rFonts w:hint="eastAsia" w:ascii="仿宋" w:hAnsi="仿宋" w:eastAsia="仿宋" w:cs="仿宋"/>
          <w:color w:val="auto"/>
          <w:spacing w:val="0"/>
          <w:position w:val="0"/>
          <w:sz w:val="28"/>
          <w:shd w:val="clear" w:fill="auto"/>
          <w:lang w:val="en-US" w:eastAsia="zh-CN"/>
        </w:rPr>
        <w:t>3</w:t>
      </w:r>
      <w:r>
        <w:rPr>
          <w:rFonts w:ascii="仿宋" w:hAnsi="仿宋" w:eastAsia="仿宋" w:cs="仿宋"/>
          <w:color w:val="auto"/>
          <w:spacing w:val="0"/>
          <w:position w:val="0"/>
          <w:sz w:val="28"/>
          <w:shd w:val="clear" w:fill="auto"/>
        </w:rPr>
        <w:t>年教育事业年报等相关数据，足额下达了相关资金。确保了学校正常运转、完成了教育教学活动和其他日常工作任务等。</w:t>
      </w:r>
    </w:p>
    <w:p>
      <w:pPr>
        <w:widowControl w:val="0"/>
        <w:spacing w:before="0" w:after="0" w:line="240" w:lineRule="auto"/>
        <w:ind w:left="0" w:right="0" w:firstLine="0"/>
        <w:jc w:val="left"/>
        <w:rPr>
          <w:rFonts w:hint="eastAsia" w:ascii="宋体" w:hAnsi="宋体" w:eastAsia="宋体" w:cs="宋体"/>
          <w:b/>
          <w:color w:val="auto"/>
          <w:spacing w:val="0"/>
          <w:position w:val="0"/>
          <w:sz w:val="32"/>
          <w:shd w:val="clear" w:fill="auto"/>
          <w:lang w:eastAsia="zh-CN"/>
        </w:rPr>
      </w:pPr>
      <w:r>
        <w:rPr>
          <w:rFonts w:hint="eastAsia" w:ascii="宋体" w:hAnsi="宋体" w:eastAsia="宋体" w:cs="宋体"/>
          <w:b/>
          <w:color w:val="auto"/>
          <w:spacing w:val="0"/>
          <w:position w:val="0"/>
          <w:sz w:val="32"/>
          <w:shd w:val="clear" w:fill="auto"/>
          <w:lang w:eastAsia="zh-CN"/>
        </w:rPr>
        <w:t>七、项目主要经验及做法</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按照教育、财政部门全面实施预算绩效管理的要求，建立健全全过程预算绩效管理机制，按规定科学合理设定绩效目标，对照绩效目标做好绩效监控、绩效评价，强化绩效结果运用，做好绩效信息公开，提高补助经费配置效率和使用效益。</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1、大力宣传</w:t>
      </w:r>
      <w:r>
        <w:rPr>
          <w:rFonts w:hint="eastAsia" w:ascii="仿宋" w:hAnsi="仿宋" w:eastAsia="仿宋" w:cs="仿宋"/>
          <w:color w:val="auto"/>
          <w:spacing w:val="0"/>
          <w:position w:val="0"/>
          <w:sz w:val="28"/>
          <w:shd w:val="clear" w:fill="auto"/>
          <w:lang w:eastAsia="zh-CN"/>
        </w:rPr>
        <w:t>：</w:t>
      </w:r>
      <w:r>
        <w:rPr>
          <w:rFonts w:ascii="仿宋" w:hAnsi="仿宋" w:eastAsia="仿宋" w:cs="仿宋"/>
          <w:color w:val="auto"/>
          <w:spacing w:val="0"/>
          <w:position w:val="0"/>
          <w:sz w:val="28"/>
          <w:shd w:val="clear" w:fill="auto"/>
        </w:rPr>
        <w:t>通过校园广播、报栏、黑板报、微信群、QQ群等广泛宣传，让每-位学生都知道国家营养餐方面的政策，印发“致家长的一封信”，让党的惠民政策深入家长心中。</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2、健全机构</w:t>
      </w:r>
      <w:r>
        <w:rPr>
          <w:rFonts w:hint="eastAsia" w:ascii="仿宋" w:hAnsi="仿宋" w:eastAsia="仿宋" w:cs="仿宋"/>
          <w:color w:val="auto"/>
          <w:spacing w:val="0"/>
          <w:position w:val="0"/>
          <w:sz w:val="28"/>
          <w:shd w:val="clear" w:fill="auto"/>
          <w:lang w:eastAsia="zh-CN"/>
        </w:rPr>
        <w:t>：</w:t>
      </w:r>
      <w:r>
        <w:rPr>
          <w:rFonts w:ascii="仿宋" w:hAnsi="仿宋" w:eastAsia="仿宋" w:cs="仿宋"/>
          <w:color w:val="auto"/>
          <w:spacing w:val="0"/>
          <w:position w:val="0"/>
          <w:sz w:val="28"/>
          <w:shd w:val="clear" w:fill="auto"/>
        </w:rPr>
        <w:t>学校成立了以校长任组长、分管副校长为副组长、总务主任和报账员、出纳、大灶管理员、班主任代表为成员的营养改善计划实施领导小组。领导小组负责制定义务教育补助经费、营养改善计划实施方案、营养改善计</w:t>
      </w:r>
      <w:r>
        <w:rPr>
          <w:sz w:val="36"/>
        </w:rPr>
        <mc:AlternateContent>
          <mc:Choice Requires="wps">
            <w:drawing>
              <wp:anchor distT="0" distB="0" distL="114300" distR="114300" simplePos="0" relativeHeight="251664384" behindDoc="0" locked="0" layoutInCell="1" allowOverlap="1">
                <wp:simplePos x="0" y="0"/>
                <wp:positionH relativeFrom="column">
                  <wp:posOffset>-1270</wp:posOffset>
                </wp:positionH>
                <wp:positionV relativeFrom="paragraph">
                  <wp:posOffset>1672590</wp:posOffset>
                </wp:positionV>
                <wp:extent cx="5343525" cy="0"/>
                <wp:effectExtent l="0" t="12700" r="5715" b="17780"/>
                <wp:wrapNone/>
                <wp:docPr id="9" name="直接连接符 9"/>
                <wp:cNvGraphicFramePr/>
                <a:graphic xmlns:a="http://schemas.openxmlformats.org/drawingml/2006/main">
                  <a:graphicData uri="http://schemas.microsoft.com/office/word/2010/wordprocessingShape">
                    <wps:wsp>
                      <wps:cNvCnPr/>
                      <wps:spPr>
                        <a:xfrm>
                          <a:off x="0" y="0"/>
                          <a:ext cx="5343525"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0.1pt;margin-top:131.7pt;height:0pt;width:420.75pt;z-index:251664384;mso-width-relative:page;mso-height-relative:page;" filled="f" stroked="t" coordsize="21600,21600" o:gfxdata="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oGJ/bXAAAACQEAAA8AAAAA&#10;AAAAAQAgAAAAIgAAAGRycy9kb3ducmV2LnhtbFBLAQIUABQAAAAIAIdO4kDXAOWV3AEAAJsDAAAO&#10;AAAAAAAAAAEAIAAAACYBAABkcnMvZTJvRG9jLnhtbFBLBQYAAAAABgAGAFkBAAB0BQAAAAA=&#10;">
                <v:fill on="f" focussize="0,0"/>
                <v:stroke weight="2pt" color="#FF0000 [3204]" joinstyle="round"/>
                <v:imagedata o:title=""/>
                <o:lock v:ext="edit" aspectratio="f"/>
              </v:line>
            </w:pict>
          </mc:Fallback>
        </mc:AlternateContent>
      </w:r>
      <w:r>
        <w:rPr>
          <w:rFonts w:ascii="仿宋" w:hAnsi="仿宋" w:eastAsia="仿宋" w:cs="仿宋"/>
          <w:color w:val="auto"/>
          <w:spacing w:val="0"/>
          <w:position w:val="0"/>
          <w:sz w:val="28"/>
          <w:shd w:val="clear" w:fill="auto"/>
        </w:rPr>
        <w:t>划实施应急预案等各项制</w:t>
      </w:r>
      <w:r>
        <w:rPr>
          <w:sz w:val="36"/>
        </w:rPr>
        <mc:AlternateContent>
          <mc:Choice Requires="wps">
            <w:drawing>
              <wp:anchor distT="0" distB="0" distL="114300" distR="114300" simplePos="0" relativeHeight="251663360" behindDoc="0" locked="0" layoutInCell="1" allowOverlap="1">
                <wp:simplePos x="0" y="0"/>
                <wp:positionH relativeFrom="column">
                  <wp:posOffset>151130</wp:posOffset>
                </wp:positionH>
                <wp:positionV relativeFrom="paragraph">
                  <wp:posOffset>8957310</wp:posOffset>
                </wp:positionV>
                <wp:extent cx="5343525" cy="0"/>
                <wp:effectExtent l="0" t="12700" r="5715" b="17780"/>
                <wp:wrapNone/>
                <wp:docPr id="8" name="直接连接符 8"/>
                <wp:cNvGraphicFramePr/>
                <a:graphic xmlns:a="http://schemas.openxmlformats.org/drawingml/2006/main">
                  <a:graphicData uri="http://schemas.microsoft.com/office/word/2010/wordprocessingShape">
                    <wps:wsp>
                      <wps:cNvCnPr/>
                      <wps:spPr>
                        <a:xfrm>
                          <a:off x="0" y="0"/>
                          <a:ext cx="5343525"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1.9pt;margin-top:705.3pt;height:0pt;width:420.75pt;z-index:251663360;mso-width-relative:page;mso-height-relative:page;" filled="f" stroked="t" coordsize="21600,21600" o:gfxdata="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koiBCdYAAAAMAQAADwAAAAAA&#10;AAABACAAAAAiAAAAZHJzL2Rvd25yZXYueG1sUEsBAhQAFAAAAAgAh07iQLLEbbzcAQAAmwMAAA4A&#10;AAAAAAAAAQAgAAAAJQEAAGRycy9lMm9Eb2MueG1sUEsFBgAAAAAGAAYAWQEAAHMFAAAAAA==&#10;">
                <v:fill on="f" focussize="0,0"/>
                <v:stroke weight="2pt" color="#FF0000 [3204]" joinstyle="round"/>
                <v:imagedata o:title=""/>
                <o:lock v:ext="edit" aspectratio="f"/>
              </v:line>
            </w:pict>
          </mc:Fallback>
        </mc:AlternateContent>
      </w:r>
      <w:r>
        <w:rPr>
          <w:rFonts w:ascii="仿宋" w:hAnsi="仿宋" w:eastAsia="仿宋" w:cs="仿宋"/>
          <w:color w:val="auto"/>
          <w:spacing w:val="0"/>
          <w:position w:val="0"/>
          <w:sz w:val="28"/>
          <w:shd w:val="clear" w:fill="auto"/>
        </w:rPr>
        <w:t>度，并组织实施，做到收支票据规范清楚、账目日清月结、定期公布。</w:t>
      </w:r>
    </w:p>
    <w:p>
      <w:pPr>
        <w:widowControl w:val="0"/>
        <w:spacing w:before="0" w:after="0" w:line="240" w:lineRule="auto"/>
        <w:ind w:left="0" w:right="0" w:firstLine="0"/>
        <w:jc w:val="left"/>
        <w:rPr>
          <w:rFonts w:hint="eastAsia" w:ascii="宋体" w:hAnsi="宋体" w:eastAsia="宋体" w:cs="宋体"/>
          <w:b/>
          <w:color w:val="auto"/>
          <w:spacing w:val="0"/>
          <w:position w:val="0"/>
          <w:sz w:val="32"/>
          <w:shd w:val="clear" w:fill="auto"/>
          <w:lang w:eastAsia="zh-CN"/>
        </w:rPr>
      </w:pPr>
      <w:r>
        <w:rPr>
          <w:rFonts w:hint="eastAsia" w:ascii="宋体" w:hAnsi="宋体" w:eastAsia="宋体" w:cs="宋体"/>
          <w:b/>
          <w:color w:val="auto"/>
          <w:spacing w:val="0"/>
          <w:position w:val="0"/>
          <w:sz w:val="32"/>
          <w:shd w:val="clear" w:fill="auto"/>
          <w:lang w:eastAsia="zh-CN"/>
        </w:rPr>
        <w:t>八、存在的主要问题:</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1、学校食堂从业人员素质参差不齐，从业人员大部分没有经过专业培训。</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2、学校营养餐配餐方面缺乏专业人员指导，营养食谱的科学性有待提高。</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3、学校财务人员均为兼职人员，财务专业知识缺乏。</w:t>
      </w:r>
    </w:p>
    <w:p>
      <w:pPr>
        <w:widowControl w:val="0"/>
        <w:spacing w:before="0" w:after="0" w:line="240" w:lineRule="auto"/>
        <w:ind w:left="0" w:right="0" w:firstLine="0"/>
        <w:jc w:val="left"/>
        <w:rPr>
          <w:rFonts w:hint="eastAsia" w:ascii="宋体" w:hAnsi="宋体" w:eastAsia="宋体" w:cs="宋体"/>
          <w:b/>
          <w:color w:val="auto"/>
          <w:spacing w:val="0"/>
          <w:position w:val="0"/>
          <w:sz w:val="32"/>
          <w:shd w:val="clear" w:fill="auto"/>
          <w:lang w:eastAsia="zh-CN"/>
        </w:rPr>
      </w:pPr>
      <w:r>
        <w:rPr>
          <w:rFonts w:hint="eastAsia" w:ascii="宋体" w:hAnsi="宋体" w:eastAsia="宋体" w:cs="宋体"/>
          <w:b/>
          <w:color w:val="auto"/>
          <w:spacing w:val="0"/>
          <w:position w:val="0"/>
          <w:sz w:val="32"/>
          <w:shd w:val="clear" w:fill="auto"/>
          <w:lang w:eastAsia="zh-CN"/>
        </w:rPr>
        <w:t>九、有关建议</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1、加大政府投入力度，针对学校设施设备短缺等问题，加大投入力度，完善配套设施，改善学生就餐场所，确保配套设施满足学生就餐需求。</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2、建议实行后勤服务社会化，加强食品卫生监管。</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3、组织有关专家统一制定营养食谱，供学校选择使用，以保证营养改善计划的协调推进和健康发展。</w:t>
      </w:r>
    </w:p>
    <w:p>
      <w:pPr>
        <w:widowControl w:val="0"/>
        <w:spacing w:before="0" w:after="0" w:line="240" w:lineRule="auto"/>
        <w:ind w:left="0" w:right="0" w:firstLine="560" w:firstLineChars="200"/>
        <w:jc w:val="both"/>
        <w:rPr>
          <w:rFonts w:ascii="仿宋" w:hAnsi="仿宋" w:eastAsia="仿宋" w:cs="仿宋"/>
          <w:color w:val="auto"/>
          <w:spacing w:val="0"/>
          <w:position w:val="0"/>
          <w:sz w:val="28"/>
          <w:shd w:val="clear" w:fill="auto"/>
        </w:rPr>
      </w:pPr>
      <w:r>
        <w:rPr>
          <w:rFonts w:ascii="仿宋" w:hAnsi="仿宋" w:eastAsia="仿宋" w:cs="仿宋"/>
          <w:color w:val="auto"/>
          <w:spacing w:val="0"/>
          <w:position w:val="0"/>
          <w:sz w:val="28"/>
          <w:shd w:val="clear" w:fill="auto"/>
        </w:rPr>
        <w:t>4、加大财务、后勤、管理等人员的培训力度。通过开展培训等多途径来提升学校财务、管理、后勤工作人员和供餐人员的工作能力。</w:t>
      </w:r>
    </w:p>
    <w:p>
      <w:pPr>
        <w:widowControl w:val="0"/>
        <w:spacing w:before="0" w:after="0" w:line="240" w:lineRule="auto"/>
        <w:ind w:left="0" w:right="0" w:firstLine="0"/>
        <w:jc w:val="both"/>
        <w:rPr>
          <w:rFonts w:ascii="仿宋" w:hAnsi="仿宋" w:eastAsia="仿宋" w:cs="仿宋"/>
          <w:color w:val="auto"/>
          <w:spacing w:val="0"/>
          <w:position w:val="0"/>
          <w:sz w:val="28"/>
          <w:shd w:val="clear" w:fill="auto"/>
        </w:rPr>
      </w:pPr>
    </w:p>
    <w:p>
      <w:pPr>
        <w:widowControl w:val="0"/>
        <w:spacing w:before="0" w:after="0" w:line="240" w:lineRule="auto"/>
        <w:ind w:left="0" w:right="0" w:firstLine="0"/>
        <w:jc w:val="both"/>
        <w:rPr>
          <w:rFonts w:ascii="仿宋" w:hAnsi="仿宋" w:eastAsia="仿宋" w:cs="仿宋"/>
          <w:color w:val="auto"/>
          <w:spacing w:val="0"/>
          <w:position w:val="0"/>
          <w:sz w:val="28"/>
          <w:shd w:val="clear" w:fill="auto"/>
        </w:rPr>
      </w:pP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3MDY5MzM0Zjc4M2MwMmUwMjU3MDg4MGY2MzUwMTAifQ=="/>
    <w:docVar w:name="KSO_WPS_MARK_KEY" w:val="a819fb17-e961-476c-a7cd-4626dafa3d1e"/>
  </w:docVars>
  <w:rsids>
    <w:rsidRoot w:val="00000000"/>
    <w:rsid w:val="36797DF9"/>
    <w:rsid w:val="3ADB786B"/>
    <w:rsid w:val="427E354A"/>
    <w:rsid w:val="4F840D70"/>
    <w:rsid w:val="50DC7CCF"/>
    <w:rsid w:val="6E061A6F"/>
    <w:rsid w:val="717529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1847</Words>
  <Characters>1875</Characters>
  <TotalTime>6</TotalTime>
  <ScaleCrop>false</ScaleCrop>
  <LinksUpToDate>false</LinksUpToDate>
  <CharactersWithSpaces>1969</CharactersWithSpaces>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2023-11-07T08:29:00Z</dcterms:created>
  <dc:creator>Administrator</dc:creator>
  <cp:lastModifiedBy>夏朽暖栀</cp:lastModifiedBy>
  <dcterms:modified xsi:type="dcterms:W3CDTF">2024-05-14T17:30:29Z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80D3C26CD1454C64B34A3FE3E884F1E2_13</vt:lpwstr>
  </property>
</Properties>
</file>