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210B6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24ECF9E5">
      <w:pPr>
        <w:pStyle w:val="2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0DDE2F8E">
      <w:pPr>
        <w:pStyle w:val="2"/>
        <w:spacing w:after="0" w:afterAutospacing="0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3AE8946B">
      <w:pPr>
        <w:spacing w:before="415" w:beforeLines="133" w:beforeAutospacing="0"/>
        <w:jc w:val="righ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>合疾控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函</w:t>
      </w:r>
      <w:r>
        <w:rPr>
          <w:rFonts w:hint="eastAsia" w:ascii="仿宋" w:hAnsi="仿宋" w:eastAsia="仿宋" w:cs="仿宋_GB2312"/>
          <w:sz w:val="32"/>
          <w:szCs w:val="32"/>
        </w:rPr>
        <w:t>发【</w:t>
      </w:r>
      <w:r>
        <w:rPr>
          <w:rFonts w:ascii="仿宋" w:hAnsi="仿宋" w:eastAsia="仿宋" w:cs="仿宋_GB2312"/>
          <w:sz w:val="32"/>
          <w:szCs w:val="32"/>
        </w:rPr>
        <w:t>202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】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_GB2312"/>
          <w:sz w:val="32"/>
          <w:szCs w:val="32"/>
        </w:rPr>
        <w:t>号</w:t>
      </w:r>
    </w:p>
    <w:p w14:paraId="228A975A">
      <w:pPr>
        <w:pStyle w:val="2"/>
        <w:rPr>
          <w:rFonts w:hint="eastAsia"/>
          <w:lang w:val="en-US" w:eastAsia="zh-CN"/>
        </w:rPr>
      </w:pPr>
    </w:p>
    <w:p w14:paraId="4A08E8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重大传染病防控项目2023年自评报告</w:t>
      </w:r>
    </w:p>
    <w:p w14:paraId="0D0C98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640" w:firstLineChars="200"/>
        <w:textAlignment w:val="auto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</w:p>
    <w:p w14:paraId="0BA94E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640" w:firstLineChars="200"/>
        <w:textAlignment w:val="auto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为进一步加强财政支出绩效管理，提高财政资金使用效益，根据2023年度项目目标预算执行情况绩效自评工作要求，我中心开展了2023年度项目预算执行情绩效自评工作，现报告如下：</w:t>
      </w:r>
    </w:p>
    <w:p w14:paraId="0F4E01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一、项目基本情况</w:t>
      </w:r>
    </w:p>
    <w:p w14:paraId="786FD3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643" w:firstLineChars="200"/>
        <w:textAlignment w:val="auto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bCs/>
          <w:kern w:val="0"/>
          <w:sz w:val="32"/>
          <w:szCs w:val="32"/>
          <w:lang w:eastAsia="zh-CN"/>
        </w:rPr>
        <w:t>（一）项目立项背景。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认真贯彻落实预防为主，防治结合的总体方针，持续巩固地方病防治成果。强化工作措施，加强健康宣教，扎实开展各项工作，着力推动地方病防治工作健康发展，努力提高人民群众保健水平。根据《2023年重大传染病防控项目资金管理办法》《2023年重大传染病防控项目实施方案》文件要求，我中心项目补助经费主要用于重大传染病防控项目的宣传、督导、培训以及病人的随访治疗。</w:t>
      </w:r>
    </w:p>
    <w:p w14:paraId="41D6C80D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bCs/>
          <w:kern w:val="0"/>
          <w:sz w:val="32"/>
          <w:szCs w:val="32"/>
          <w:lang w:eastAsia="zh-CN"/>
        </w:rPr>
        <w:t>（二）项目预算安排及使用情况。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按照上年项目进度完成率、项目资金支付率，项目标准达标率等考核因素，结合远期规划与年度项目计划，按照项目要求依据因素法与项目法相结合的方式分配。</w:t>
      </w:r>
    </w:p>
    <w:p w14:paraId="1FB16B15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bCs/>
          <w:kern w:val="0"/>
          <w:sz w:val="32"/>
          <w:szCs w:val="32"/>
          <w:lang w:eastAsia="zh-CN"/>
        </w:rPr>
        <w:t>（三）项目计划内容及实施情况。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各类项目年度计划由县级部门编制，主要内容包含实施项目、项目额度、实施内容、项目进度、完成时限要求等卫健部门审批。</w:t>
      </w:r>
    </w:p>
    <w:p w14:paraId="6F8AC00B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textAlignment w:val="auto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bCs/>
          <w:kern w:val="0"/>
          <w:sz w:val="32"/>
          <w:szCs w:val="32"/>
          <w:lang w:eastAsia="zh-CN"/>
        </w:rPr>
        <w:t>（四）项目组织管理。</w:t>
      </w:r>
      <w:r>
        <w:rPr>
          <w:rFonts w:hint="eastAsia" w:ascii="Times New Roman" w:hAnsi="Times New Roman" w:cs="Times New Roman"/>
          <w:kern w:val="0"/>
          <w:sz w:val="32"/>
          <w:szCs w:val="32"/>
          <w:lang w:eastAsia="zh-CN"/>
        </w:rPr>
        <w:t>全</w:t>
      </w: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面落实了支付预算和绩效补偿政策，建立了稳定的补偿渠道和补偿方式，县疾控中心相关股室负责人、分管领导、主要领导分级审核，执行三级审批制度。资金拨付有规范的审批流程和完整的拨付手续，不存在违规使用资金存的情况。</w:t>
      </w:r>
    </w:p>
    <w:p w14:paraId="438BEE28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项目实施及管理情况</w:t>
      </w:r>
    </w:p>
    <w:p w14:paraId="64B2FA92">
      <w:pPr>
        <w:pStyle w:val="8"/>
        <w:jc w:val="left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项目总体目标为以乡镇（道）为单位适龄儿童国家免疫规划疫苗接种率大于等于90%，开展重大慢性病早期筛查干预项目，落实慢性病及其相关危險因索监测，减少艾滋病新发感染，降低艾滋病病死率，进一步减少结核感染、患病和死总亡，加强传染病疫情监测、流行病学调查和疫情分析研判，及时处置暴发疫情，逐步降低重点传染病的危害。完成以新馆肺炎为主的病毒性传染病监测。绩效申报表与项目年度计划相辅相成，三级指标结合本项目实际，按照项目推进的关键因素制定，能够如实反映项目建设过程中的重要指标。通过项目的实施，全面推进公共卫生服务均等化。</w:t>
      </w:r>
    </w:p>
    <w:p w14:paraId="508CB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三、评价基本情况</w:t>
      </w:r>
    </w:p>
    <w:p w14:paraId="3BEF58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（一）评价目的</w:t>
      </w:r>
    </w:p>
    <w:p w14:paraId="54F652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bookmarkStart w:id="0" w:name="_Hlk136359911"/>
      <w:r>
        <w:rPr>
          <w:rFonts w:ascii="仿宋" w:hAnsi="仿宋" w:eastAsia="仿宋"/>
          <w:sz w:val="32"/>
          <w:szCs w:val="32"/>
        </w:rPr>
        <w:t>根据设定绩效目标，通过项目的执行、管理及资金使用情况，全面分析和综合评价专项资金的分配使用情况，进一步管理和使用好专项资金，切实提高财政资金使用效率和项目管理水平，为以后年度财政资金预算安排提供重要参考依据</w:t>
      </w:r>
      <w:r>
        <w:rPr>
          <w:rFonts w:hint="eastAsia" w:ascii="仿宋" w:hAnsi="仿宋" w:eastAsia="仿宋"/>
          <w:sz w:val="32"/>
          <w:szCs w:val="32"/>
        </w:rPr>
        <w:t>，</w:t>
      </w:r>
      <w:bookmarkEnd w:id="0"/>
      <w:bookmarkStart w:id="1" w:name="_Hlk136359932"/>
      <w:r>
        <w:rPr>
          <w:rFonts w:hint="eastAsia" w:ascii="仿宋" w:hAnsi="仿宋" w:eastAsia="仿宋"/>
          <w:sz w:val="32"/>
          <w:szCs w:val="32"/>
        </w:rPr>
        <w:t>进一步细化量化绩效目标，加强专项资金绩效监控，客观、全面、公正的反映专项资金使用效益，及时查缺补漏，纠正偏离绩效目标的行为。</w:t>
      </w:r>
    </w:p>
    <w:bookmarkEnd w:id="1"/>
    <w:p w14:paraId="37CA8E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（二）评价对象与范围</w:t>
      </w:r>
    </w:p>
    <w:p w14:paraId="1330DE97">
      <w:pPr>
        <w:spacing w:after="80"/>
        <w:ind w:right="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bookmarkStart w:id="2" w:name="_Hlk136359986"/>
      <w:r>
        <w:rPr>
          <w:rFonts w:hint="eastAsia" w:ascii="仿宋" w:hAnsi="仿宋" w:eastAsia="仿宋"/>
          <w:sz w:val="32"/>
          <w:szCs w:val="32"/>
        </w:rPr>
        <w:t>评价对象主体</w:t>
      </w:r>
      <w:r>
        <w:rPr>
          <w:rFonts w:hint="eastAsia" w:ascii="仿宋" w:hAnsi="仿宋" w:eastAsia="仿宋"/>
          <w:color w:val="auto"/>
          <w:sz w:val="32"/>
          <w:szCs w:val="32"/>
        </w:rPr>
        <w:t>为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2023年重大传染病防控项目项目</w:t>
      </w:r>
      <w:r>
        <w:rPr>
          <w:rFonts w:hint="eastAsia" w:ascii="仿宋" w:hAnsi="仿宋" w:eastAsia="仿宋"/>
          <w:sz w:val="32"/>
          <w:szCs w:val="32"/>
        </w:rPr>
        <w:t>专项</w:t>
      </w:r>
      <w:r>
        <w:rPr>
          <w:rFonts w:ascii="仿宋" w:hAnsi="仿宋" w:eastAsia="仿宋"/>
          <w:sz w:val="32"/>
          <w:szCs w:val="32"/>
        </w:rPr>
        <w:t>资金</w:t>
      </w:r>
      <w:r>
        <w:rPr>
          <w:rFonts w:hint="eastAsia" w:ascii="仿宋" w:hAnsi="仿宋" w:eastAsia="仿宋"/>
          <w:sz w:val="32"/>
          <w:szCs w:val="32"/>
        </w:rPr>
        <w:t>，以及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结转</w:t>
      </w:r>
      <w:r>
        <w:rPr>
          <w:rFonts w:hint="eastAsia" w:ascii="仿宋" w:hAnsi="仿宋" w:eastAsia="仿宋"/>
          <w:sz w:val="32"/>
          <w:szCs w:val="32"/>
        </w:rPr>
        <w:t>项目专项资金使用的全过程，评价范围为年度所有资金执行的项目类型。</w:t>
      </w:r>
    </w:p>
    <w:bookmarkEnd w:id="2"/>
    <w:p w14:paraId="29644B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（</w:t>
      </w:r>
      <w:r>
        <w:rPr>
          <w:rFonts w:ascii="楷体" w:hAnsi="楷体" w:eastAsia="楷体"/>
          <w:b/>
          <w:bCs/>
          <w:sz w:val="32"/>
          <w:szCs w:val="32"/>
        </w:rPr>
        <w:t>三）评价依据</w:t>
      </w:r>
    </w:p>
    <w:p w14:paraId="71B9C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bookmarkStart w:id="3" w:name="_Hlk136360016"/>
      <w:r>
        <w:rPr>
          <w:rFonts w:hint="eastAsia" w:ascii="仿宋" w:hAnsi="仿宋" w:eastAsia="仿宋"/>
          <w:sz w:val="32"/>
          <w:szCs w:val="32"/>
        </w:rPr>
        <w:t>依据《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重大传染病防控项目项目实施方案</w:t>
      </w:r>
      <w:r>
        <w:rPr>
          <w:rFonts w:hint="eastAsia" w:ascii="仿宋" w:hAnsi="仿宋" w:eastAsia="仿宋"/>
          <w:sz w:val="32"/>
          <w:szCs w:val="32"/>
        </w:rPr>
        <w:t>通知》等资金管理要求。</w:t>
      </w:r>
      <w:bookmarkEnd w:id="3"/>
    </w:p>
    <w:p w14:paraId="7C00D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（四）评价原则、评价方法</w:t>
      </w:r>
    </w:p>
    <w:p w14:paraId="5A8598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绩效评价原则。</w:t>
      </w:r>
      <w:r>
        <w:rPr>
          <w:rFonts w:ascii="仿宋" w:hAnsi="仿宋" w:eastAsia="仿宋"/>
          <w:sz w:val="32"/>
          <w:szCs w:val="32"/>
        </w:rPr>
        <w:t>一是科学规范原则。绩效评价注重财政支出的经济性、效率性和有效性，严格执行规定的程序，采用定量与定性分析相结合的方法。二是公正公开原则。坚持客观公正，标准统一、资料可靠，依法公开并接受监督。三是分级分类原则。绩效评估由相关单位根据评价对象的特点分类组织实施。四是绩效相关原则。绩效评价针对具体支出及其产出绩效进行，评价结果应清晰反映支出与产出绩效之间的紧密对应关系。</w:t>
      </w:r>
      <w:r>
        <w:rPr>
          <w:rFonts w:ascii="仿宋" w:hAnsi="仿宋" w:eastAsia="仿宋"/>
          <w:b/>
          <w:bCs/>
          <w:sz w:val="32"/>
          <w:szCs w:val="32"/>
        </w:rPr>
        <w:t>绩效评价方法。</w:t>
      </w:r>
      <w:bookmarkStart w:id="4" w:name="_Hlk136360049"/>
      <w:r>
        <w:rPr>
          <w:rFonts w:ascii="仿宋" w:hAnsi="仿宋" w:eastAsia="仿宋"/>
          <w:sz w:val="32"/>
          <w:szCs w:val="32"/>
        </w:rPr>
        <w:t>使用目标效益分析法和公众评判法。</w:t>
      </w:r>
    </w:p>
    <w:bookmarkEnd w:id="4"/>
    <w:p w14:paraId="604DE6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（五）绩效评价指标体系</w:t>
      </w:r>
    </w:p>
    <w:p w14:paraId="5CC939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bookmarkStart w:id="5" w:name="_Hlk136360083"/>
      <w:r>
        <w:rPr>
          <w:rFonts w:ascii="仿宋" w:hAnsi="仿宋" w:eastAsia="仿宋"/>
          <w:sz w:val="32"/>
          <w:szCs w:val="32"/>
        </w:rPr>
        <w:t>评价指标体系分为三级评价体系，即一级指标、二级指标、三级指标。主要从项目</w:t>
      </w:r>
      <w:r>
        <w:rPr>
          <w:rFonts w:hint="eastAsia" w:ascii="仿宋" w:hAnsi="仿宋" w:eastAsia="仿宋"/>
          <w:sz w:val="32"/>
          <w:szCs w:val="32"/>
        </w:rPr>
        <w:t>数量指标、质量指标、时效指标、成本指标、经济效益指标、社会效益指标、生态效益指标、可持续影响指标、服务对象满意度等进行定性、定量评价。</w:t>
      </w:r>
    </w:p>
    <w:bookmarkEnd w:id="5"/>
    <w:p w14:paraId="0E4A4D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（六）评价人员组成</w:t>
      </w:r>
    </w:p>
    <w:p w14:paraId="7C3391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bookmarkStart w:id="6" w:name="_Hlk136361177"/>
      <w:r>
        <w:rPr>
          <w:rFonts w:hint="eastAsia" w:ascii="仿宋" w:hAnsi="仿宋" w:eastAsia="仿宋"/>
          <w:sz w:val="32"/>
          <w:szCs w:val="32"/>
        </w:rPr>
        <w:t>评价人员组成以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支部</w:t>
      </w:r>
      <w:r>
        <w:rPr>
          <w:rFonts w:hint="eastAsia" w:ascii="仿宋" w:hAnsi="仿宋" w:eastAsia="仿宋"/>
          <w:sz w:val="32"/>
          <w:szCs w:val="32"/>
        </w:rPr>
        <w:t>书记、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主任</w:t>
      </w:r>
      <w:r>
        <w:rPr>
          <w:rFonts w:hint="eastAsia" w:ascii="仿宋" w:hAnsi="仿宋" w:eastAsia="仿宋"/>
          <w:sz w:val="32"/>
          <w:szCs w:val="32"/>
        </w:rPr>
        <w:t>为组长，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党组成员、项目分管副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主任</w:t>
      </w:r>
      <w:r>
        <w:rPr>
          <w:rFonts w:hint="eastAsia" w:ascii="仿宋" w:hAnsi="仿宋" w:eastAsia="仿宋"/>
          <w:sz w:val="32"/>
          <w:szCs w:val="32"/>
        </w:rPr>
        <w:t>，为副组长，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财务</w:t>
      </w:r>
      <w:r>
        <w:rPr>
          <w:rFonts w:hint="eastAsia" w:ascii="仿宋" w:hAnsi="仿宋" w:eastAsia="仿宋"/>
          <w:sz w:val="32"/>
          <w:szCs w:val="32"/>
        </w:rPr>
        <w:t>股、项目办工作人员、各项目</w:t>
      </w:r>
      <w:r>
        <w:rPr>
          <w:rFonts w:hint="eastAsia" w:ascii="仿宋" w:hAnsi="仿宋" w:eastAsia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负责人为组员等组成。</w:t>
      </w:r>
    </w:p>
    <w:bookmarkEnd w:id="6"/>
    <w:p w14:paraId="4ECB28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（七）绩效评价工作过程</w:t>
      </w:r>
    </w:p>
    <w:p w14:paraId="7AF0C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按照绩效评价工作要求，评价人员分组分别对项目计划安排，财政预算支出、资金使用管理、项目建设过程等进行综合评价，汇总整理得出</w:t>
      </w:r>
      <w:r>
        <w:rPr>
          <w:rFonts w:ascii="仿宋" w:hAnsi="仿宋" w:eastAsia="仿宋"/>
          <w:sz w:val="32"/>
          <w:szCs w:val="32"/>
        </w:rPr>
        <w:t>评价报告。</w:t>
      </w:r>
    </w:p>
    <w:p w14:paraId="670FE4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四、评价结论及分析</w:t>
      </w:r>
    </w:p>
    <w:p w14:paraId="651921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（一）综合评价情况及评价结论</w:t>
      </w:r>
      <w:r>
        <w:rPr>
          <w:rFonts w:ascii="仿宋" w:hAnsi="仿宋" w:eastAsia="仿宋"/>
          <w:sz w:val="32"/>
          <w:szCs w:val="32"/>
        </w:rPr>
        <w:t>（附相关评分表）</w:t>
      </w:r>
    </w:p>
    <w:p w14:paraId="1789F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项目资金</w:t>
      </w:r>
      <w:r>
        <w:rPr>
          <w:rFonts w:hint="eastAsia" w:ascii="仿宋" w:hAnsi="仿宋" w:eastAsia="仿宋"/>
          <w:sz w:val="32"/>
          <w:szCs w:val="32"/>
        </w:rPr>
        <w:t>使用较为规范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制定</w:t>
      </w:r>
      <w:r>
        <w:rPr>
          <w:rFonts w:ascii="仿宋" w:hAnsi="仿宋" w:eastAsia="仿宋"/>
          <w:sz w:val="32"/>
          <w:szCs w:val="32"/>
        </w:rPr>
        <w:t>目标</w:t>
      </w:r>
      <w:r>
        <w:rPr>
          <w:rFonts w:hint="eastAsia" w:ascii="仿宋" w:hAnsi="仿宋" w:eastAsia="仿宋"/>
          <w:sz w:val="32"/>
          <w:szCs w:val="32"/>
        </w:rPr>
        <w:t>任务</w:t>
      </w:r>
      <w:r>
        <w:rPr>
          <w:rFonts w:ascii="仿宋" w:hAnsi="仿宋" w:eastAsia="仿宋"/>
          <w:sz w:val="32"/>
          <w:szCs w:val="32"/>
        </w:rPr>
        <w:t>明确，项目申报符合</w:t>
      </w:r>
      <w:r>
        <w:rPr>
          <w:rFonts w:hint="eastAsia" w:ascii="仿宋" w:hAnsi="仿宋" w:eastAsia="仿宋"/>
          <w:sz w:val="32"/>
          <w:szCs w:val="32"/>
        </w:rPr>
        <w:t>条件，程序规范，项目手续基本齐全，项目建设质量达到相关行业标准，项目建设进度能够按期完成，资金使用管理基本达到预期绩效目标要求。项目专项资金共下达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98.27</w:t>
      </w:r>
      <w:r>
        <w:rPr>
          <w:rFonts w:hint="eastAsia" w:ascii="仿宋" w:hAnsi="仿宋" w:eastAsia="仿宋"/>
          <w:sz w:val="32"/>
          <w:szCs w:val="32"/>
        </w:rPr>
        <w:t>万元，截止目前实际拨付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38.79</w:t>
      </w:r>
      <w:r>
        <w:rPr>
          <w:rFonts w:hint="eastAsia" w:ascii="仿宋" w:hAnsi="仿宋" w:eastAsia="仿宋"/>
          <w:sz w:val="32"/>
          <w:szCs w:val="32"/>
        </w:rPr>
        <w:t>万元，资金支付率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39.49</w:t>
      </w:r>
      <w:r>
        <w:rPr>
          <w:rFonts w:hint="eastAsia" w:ascii="仿宋" w:hAnsi="仿宋" w:eastAsia="仿宋"/>
          <w:sz w:val="32"/>
          <w:szCs w:val="32"/>
        </w:rPr>
        <w:t>%，资金支付较为迟缓。绩效自评总得分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93</w:t>
      </w:r>
      <w:r>
        <w:rPr>
          <w:rFonts w:hint="eastAsia" w:ascii="仿宋" w:hAnsi="仿宋" w:eastAsia="仿宋"/>
          <w:sz w:val="32"/>
          <w:szCs w:val="32"/>
        </w:rPr>
        <w:t>分，评价总体结论为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良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012342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（二）非现场评价情况分析</w:t>
      </w:r>
    </w:p>
    <w:p w14:paraId="36A8F0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项目资金使用合理，能够按照预算支出，资金拨付严格落实合同约定及工程形象进度，三级审批制度，流程规范。</w:t>
      </w:r>
    </w:p>
    <w:p w14:paraId="302E06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（三）现场评价情况分析</w:t>
      </w:r>
    </w:p>
    <w:p w14:paraId="71B34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建设进度能够按期完成，各阶段验收及时，工程、设备质量达到国家、行业设计要求。</w:t>
      </w:r>
    </w:p>
    <w:p w14:paraId="19B2D5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五、绩效评价指标分析</w:t>
      </w:r>
    </w:p>
    <w:p w14:paraId="167754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（一）项目决策情况</w:t>
      </w:r>
    </w:p>
    <w:p w14:paraId="79F30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依据五年规划，按照急需优先原则，遴选年度项目计划，通过县</w:t>
      </w:r>
      <w:r>
        <w:rPr>
          <w:rFonts w:hint="eastAsia" w:ascii="仿宋" w:hAnsi="仿宋" w:eastAsia="仿宋"/>
          <w:sz w:val="32"/>
          <w:szCs w:val="32"/>
          <w:lang w:eastAsia="zh-CN"/>
        </w:rPr>
        <w:t>卫健局</w:t>
      </w:r>
      <w:r>
        <w:rPr>
          <w:rFonts w:hint="eastAsia" w:ascii="仿宋" w:hAnsi="仿宋" w:eastAsia="仿宋"/>
          <w:sz w:val="32"/>
          <w:szCs w:val="32"/>
        </w:rPr>
        <w:t>党组会议研究审定，报县级人民政府常务会议审定后，报市级</w:t>
      </w:r>
      <w:r>
        <w:rPr>
          <w:rFonts w:hint="eastAsia" w:ascii="仿宋" w:hAnsi="仿宋" w:eastAsia="仿宋"/>
          <w:sz w:val="32"/>
          <w:szCs w:val="32"/>
          <w:lang w:eastAsia="zh-CN"/>
        </w:rPr>
        <w:t>卫健</w:t>
      </w:r>
      <w:r>
        <w:rPr>
          <w:rFonts w:hint="eastAsia" w:ascii="仿宋" w:hAnsi="仿宋" w:eastAsia="仿宋"/>
          <w:sz w:val="32"/>
          <w:szCs w:val="32"/>
        </w:rPr>
        <w:t>部门审批，项目计划批复下达后，按照项目建设程序实施。</w:t>
      </w:r>
    </w:p>
    <w:p w14:paraId="0DB2E5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（二）项目过程情况</w:t>
      </w:r>
    </w:p>
    <w:p w14:paraId="55C89A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县</w:t>
      </w:r>
      <w:r>
        <w:rPr>
          <w:rFonts w:hint="eastAsia" w:ascii="仿宋" w:hAnsi="仿宋" w:eastAsia="仿宋"/>
          <w:sz w:val="32"/>
          <w:szCs w:val="32"/>
          <w:lang w:eastAsia="zh-CN"/>
        </w:rPr>
        <w:t>卫健</w:t>
      </w:r>
      <w:r>
        <w:rPr>
          <w:rFonts w:hint="eastAsia" w:ascii="仿宋" w:hAnsi="仿宋" w:eastAsia="仿宋"/>
          <w:sz w:val="32"/>
          <w:szCs w:val="32"/>
        </w:rPr>
        <w:t>局总体监管，项目</w:t>
      </w:r>
      <w:r>
        <w:rPr>
          <w:rFonts w:hint="eastAsia" w:ascii="仿宋" w:hAnsi="仿宋" w:eastAsia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具体负责实施，项目建设全过程管理，整体竣工后依据项目管理规定，进行决算验收。</w:t>
      </w:r>
    </w:p>
    <w:p w14:paraId="2065E8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（三）项目产出情况</w:t>
      </w:r>
    </w:p>
    <w:p w14:paraId="699AE4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截止年底前，</w:t>
      </w:r>
      <w:bookmarkStart w:id="7" w:name="_GoBack"/>
      <w:r>
        <w:rPr>
          <w:rFonts w:hint="eastAsia" w:ascii="仿宋" w:hAnsi="仿宋" w:eastAsia="仿宋"/>
          <w:sz w:val="32"/>
          <w:szCs w:val="32"/>
          <w:lang w:val="en-US" w:eastAsia="zh-CN"/>
        </w:rPr>
        <w:t>2023年重大传染病防控</w:t>
      </w:r>
      <w:r>
        <w:rPr>
          <w:rFonts w:hint="eastAsia" w:ascii="仿宋" w:hAnsi="仿宋" w:eastAsia="仿宋"/>
          <w:sz w:val="32"/>
          <w:szCs w:val="32"/>
        </w:rPr>
        <w:t>项目能按要求完成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/>
          <w:sz w:val="32"/>
          <w:szCs w:val="32"/>
        </w:rPr>
        <w:t>任务，均能按期完成，年初目标任务按期完成。</w:t>
      </w:r>
    </w:p>
    <w:bookmarkEnd w:id="7"/>
    <w:p w14:paraId="2917C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（四）项目效益情况</w:t>
      </w:r>
    </w:p>
    <w:p w14:paraId="1D30A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通过项目的实施，</w:t>
      </w:r>
      <w:r>
        <w:rPr>
          <w:rFonts w:hint="eastAsia" w:ascii="仿宋" w:hAnsi="仿宋" w:eastAsia="仿宋" w:cs="仿宋"/>
          <w:sz w:val="32"/>
          <w:szCs w:val="32"/>
        </w:rPr>
        <w:t>全面推进公共卫生服务均等化，促进地方病防治工作的快速发展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加强中央公共卫生项目实施，强化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疾病预防</w:t>
      </w:r>
      <w:r>
        <w:rPr>
          <w:rFonts w:hint="eastAsia" w:ascii="仿宋" w:hAnsi="仿宋" w:eastAsia="仿宋" w:cs="仿宋"/>
          <w:sz w:val="32"/>
          <w:szCs w:val="32"/>
        </w:rPr>
        <w:t>建设，全面推进公共卫生服务均等化。</w:t>
      </w:r>
    </w:p>
    <w:p w14:paraId="587175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 w:bidi="ar-SA"/>
        </w:rPr>
        <w:t>六、绩效自评工作的经验、问题和建议</w:t>
      </w:r>
    </w:p>
    <w:p w14:paraId="4B33E631">
      <w:pPr>
        <w:spacing w:after="80"/>
        <w:ind w:right="0"/>
        <w:jc w:val="both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近年来虽然我们在项目落实上取得了一定成绩，但还存在一些不足。一当年项目资金支出率较低;二是</w:t>
      </w:r>
      <w:r>
        <w:rPr>
          <w:sz w:val="24"/>
        </w:rPr>
        <w:t>个</w:t>
      </w:r>
      <w:r>
        <w:rPr>
          <w:rFonts w:hint="eastAsia" w:ascii="仿宋" w:hAnsi="仿宋" w:eastAsia="仿宋"/>
          <w:sz w:val="32"/>
          <w:szCs w:val="32"/>
          <w:lang w:eastAsia="zh-CN"/>
        </w:rPr>
        <w:t>别项目工作下达的个别指标未完成；三是艾滋病防治项目中存在患者流动性大，随意更换住址及电话号码，易造成失访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。建议：1.</w:t>
      </w:r>
      <w:r>
        <w:rPr>
          <w:rFonts w:hint="eastAsia" w:ascii="仿宋" w:hAnsi="仿宋" w:eastAsia="仿宋"/>
          <w:sz w:val="32"/>
          <w:szCs w:val="32"/>
          <w:lang w:eastAsia="zh-CN"/>
        </w:rPr>
        <w:t>强化项目宣传。进一步加大项目工作宣传力度和健康教育工作，提高群众健康知识知晓率，积极主动参与项目,确保项目工作的顺利开展。2.强化项目培训，加强乡、村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sz w:val="32"/>
          <w:szCs w:val="32"/>
          <w:lang w:eastAsia="zh-CN"/>
        </w:rPr>
        <w:t>级公共卫生服务人员项目培训工作，重点培训项目管理方案和技术规范，提高工作人员的技术水平。3.强化项目督导。按照项目管理方案要求，定期开展督导评估，保质保量完成项目工作任务。</w:t>
      </w:r>
    </w:p>
    <w:p w14:paraId="4212AB6A">
      <w:pPr>
        <w:spacing w:after="80"/>
        <w:ind w:right="0"/>
        <w:jc w:val="both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4.规范资金使用。按照项目管理方案要求，合理规范使用资金，提高项目资金使用率。</w:t>
      </w:r>
    </w:p>
    <w:p w14:paraId="16DE7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 w14:paraId="600DDC3B">
      <w:pPr>
        <w:pStyle w:val="2"/>
        <w:rPr>
          <w:rFonts w:hint="eastAsia"/>
          <w:lang w:val="en-US" w:eastAsia="zh-CN"/>
        </w:rPr>
      </w:pPr>
    </w:p>
    <w:p w14:paraId="53336450">
      <w:pPr>
        <w:pStyle w:val="2"/>
        <w:ind w:firstLine="3520" w:firstLineChars="11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合水县疾病预防控制中心</w:t>
      </w:r>
    </w:p>
    <w:p w14:paraId="5C33AC17">
      <w:pPr>
        <w:pStyle w:val="2"/>
        <w:rPr>
          <w:rFonts w:hint="default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2024年3月6日</w:t>
      </w:r>
    </w:p>
    <w:p w14:paraId="3854A3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C7DA66D">
      <w:pPr>
        <w:pStyle w:val="2"/>
        <w:jc w:val="center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C88A1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14F1D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14F1D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6AC31F"/>
    <w:multiLevelType w:val="singleLevel"/>
    <w:tmpl w:val="8E6AC31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lYmYwNWIzZDQxYzMxMzlhYzgzNjY4YWQ5N2UxYTUifQ=="/>
  </w:docVars>
  <w:rsids>
    <w:rsidRoot w:val="00000000"/>
    <w:rsid w:val="013B4944"/>
    <w:rsid w:val="021707C9"/>
    <w:rsid w:val="03C174E8"/>
    <w:rsid w:val="062E4A77"/>
    <w:rsid w:val="0AF3003D"/>
    <w:rsid w:val="0B087D54"/>
    <w:rsid w:val="0DA00B30"/>
    <w:rsid w:val="11AA3420"/>
    <w:rsid w:val="14BA7931"/>
    <w:rsid w:val="16C94348"/>
    <w:rsid w:val="1B1F09DB"/>
    <w:rsid w:val="1BE52CD6"/>
    <w:rsid w:val="262B46D7"/>
    <w:rsid w:val="277125BE"/>
    <w:rsid w:val="2A225DF1"/>
    <w:rsid w:val="2CD477FC"/>
    <w:rsid w:val="2D69467B"/>
    <w:rsid w:val="30446AC1"/>
    <w:rsid w:val="31937F23"/>
    <w:rsid w:val="32005610"/>
    <w:rsid w:val="34D128EE"/>
    <w:rsid w:val="36BE5FC7"/>
    <w:rsid w:val="403B1563"/>
    <w:rsid w:val="408D1DBF"/>
    <w:rsid w:val="43D63A7D"/>
    <w:rsid w:val="4AA32356"/>
    <w:rsid w:val="4E9E163B"/>
    <w:rsid w:val="52B551A5"/>
    <w:rsid w:val="54BE2050"/>
    <w:rsid w:val="57BB500C"/>
    <w:rsid w:val="5B2E3D47"/>
    <w:rsid w:val="5E917835"/>
    <w:rsid w:val="647E189B"/>
    <w:rsid w:val="658B3E68"/>
    <w:rsid w:val="67BA0E3C"/>
    <w:rsid w:val="6C7514A4"/>
    <w:rsid w:val="71AB63BC"/>
    <w:rsid w:val="733777E5"/>
    <w:rsid w:val="7C477AB0"/>
    <w:rsid w:val="7E76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Table Paragraph"/>
    <w:basedOn w:val="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2542</Words>
  <Characters>2590</Characters>
  <Lines>0</Lines>
  <Paragraphs>0</Paragraphs>
  <TotalTime>2</TotalTime>
  <ScaleCrop>false</ScaleCrop>
  <LinksUpToDate>false</LinksUpToDate>
  <CharactersWithSpaces>2615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2023-06-09T06:03:00Z</dcterms:created>
  <dc:creator>lenovo</dc:creator>
  <cp:lastModifiedBy>DELL</cp:lastModifiedBy>
  <cp:lastPrinted>2024-05-14T01:20:00Z</cp:lastPrinted>
  <dcterms:modified xsi:type="dcterms:W3CDTF">2024-09-13T09:51:37Z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F7DC7E1FA234495595DDD1EB9A1AF7F3_13</vt:lpwstr>
  </property>
</Properties>
</file>