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leftChars="0" w:firstLineChars="0"/>
        <w:textAlignment w:val="bottom"/>
        <w:rPr>
          <w:rFonts w:ascii="Times New Roman" w:eastAsia="黑体" w:hAnsi="Times New Roman" w:cs="Times New Roman" w:hint="default"/>
          <w:b w:val="0"/>
          <w:bCs w:val="0"/>
          <w:spacing w:val="20"/>
          <w:sz w:val="30"/>
          <w:szCs w:val="30"/>
          <w:lang w:eastAsia="zh-CN"/>
        </w:rPr>
      </w:pPr>
    </w:p>
    <w:p>
      <w:pPr>
        <w:spacing w:line="606" w:lineRule="exact"/>
        <w:jc w:val="center"/>
        <w:rPr>
          <w:rFonts w:ascii="Times New Roman" w:eastAsia="方正小标宋简体" w:hAnsi="Times New Roman" w:cs="Times New Roman" w:hint="default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Cs/>
          <w:spacing w:val="-11"/>
          <w:sz w:val="44"/>
          <w:szCs w:val="44"/>
        </w:rPr>
        <w:t>合水县2023年财政预算执行情况和2024年</w:t>
      </w:r>
      <w:r>
        <w:rPr>
          <w:rFonts w:ascii="Times New Roman" w:eastAsia="方正小标宋简体" w:hAnsi="Times New Roman" w:cs="Times New Roman" w:hint="default"/>
          <w:bCs/>
          <w:sz w:val="44"/>
          <w:szCs w:val="44"/>
        </w:rPr>
        <w:t>全县及县级财政预算草案的报告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outlineLvl w:val="9"/>
        <w:rPr>
          <w:rFonts w:ascii="Times New Roman" w:eastAsia="楷体_GB2312" w:hAnsi="Times New Roman" w:cs="Times New Roman" w:hint="default"/>
          <w:b w:val="0"/>
          <w:bCs w:val="0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outlineLvl w:val="9"/>
        <w:rPr>
          <w:rFonts w:ascii="Times New Roman" w:eastAsia="楷体" w:hAnsi="Times New Roman" w:cs="Times New Roman" w:hint="default"/>
          <w:b w:val="0"/>
          <w:bCs w:val="0"/>
          <w:i w:val="0"/>
          <w:caps w:val="0"/>
          <w:color w:val="auto"/>
          <w:spacing w:val="-1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eastAsia="楷体_GB2312" w:hAnsi="Times New Roman" w:cs="Times New Roman" w:hint="default"/>
          <w:b w:val="0"/>
          <w:bCs w:val="0"/>
          <w:i w:val="0"/>
          <w:caps w:val="0"/>
          <w:color w:val="auto"/>
          <w:spacing w:val="-17"/>
          <w:kern w:val="0"/>
          <w:sz w:val="32"/>
          <w:szCs w:val="32"/>
          <w:shd w:val="clear" w:color="auto" w:fill="FFFFFF"/>
          <w:lang w:val="en-US" w:eastAsia="zh-CN" w:bidi="ar"/>
        </w:rPr>
        <w:t>——</w:t>
      </w:r>
      <w:r>
        <w:rPr>
          <w:rFonts w:ascii="Times New Roman" w:eastAsia="楷体_GB2312" w:hAnsi="Times New Roman" w:cs="Times New Roman" w:hint="default"/>
          <w:b w:val="0"/>
          <w:bCs/>
          <w:spacing w:val="-17"/>
          <w:sz w:val="32"/>
          <w:szCs w:val="32"/>
          <w:lang w:val="en-US" w:eastAsia="zh-CN"/>
        </w:rPr>
        <w:t>2024年1月29日在合水县第十九届人民代表大会第三次会议上</w:t>
      </w:r>
    </w:p>
    <w:p>
      <w:pPr>
        <w:jc w:val="center"/>
        <w:rPr>
          <w:rFonts w:ascii="Times New Roman" w:hAnsi="Times New Roman" w:cs="Times New Roman" w:hint="default"/>
          <w:spacing w:val="0"/>
          <w:sz w:val="32"/>
          <w:szCs w:val="32"/>
        </w:rPr>
      </w:pPr>
      <w:r>
        <w:rPr>
          <w:rFonts w:ascii="Times New Roman" w:eastAsia="楷体_GB2312" w:hAnsi="Times New Roman" w:cs="Times New Roman" w:hint="default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合水县财政局局长  杜海坤</w:t>
      </w:r>
    </w:p>
    <w:p>
      <w:pPr>
        <w:spacing w:line="606" w:lineRule="exact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各位代表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受县人民政府委托，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现将2023年全县财政预算执行情况和2024年全县及县级财政预算（草案）报告如下，请予审议。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/>
        <w:rPr>
          <w:rFonts w:ascii="Times New Roman" w:eastAsia="黑体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/>
        <w:jc w:val="center"/>
        <w:rPr>
          <w:rFonts w:ascii="Times New Roman" w:eastAsia="黑体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2023年全县及县级财政预算执行情况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2023年，在县委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县政府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坚强领导和县人大、县政协的监督指导下，全县财政工作坚持稳中求进，稳中提质，切实履行财政职能，积极培植财源，狠抓收入征管，优化支出结构，强化资金监管，加强财政资源统筹，实施新的组合式税费支持政策，民生支出得到有效保障，各项改革有序推进，财政运行总体平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（一）一般公共预算执行情况。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全县一般公共预算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收入完成25317万元，占年初预算26900万元的94.12%，其中，税收收入完成12980万元，非税收入完成12337万元；全县一般公共预算支出完成218398万元，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分科目情况是：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一般公共服务支出32175万元；国防支出62万元；公共安全支出8169万元；教育支出40282万元；科学技术支出1642万元；文化旅游体育与传媒支出3165万元；社会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保障和就业支出31919万元；卫生健康支出20812万元；节能环保支出2730万元；城乡社区支出6411万元；农林水支出47810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元；交通运输支出4825万元；资源勘探工业信息等支出1041万元；商业服务业等支出356万元；金融支出1万元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；自然资源海洋气象等支出4588万元；住房保障支出5805万元；粮油物资储备支出349万元；灾害防治及应急管理支出2706万元；债务付息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支出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3509万元；债务发行费支出18万元；其他支出23万元。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（二）政府性基金预算执行情况。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全县政府性基金预算收入完成</w:t>
      </w:r>
      <w:r>
        <w:rPr>
          <w:rFonts w:ascii="Times New Roman" w:eastAsia="仿宋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37451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万元，占调整预算</w:t>
      </w:r>
      <w:r>
        <w:rPr>
          <w:rFonts w:ascii="Times New Roman" w:eastAsia="仿宋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37446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万元的100.01%，增长的主要原因是新增专项债券、上级下达专项基金、上年结余和调入资金等；支出完成238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万元，占调整预算37402万元的63.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（三）国有资本经营预算执行情况。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全县国有资本经营预算收入16万元，调入一般公共预算16万元，收支结余为零。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（四）社会保险基金预算执行情况。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全县社会保险基金收入24508万元；社保基金支出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26339万元；上年结余2979万元；年末滚存结余1148万元。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（五）全县政府债务情况。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2023年底，全县政府债务余额36.12亿元，较上年增加2.17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</w:t>
      </w:r>
      <w:r>
        <w:rPr>
          <w:rFonts w:ascii="Times New Roman" w:eastAsia="仿宋_GB2312" w:hAnsi="Times New Roman" w:cs="Times New Roman" w:hint="default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元，其中，当年新增政府债券</w:t>
      </w:r>
      <w:r>
        <w:rPr>
          <w:rFonts w:ascii="Times New Roman" w:eastAsia="仿宋_GB2312" w:hAnsi="Times New Roman" w:cs="Times New Roman" w:hint="default"/>
          <w:color w:val="000000" w:themeColor="text1"/>
          <w:spacing w:val="-1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4.1</w:t>
      </w:r>
      <w:r>
        <w:rPr>
          <w:rFonts w:ascii="Times New Roman" w:eastAsia="仿宋_GB2312" w:hAnsi="Times New Roman" w:cs="Times New Roman" w:hint="default"/>
          <w:color w:val="000000" w:themeColor="text1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eastAsia="仿宋_GB2312" w:hAnsi="Times New Roman" w:cs="Times New Roman" w:hint="default"/>
          <w:color w:val="000000" w:themeColor="text1"/>
          <w:spacing w:val="-1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（一般债券1.78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，专项债券2.36亿元）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，偿还债务1.9亿元。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回顾过去一年的财政工作，主要体现在以下几个方面：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一是主动作为，狠抓增收节支。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今年以来，县财政主抓收入支出管理，在全面落实“减税降费”、留抵退税政策的前提下，努力挖潜税源，防止税收外流，做到应收尽收。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一般公共预算收入完成25317万元，占任务26900万元的94.12%，同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比增长1.53%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一般公共预算支出完成218398万元，占任务224043万元的97.48%，同比增长15.66%。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二是多措并举，保障重点支出。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针对我县财政收支矛盾异常突出实际状况，先后12次向省厅、市局汇报我县财政支出困难，积极争取省级财政在转移支付和资金调度上给予大力支持，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取上级转移支付资金19.19亿元，拨付惠企利民和重大项目建设直达资金6.83亿元。争取第一批专项债券项目2个，到位资金0.47亿元；争取第二批专项债券资金1.74亿元。消化历年专项3.4亿元，化解历年教育专项资金4200万元，清欠民营企业账款398万元，解决板杨公路11户群众征地拆迁补助款200万元；切实兜牢“三保”底线，全年“三保”支出达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到14.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其中保工资8.05亿元、保运转0.43亿元、保民生5.7亿元，占一般公共预算支出的65%。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三是把牢关口，用好衔接资金。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加大县级财政对“三农”和乡村振兴投入力度，安排保障巩固脱贫攻坚成果及衔接推进乡村振兴资金25010万元（县级6000万元），整合行业涉农资金10495万元。衔接资金除质保金外支付率100%；天津资金下达4150万元，支付3962万元，支付率95.47%；彩票公益金下达4000万元，支付3706万元，支付率92.65%；整合涉农资金支出22659万元，支付率85%。达到省市考核序时支付要求。积极配合村镇银行、信用联社开展脱贫人口小额信贷回收转贷，</w:t>
      </w:r>
      <w:r>
        <w:rPr>
          <w:rFonts w:ascii="Times New Roman" w:eastAsia="仿宋_GB2312" w:hAnsi="Times New Roman" w:cs="Times New Roman" w:hint="default"/>
          <w:i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按季度拨付贴息资金。全县住房提升改造贷款今年收回</w:t>
      </w:r>
      <w:r>
        <w:rPr>
          <w:rFonts w:ascii="Times New Roman" w:eastAsia="仿宋_GB2312" w:hAnsi="Times New Roman" w:cs="Times New Roman" w:hint="default"/>
          <w:i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1245</w:t>
      </w:r>
      <w:r>
        <w:rPr>
          <w:rFonts w:ascii="Times New Roman" w:eastAsia="仿宋_GB2312" w:hAnsi="Times New Roman" w:cs="Times New Roman" w:hint="default"/>
          <w:iCs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四是统筹谋划，化解财政风险。</w:t>
      </w:r>
      <w:r>
        <w:rPr>
          <w:rFonts w:ascii="Times New Roman" w:eastAsia="仿宋_GB2312" w:hAnsi="Times New Roman" w:cs="Times New Roman" w:hint="default"/>
          <w:i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全县债务基数、综合债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率和隐性债务率依旧较高，县财政面临的还本付息压力仍然很大。县财政积极筹措资金化解历年债务，全年政府性债务还本付息3.11亿元、隐性债务还本付息1.6亿元。2023年底，全口径债务余额55.92亿元，债务率237.65%，较上年下降12个百分点；协助国有企业偿还债务本息3000万元；调整了高风险机构化险工作领导小组及办公室，充分发挥不良贷款自主清收工作专班作用，全力指导配合两家高风险机构开展清收化险，信用联社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各项指标达到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退高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。全年清收处置不良贷款10.28亿元，占年度任务的218.09%。</w:t>
      </w:r>
    </w:p>
    <w:p>
      <w:pPr>
        <w:pStyle w:val="Heading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2"/>
        <w:jc w:val="both"/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五是深化改革，规范财政运行。</w:t>
      </w:r>
      <w:r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根据县委、县政府主要领导批示精神，聚焦省财政厅安排部署的六项重点工作任务，开展了财经纪律自查和复查工作；年内接受市审计局2022年财政收支暨重大政策执行审计1次、全省10个县2022年财政预算绩效评价1次；以两办文件印发了《合水县关于进一步加强财会监督工作实施方案》；结合“三抓三促”行动，进一步简化财政支出流程，“优化营商环境”工作上红榜一次。举办了1期240人次的财政业务工作培训班和2期全面实施预算绩效管理改革专题业务培训会。全面完成财政一体化3.0系统更新改造并上线运行，完善了项目库，强化了预算管理。不断规范政府采购及投资评审行为，修订印发了政府采购、投资评审管理办法，审批政府采购104笔，采购规模14048.92</w:t>
      </w:r>
      <w:r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节约资</w:t>
      </w:r>
      <w:r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金74.12万元；委托评审建设项目544个，总造价104907万元，核减1496万元，核减率2.8%；印发了《金融服务实体经济百日攻坚行动实施方案》，组织召开获得信贷联席会4次，银政企对接会1次，银企对接会12次。全县各项存款余额99.93亿元，较年初增加10亿元，较去年同期增长11.3%；各项贷款余额40.39亿元，较年初增加1亿元，较去年同期增长2.57%；存贷比40.42%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黑体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代表，2023年，全县财政部门深入贯彻落实中央、省市县决策部署，准确把握财政工作大局，努力提升公共财政保障水平，各项重大政策得到有效落实，全县财政预算执行情况总体较好。这是县委、县政府坚强领导的结果，是县人大、县政协监督指导和各位代表关心支持的结果。与此同时，我们也清醒认识到，全县财政工作仍然存在一些困难和问题：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县域经济发展有待增强，税源结构单一，缺乏支撑性重点税源；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非税收入占比仍然较高，财政收入质量仍有待提高；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财政收入增长乏力，刚性支出不断增加，保工资、保运转、保民生压力仍然较大，财政收支矛盾依然突出；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债务偿还及不良贷款清收工作进入高峰期，财政资金十分吃紧，政府偿还到期债务本息面临的压力越来越大等等。对此，我们将高度重视，进一步增强忧患意识、创新意识、责任意识、服务意识和底线思维，在今后工作中积极采取有力措施，努力加以解决。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/>
        <w:textAlignment w:val="bottom"/>
        <w:rPr>
          <w:rFonts w:ascii="Times New Roman" w:eastAsia="黑体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ascii="Times New Roman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2024年全县及县级财政预算（草案）编制情况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/>
        <w:textAlignment w:val="bottom"/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Heading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 w:firstLineChars="200"/>
        <w:jc w:val="both"/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b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2024年，是全面贯彻落实党的二十大精神、是合水迈向高质量发展的关键之年，我们将认真贯彻学习党的二十大精神，立足“加快构建新发展格局、着力推动高质量发展”，充分认识当前和未来一个时期财政工作面临的新形势、新要求。在把握大局中自加压力，积极服务和融入新发展格局，全力缓解财政收支矛盾，做大可支配财力，以更严的作风、更实的举措、更硬的担当，推动各项财政工作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2024年，全县财政工作继续坚持稳中求进工作总基调，落实积极的财政政策，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总体思路是：</w:t>
      </w:r>
      <w:r>
        <w:rPr>
          <w:rFonts w:ascii="Times New Roman" w:eastAsia="楷体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举习近平新时代中国特色社会主义思想伟大旗帜，深入贯彻党的二十大精神，认真贯彻习近平总书记对甘肃重要讲话和指示精神，全面落实中央、省市县决策部署和县人大决议，充分发挥财政在资源配置、收入分配和宏观调控等方面的职能作用，统筹财政资源，进一步调整优化支出结构，坚持过紧日子，严控一般性支出，切实提高资金使用绩效，为推动合水高质量发展、人民共同富裕提供优质的财政服务和坚实的财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一般公共预算草案编制情况。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2024年，按照全县经济社会发展总体目标和战略部署，结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合经济运行形势和重点税源变化情况，本着积极稳妥的原则，建议2024年全县一般公共预算收入同口径增长8%，预算27400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万元；全县可用财力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191729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eastAsia="楷体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一般公共预算收入27400万元，上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级补助收入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129938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万元，调入政府性基金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32000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万元，上年结转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2391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eastAsia="楷体_GB2312" w:hAnsi="Times New Roman" w:cs="Times New Roman" w:hint="default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），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相应一般公共预算支出预计安排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91729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eastAsia="仿宋_GB2312" w:hAnsi="Times New Roman" w:cs="Times New Roman" w:hint="default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其中：人员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经费99879万元，占总支出的52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.09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%；公用经费7565万元，占总支出的3.9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%；专项经费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80147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万元，占总支出的41.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%；预备费支出4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万元，占总支出的2.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三公经费预算：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2024年全县三公经费预算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支出517.54万元，较上年三公经费预算支出519.35万元减少1.81万元，下降0.35%；其中：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因公出国（境）费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预算10万元（根据实际发生安排支出，具体以省市要求为准）；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公务用车运行维护费340.99万元、公务用车购置费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预算25万元；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公务接待费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141.56万元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40" w:firstLineChars="200"/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政府性基金预算草案编制情况。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2024年县级政府性基金收入预算55150万元，其中，国有土地使用权出让收入55000万元，基础设施配套费100万元，污水处理费收入50万元；结转结余154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  <w:r>
        <w:rPr>
          <w:rFonts w:ascii="Times New Roman" w:eastAsia="仿宋_GB2312" w:hAnsi="Times New Roman" w:cs="Times New Roman" w:hint="default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支出预算安排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582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firstLine="640" w:rightChars="0" w:firstLineChars="200"/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国有资本经营预算草案编制情况。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根据下达情况，年终在决算中汇报。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40" w:rightChars="0" w:firstLineChars="200"/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社会保险基金预算草案编制情况。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2024年全县社会保险基金总收入预算39846万元，上年结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余3728万元，总支出预算38911万元，年末滚存结余4663万元。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" w:firstLine="640" w:leftChars="0" w:firstLineChars="200"/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全县政府债务还本付息情况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640" w:rightChars="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2024年预计政府债务还本付息约5.85亿元，其中，政府性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债务3.65亿元，政府隐性债务2.2亿元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2024年，全县财政工作将继续按照县委、县政府的总体部署和要求，聚焦重点、精准发力、统筹兼顾、扎实推进，主要做好以下六个方面的重点工作：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积极培植财源夯实财政基础。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做大主体财源，不折不扣落实党中央、国务院关于减税降费、留抵退税的决策部署，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进一步优化营商环境，加大招商力度，加快土地出让进度，发挥闲置土地作用。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综合运用财政贴息、信贷融资等方式加大政策引导和资金扶持，支持地方工业和小微企业健康发展，夯实基础财源，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全县上下紧紧围绕财政一般公共预算收入目标任务，加大税收征管，做到“应收尽收、应退尽退”。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综合治税力度，加强行业税源管理、税源调研和经济形势研判。走访调查摸底重点税源户，主动上门服务，帮助企业解决实际困难，努力增加税收收入。严格非税收入管理，加大闲置资产处置力度，努力完成全年收入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二是全力以赴争取更多财力支持。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研判全县财政形势，客观分析财力结构，准确掌握全省资金投入导向，积极争取转移支付支持和倾斜，特别是要在均衡性转移支付、县级基本财力保障和石油税收返还等财力性补助上做足文章，下大力气争取，提高县财政的保障能力。全县上下立足本行业的工作实际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密切关注中、省投资导向，加大项目前期经费保障力度，支持项目论证储备，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时刻关注中央和省、市的政策动向，全面谋划筹备项目，积极沟通衔接，加强跟踪协调，千万百计争取上级项目支持资金最大化，主动争取一批投资规模大、科技含量高、带动能力强的重大项目，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有效保障重大项目建设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切实提高全县的综合财力。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预计全年争取各类转移支付18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亿元以上，其中，均衡性等财力性转移支付11亿元以上，共同事权转移支付4.5亿元以上，专项转移支付1.5亿元以上，中央预算内投资1亿元以上。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三是优化支出结构增强保障能力。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量力而行、统筹兼顾和保基本、兜底线原则，兼顾当前和长远发展，大力压减一般性支出，降低公务运行成本，进一步强化勤俭办事、过紧日子思想，继续把“三保”作为首要政治任务和必须坚守的底线，进一步优化支出</w:t>
      </w:r>
      <w:r>
        <w:rPr>
          <w:rFonts w:ascii="Times New Roman" w:eastAsia="仿宋_GB2312" w:hAnsi="Times New Roman" w:cs="Times New Roman" w:hint="default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结构，统筹安排使用增量资金与存量资金、财政拨款与非财政拨款，确保全县经济社会平稳健康发展。进一步提高政治站位，切实把思想和行动统一到党中央、国务院决策部署上来，形成齐抓共管合力，打好本单位的“铁算盘”，当好本单位的“铁公鸡”，坚持开源节流的基本原则，切实将过紧日子落到实处，确保有限财力有力保障民生支出和重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四是科学编制预算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绩效水平。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立足县情实际，充分认识当前和未来一个时期财政工作面临的新形势、新要求，全力缓解财政收支矛盾，做大财力，优化支出结构，树立“过紧日子”思想，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依据规范的程序和方法编制预算，提高细化程度。要将落实党中央、国务院、省委、省政府、市委、市政府的重大决策部署及县委、县政府工作要求作为年度预算编制的首要任务，加强对国家和省上重大战略任务、省市县发展规划和重点工作任务的财力保障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按照“谁申请资金、谁设定目标、谁负责落实”的原则，加快推动行业、领域绩效体系建设，提升绩效目标管理的科学化、标准化水平。推动绩效评价结果与预算安排实质性挂钩，切实做到有效才安排，低效要削减，无效要问责，进一步凸显预算绩效管理的刚性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多措并举</w:t>
      </w: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有效防范债务风险。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债务风险化解将成为今后财政工作的重点和难点。为此，县财政将积极争取上级转移支付，增加本级财政收入和土地出让收入，贯彻落实《合水县防范化解政府债务和隐性债务风险实施方案》，通过“过紧日子”，处置资产资源等方式，积极筹措化债资金。加快专项债项目实施进度，积极谋划项目运营管理，提高项目收益，全力保障化债资金，降低债务风险。进一步加大地方金融机构监管力度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全力完成2024年不良贷款清收、扶贫小额信贷贴息及到期回收和住房提升贷款回收工作。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楷体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六是全面提高依法理财能力水平。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牢固树立依法理财意识，严格执行《预算法》《甘肃省预算审批监督条例》，自觉接受县人大、县政协和社会各方面监督。进一步加强财政专户、预算单位实有账户资金监管。建立健全县属国有企业的运营管理制度，减轻财政负担，实现扭亏为盈，真正发挥国有企业对全县城乡建设、交通、资源开发的支柱作用。加强财务人员培训，计划年内举办财会人员培训班1期300人（次）。定期举办政银企对接会和银企专场对接会，加大贷款投放力度，做大分母、对冲不良，增强企业信贷获得感。加强绩效评价管理结果运用，全面提高依法理财的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各位代表，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财政工作形势依然严峻复杂，面临的挑战将前所未有，做好财政工作任务更加艰巨、责任更加重大。我们将以习近平新时代中国特色社会主义思想为指导，在县委、县政府的坚强领导下，在县人大及其常委会依法监督和关心支持下，认真听取县政协意见和建议，围绕全县中心工作，坚定信心、咬定目标、统筹安排、真抓实干，全力完成既定的目标任务，为全县经济社会发展提供财力支持，贡献财政力量！</w:t>
      </w:r>
    </w:p>
    <w:sectPr>
      <w:footerReference w:type="default" r:id="rId5"/>
      <w:pgSz w:w="11906" w:h="16838"/>
      <w:pgMar w:top="1587" w:right="1587" w:bottom="1587" w:left="1587" w:header="851" w:footer="992" w:gutter="0"/>
      <w:pgNumType w:fmt="decimal" w:start="1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-16.5pt;margin-left:0;mso-height-relative:page;mso-position-horizontal:outside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ED1B90"/>
    <w:multiLevelType w:val="singleLevel"/>
    <w:tmpl w:val="DDED1B90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949DA"/>
    <w:rsid w:val="01151C9E"/>
    <w:rsid w:val="02B216E5"/>
    <w:rsid w:val="03D81C62"/>
    <w:rsid w:val="054C47A5"/>
    <w:rsid w:val="05D76125"/>
    <w:rsid w:val="06D25D4A"/>
    <w:rsid w:val="0B341303"/>
    <w:rsid w:val="0CA83388"/>
    <w:rsid w:val="0E5142A8"/>
    <w:rsid w:val="1412283A"/>
    <w:rsid w:val="1689403E"/>
    <w:rsid w:val="1736226D"/>
    <w:rsid w:val="17E15185"/>
    <w:rsid w:val="1B5222D8"/>
    <w:rsid w:val="1BAE5E7D"/>
    <w:rsid w:val="1CC76BB7"/>
    <w:rsid w:val="1DD86D14"/>
    <w:rsid w:val="238B28FE"/>
    <w:rsid w:val="23CE63C6"/>
    <w:rsid w:val="26CB1D3E"/>
    <w:rsid w:val="2964062C"/>
    <w:rsid w:val="2CC66F08"/>
    <w:rsid w:val="2F0F103A"/>
    <w:rsid w:val="31EA736A"/>
    <w:rsid w:val="35D01D25"/>
    <w:rsid w:val="3AB63D87"/>
    <w:rsid w:val="3CE87B14"/>
    <w:rsid w:val="3F26296F"/>
    <w:rsid w:val="3F3F34F1"/>
    <w:rsid w:val="41B143B1"/>
    <w:rsid w:val="448C5EAF"/>
    <w:rsid w:val="453411E9"/>
    <w:rsid w:val="48904B42"/>
    <w:rsid w:val="55360DA4"/>
    <w:rsid w:val="56DA5425"/>
    <w:rsid w:val="577C335A"/>
    <w:rsid w:val="586542BE"/>
    <w:rsid w:val="58B37D45"/>
    <w:rsid w:val="5A666BB9"/>
    <w:rsid w:val="5B914A01"/>
    <w:rsid w:val="5EDF77C6"/>
    <w:rsid w:val="5F3B3DAF"/>
    <w:rsid w:val="636349C1"/>
    <w:rsid w:val="65C9123C"/>
    <w:rsid w:val="681A7FDD"/>
    <w:rsid w:val="6BD16BCB"/>
    <w:rsid w:val="6BDD159D"/>
    <w:rsid w:val="6F782352"/>
    <w:rsid w:val="70BB7D85"/>
    <w:rsid w:val="73673EE6"/>
    <w:rsid w:val="74213D82"/>
    <w:rsid w:val="7CED73BF"/>
    <w:rsid w:val="7D171F10"/>
    <w:rsid w:val="7EF53226"/>
  </w:rsids>
  <w:docVars>
    <w:docVar w:name="commondata" w:val="eyJoZGlkIjoiYjMyNDY2MzBkNDM5Zjg5NGZlYThjZjY4NTQzMjk5OWM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 w:qFormat="1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autoRedefine/>
    <w:qFormat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="Times New Roman" w:eastAsia="宋体" w:hAnsi="Times New Roman" w:cs="Times New Roman"/>
    </w:rPr>
  </w:style>
  <w:style w:type="paragraph" w:styleId="Heading1">
    <w:name w:val="heading 1"/>
    <w:basedOn w:val="Normal"/>
    <w:next w:val="Normal"/>
    <w:autoRedefine/>
    <w:qFormat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eastAsia="黑体" w:hAnsi="Arial"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qFormat/>
    <w:pPr>
      <w:spacing w:after="120"/>
    </w:pPr>
  </w:style>
  <w:style w:type="paragraph" w:styleId="Index5">
    <w:name w:val="index 5"/>
    <w:basedOn w:val="Normal"/>
    <w:next w:val="Normal"/>
    <w:autoRedefine/>
    <w:qFormat/>
    <w:pPr>
      <w:ind w:left="1680"/>
    </w:pPr>
  </w:style>
  <w:style w:type="paragraph" w:styleId="BodyTextIndent2">
    <w:name w:val="Body Text Indent 2"/>
    <w:basedOn w:val="Normal"/>
    <w:next w:val="Index5"/>
    <w:autoRedefine/>
    <w:qFormat/>
    <w:pPr>
      <w:spacing w:after="120" w:line="480" w:lineRule="auto"/>
      <w:ind w:left="420" w:leftChars="200"/>
    </w:p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Title">
    <w:name w:val="Title"/>
    <w:basedOn w:val="Normal"/>
    <w:next w:val="Normal"/>
    <w:autoRedefine/>
    <w:qFormat/>
    <w:pPr>
      <w:spacing w:before="209" w:beforeLines="0" w:after="209" w:afterLines="0" w:line="0" w:lineRule="atLeast"/>
      <w:ind w:firstLine="0" w:firstLineChars="0"/>
      <w:jc w:val="center"/>
    </w:pPr>
    <w:rPr>
      <w:rFonts w:ascii="Arial" w:eastAsia="黑体" w:hAnsi="Arial"/>
      <w:sz w:val="52"/>
    </w:rPr>
  </w:style>
  <w:style w:type="paragraph" w:customStyle="1" w:styleId="p0">
    <w:name w:val="p0"/>
    <w:basedOn w:val="Normal"/>
    <w:autoRedefine/>
    <w:qFormat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293</Characters>
  <Application>Microsoft Office Word</Application>
  <DocSecurity>0</DocSecurity>
  <Lines>0</Lines>
  <Paragraphs>0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d001</cp:lastModifiedBy>
  <cp:revision>0</cp:revision>
  <cp:lastPrinted>2024-01-26T05:12:00Z</cp:lastPrinted>
  <dcterms:created xsi:type="dcterms:W3CDTF">2014-10-29T12:08:00Z</dcterms:created>
  <dcterms:modified xsi:type="dcterms:W3CDTF">2024-03-14T03:07:12Z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BFF4EF585CFB433D848CA42441CC8173_13</vt:lpwstr>
  </property>
  <property fmtid="{D5CDD505-2E9C-101B-9397-08002B2CF9AE}" pid="3" name="KSOProductBuildVer">
    <vt:lpwstr>2052-12.1.0.16388</vt:lpwstr>
  </property>
</Properties>
</file>