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firstLine="720" w:firstLineChars="200"/>
        <w:jc w:val="center"/>
        <w:textAlignment w:val="auto"/>
        <w:rPr>
          <w:rFonts w:hint="eastAsia"/>
          <w:sz w:val="36"/>
          <w:szCs w:val="32"/>
          <w:lang w:val="zh-CN"/>
        </w:rPr>
      </w:pPr>
      <w:r>
        <w:rPr>
          <w:rFonts w:hint="eastAsia"/>
          <w:sz w:val="36"/>
          <w:szCs w:val="32"/>
          <w:lang w:val="zh-CN"/>
        </w:rPr>
        <w:t>合水县何家畔九年制学校整体支出</w:t>
      </w:r>
    </w:p>
    <w:p>
      <w:pPr>
        <w:keepNext w:val="0"/>
        <w:keepLines w:val="0"/>
        <w:pageBreakBefore w:val="0"/>
        <w:widowControl/>
        <w:kinsoku/>
        <w:wordWrap/>
        <w:overflowPunct/>
        <w:topLinePunct w:val="0"/>
        <w:autoSpaceDE/>
        <w:autoSpaceDN/>
        <w:bidi w:val="0"/>
        <w:adjustRightInd/>
        <w:snapToGrid/>
        <w:spacing w:line="360" w:lineRule="auto"/>
        <w:ind w:left="0" w:leftChars="0" w:firstLine="720" w:firstLineChars="200"/>
        <w:jc w:val="center"/>
        <w:textAlignment w:val="auto"/>
        <w:rPr>
          <w:rFonts w:hint="default"/>
          <w:sz w:val="36"/>
          <w:szCs w:val="32"/>
          <w:lang w:val="en-US"/>
        </w:rPr>
      </w:pPr>
      <w:r>
        <w:rPr>
          <w:rFonts w:hint="eastAsia"/>
          <w:sz w:val="36"/>
          <w:szCs w:val="32"/>
          <w:lang w:val="zh-CN"/>
        </w:rPr>
        <w:t>绩效自评报告</w:t>
      </w:r>
    </w:p>
    <w:p>
      <w:pPr>
        <w:keepNext w:val="0"/>
        <w:keepLines w:val="0"/>
        <w:pageBreakBefore w:val="0"/>
        <w:widowControl/>
        <w:kinsoku/>
        <w:wordWrap/>
        <w:overflowPunct/>
        <w:topLinePunct w:val="0"/>
        <w:autoSpaceDE/>
        <w:autoSpaceDN/>
        <w:bidi w:val="0"/>
        <w:adjustRightInd/>
        <w:snapToGrid/>
        <w:spacing w:line="360" w:lineRule="auto"/>
        <w:ind w:left="0" w:leftChars="0" w:firstLine="720" w:firstLineChars="200"/>
        <w:jc w:val="center"/>
        <w:textAlignment w:val="auto"/>
        <w:rPr>
          <w:rFonts w:hint="eastAsia"/>
          <w:sz w:val="36"/>
          <w:szCs w:val="32"/>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720" w:firstLineChars="200"/>
        <w:jc w:val="center"/>
        <w:textAlignment w:val="auto"/>
        <w:rPr>
          <w:rFonts w:hint="eastAsia"/>
          <w:sz w:val="36"/>
          <w:szCs w:val="32"/>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720" w:firstLineChars="200"/>
        <w:jc w:val="center"/>
        <w:textAlignment w:val="auto"/>
        <w:rPr>
          <w:rFonts w:hint="default"/>
          <w:sz w:val="36"/>
          <w:szCs w:val="32"/>
          <w:lang w:val="en-US"/>
        </w:rPr>
      </w:pPr>
      <w:r>
        <w:rPr>
          <w:rFonts w:hint="eastAsia"/>
          <w:sz w:val="36"/>
          <w:szCs w:val="32"/>
          <w:lang w:val="zh-CN"/>
        </w:rPr>
        <w:t>评价类型</w:t>
      </w:r>
      <w:r>
        <w:rPr>
          <w:rFonts w:hint="default"/>
          <w:sz w:val="36"/>
          <w:szCs w:val="32"/>
          <w:lang w:val="en-US"/>
        </w:rPr>
        <w:t>:</w:t>
      </w:r>
      <w:r>
        <w:rPr>
          <w:rFonts w:hint="eastAsia"/>
          <w:sz w:val="36"/>
          <w:szCs w:val="32"/>
          <w:lang w:val="zh-CN"/>
        </w:rPr>
        <w:t>单位整体自评</w:t>
      </w:r>
    </w:p>
    <w:p>
      <w:pPr>
        <w:keepNext w:val="0"/>
        <w:keepLines w:val="0"/>
        <w:pageBreakBefore w:val="0"/>
        <w:widowControl/>
        <w:kinsoku/>
        <w:wordWrap/>
        <w:overflowPunct/>
        <w:topLinePunct w:val="0"/>
        <w:autoSpaceDE/>
        <w:autoSpaceDN/>
        <w:bidi w:val="0"/>
        <w:adjustRightInd/>
        <w:snapToGrid/>
        <w:spacing w:line="360" w:lineRule="auto"/>
        <w:ind w:left="0" w:leftChars="0" w:firstLine="720" w:firstLineChars="200"/>
        <w:jc w:val="center"/>
        <w:textAlignment w:val="auto"/>
        <w:rPr>
          <w:rFonts w:hint="eastAsia"/>
          <w:sz w:val="36"/>
          <w:szCs w:val="32"/>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720" w:firstLineChars="200"/>
        <w:jc w:val="center"/>
        <w:textAlignment w:val="auto"/>
        <w:rPr>
          <w:rFonts w:hint="eastAsia"/>
          <w:sz w:val="36"/>
          <w:szCs w:val="32"/>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720" w:firstLineChars="200"/>
        <w:jc w:val="center"/>
        <w:textAlignment w:val="auto"/>
        <w:rPr>
          <w:rFonts w:hint="eastAsia"/>
          <w:sz w:val="36"/>
          <w:szCs w:val="32"/>
          <w:lang w:val="zh-CN"/>
        </w:rPr>
      </w:pPr>
      <w:r>
        <w:rPr>
          <w:rFonts w:hint="eastAsia"/>
          <w:sz w:val="36"/>
          <w:szCs w:val="32"/>
          <w:lang w:val="zh-CN"/>
        </w:rPr>
        <w:t>主管部门</w:t>
      </w:r>
      <w:r>
        <w:rPr>
          <w:rFonts w:hint="eastAsia"/>
          <w:sz w:val="36"/>
          <w:szCs w:val="32"/>
          <w:lang w:val="en-US" w:eastAsia="zh-CN"/>
        </w:rPr>
        <w:t>：</w:t>
      </w:r>
      <w:r>
        <w:rPr>
          <w:rFonts w:hint="eastAsia"/>
          <w:sz w:val="36"/>
          <w:szCs w:val="32"/>
          <w:lang w:val="zh-CN"/>
        </w:rPr>
        <w:t>合水县教育体育局</w:t>
      </w:r>
    </w:p>
    <w:p>
      <w:pPr>
        <w:keepNext w:val="0"/>
        <w:keepLines w:val="0"/>
        <w:pageBreakBefore w:val="0"/>
        <w:widowControl/>
        <w:kinsoku/>
        <w:wordWrap/>
        <w:overflowPunct/>
        <w:topLinePunct w:val="0"/>
        <w:autoSpaceDE/>
        <w:autoSpaceDN/>
        <w:bidi w:val="0"/>
        <w:adjustRightInd/>
        <w:snapToGrid/>
        <w:spacing w:line="360" w:lineRule="auto"/>
        <w:ind w:left="0" w:leftChars="0" w:firstLine="720" w:firstLineChars="200"/>
        <w:jc w:val="center"/>
        <w:textAlignment w:val="auto"/>
        <w:rPr>
          <w:rFonts w:hint="eastAsia"/>
          <w:sz w:val="36"/>
          <w:szCs w:val="32"/>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720" w:firstLineChars="200"/>
        <w:jc w:val="center"/>
        <w:textAlignment w:val="auto"/>
        <w:rPr>
          <w:rFonts w:hint="eastAsia"/>
          <w:sz w:val="36"/>
          <w:szCs w:val="32"/>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720" w:firstLineChars="200"/>
        <w:jc w:val="center"/>
        <w:textAlignment w:val="auto"/>
        <w:rPr>
          <w:rFonts w:hint="default"/>
          <w:sz w:val="36"/>
          <w:szCs w:val="32"/>
          <w:lang w:val="en-US"/>
        </w:rPr>
      </w:pPr>
      <w:r>
        <w:rPr>
          <w:rFonts w:hint="eastAsia"/>
          <w:sz w:val="36"/>
          <w:szCs w:val="32"/>
          <w:lang w:val="zh-CN"/>
        </w:rPr>
        <w:t>单位名称</w:t>
      </w:r>
      <w:r>
        <w:rPr>
          <w:rFonts w:hint="eastAsia"/>
          <w:sz w:val="36"/>
          <w:szCs w:val="32"/>
          <w:lang w:val="en-US" w:eastAsia="zh-CN"/>
        </w:rPr>
        <w:t>：</w:t>
      </w:r>
      <w:r>
        <w:rPr>
          <w:rFonts w:hint="eastAsia"/>
          <w:sz w:val="36"/>
          <w:szCs w:val="32"/>
          <w:lang w:val="zh-CN"/>
        </w:rPr>
        <w:t>合水县何家畔九年制学校</w:t>
      </w:r>
    </w:p>
    <w:p>
      <w:pPr>
        <w:keepNext w:val="0"/>
        <w:keepLines w:val="0"/>
        <w:pageBreakBefore w:val="0"/>
        <w:widowControl/>
        <w:kinsoku/>
        <w:wordWrap/>
        <w:overflowPunct/>
        <w:topLinePunct w:val="0"/>
        <w:autoSpaceDE/>
        <w:autoSpaceDN/>
        <w:bidi w:val="0"/>
        <w:adjustRightInd/>
        <w:snapToGrid/>
        <w:spacing w:line="360" w:lineRule="auto"/>
        <w:ind w:left="0" w:leftChars="0" w:firstLine="720" w:firstLineChars="200"/>
        <w:jc w:val="center"/>
        <w:textAlignment w:val="auto"/>
        <w:rPr>
          <w:rFonts w:hint="eastAsia"/>
          <w:sz w:val="36"/>
          <w:szCs w:val="32"/>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720" w:firstLineChars="200"/>
        <w:jc w:val="center"/>
        <w:textAlignment w:val="auto"/>
        <w:rPr>
          <w:rFonts w:hint="eastAsia"/>
          <w:sz w:val="36"/>
          <w:szCs w:val="32"/>
          <w:lang w:val="zh-CN"/>
        </w:rPr>
      </w:pPr>
      <w:r>
        <w:rPr>
          <w:rFonts w:hint="eastAsia"/>
          <w:sz w:val="36"/>
          <w:szCs w:val="32"/>
          <w:lang w:val="zh-CN"/>
        </w:rPr>
        <w:t>评价方式</w:t>
      </w:r>
      <w:r>
        <w:rPr>
          <w:rFonts w:hint="default"/>
          <w:sz w:val="36"/>
          <w:szCs w:val="32"/>
          <w:lang w:val="en-US"/>
        </w:rPr>
        <w:t>:</w:t>
      </w:r>
      <w:r>
        <w:rPr>
          <w:rFonts w:hint="eastAsia"/>
          <w:sz w:val="36"/>
          <w:szCs w:val="32"/>
          <w:lang w:val="zh-CN"/>
        </w:rPr>
        <w:t>自评</w:t>
      </w:r>
    </w:p>
    <w:p>
      <w:pPr>
        <w:keepNext w:val="0"/>
        <w:keepLines w:val="0"/>
        <w:pageBreakBefore w:val="0"/>
        <w:widowControl/>
        <w:kinsoku/>
        <w:wordWrap/>
        <w:overflowPunct/>
        <w:topLinePunct w:val="0"/>
        <w:autoSpaceDE/>
        <w:autoSpaceDN/>
        <w:bidi w:val="0"/>
        <w:adjustRightInd/>
        <w:snapToGrid/>
        <w:spacing w:line="360" w:lineRule="auto"/>
        <w:ind w:left="0" w:leftChars="0" w:firstLine="720" w:firstLineChars="200"/>
        <w:jc w:val="center"/>
        <w:textAlignment w:val="auto"/>
        <w:rPr>
          <w:rFonts w:hint="default"/>
          <w:sz w:val="36"/>
          <w:szCs w:val="32"/>
          <w:lang w:val="en-US"/>
        </w:rPr>
      </w:pPr>
    </w:p>
    <w:p>
      <w:pPr>
        <w:keepNext w:val="0"/>
        <w:keepLines w:val="0"/>
        <w:pageBreakBefore w:val="0"/>
        <w:widowControl/>
        <w:kinsoku/>
        <w:wordWrap/>
        <w:overflowPunct/>
        <w:topLinePunct w:val="0"/>
        <w:autoSpaceDE/>
        <w:autoSpaceDN/>
        <w:bidi w:val="0"/>
        <w:adjustRightInd/>
        <w:snapToGrid/>
        <w:spacing w:line="360" w:lineRule="auto"/>
        <w:ind w:left="0" w:leftChars="0" w:firstLine="720" w:firstLineChars="200"/>
        <w:jc w:val="center"/>
        <w:textAlignment w:val="auto"/>
        <w:rPr>
          <w:rFonts w:hint="default"/>
          <w:sz w:val="36"/>
          <w:szCs w:val="32"/>
          <w:lang w:val="en-US"/>
        </w:rPr>
      </w:pPr>
    </w:p>
    <w:p>
      <w:pPr>
        <w:keepNext w:val="0"/>
        <w:keepLines w:val="0"/>
        <w:pageBreakBefore w:val="0"/>
        <w:widowControl/>
        <w:kinsoku/>
        <w:wordWrap/>
        <w:overflowPunct/>
        <w:topLinePunct w:val="0"/>
        <w:autoSpaceDE/>
        <w:autoSpaceDN/>
        <w:bidi w:val="0"/>
        <w:adjustRightInd/>
        <w:snapToGrid/>
        <w:spacing w:line="360" w:lineRule="auto"/>
        <w:ind w:left="0" w:leftChars="0" w:firstLine="720" w:firstLineChars="200"/>
        <w:jc w:val="center"/>
        <w:textAlignment w:val="auto"/>
        <w:rPr>
          <w:rFonts w:hint="default"/>
          <w:sz w:val="36"/>
          <w:szCs w:val="32"/>
          <w:lang w:val="en-US"/>
        </w:rPr>
      </w:pPr>
    </w:p>
    <w:p>
      <w:pPr>
        <w:keepNext w:val="0"/>
        <w:keepLines w:val="0"/>
        <w:pageBreakBefore w:val="0"/>
        <w:widowControl/>
        <w:kinsoku/>
        <w:wordWrap/>
        <w:overflowPunct/>
        <w:topLinePunct w:val="0"/>
        <w:autoSpaceDE/>
        <w:autoSpaceDN/>
        <w:bidi w:val="0"/>
        <w:adjustRightInd/>
        <w:snapToGrid/>
        <w:spacing w:line="360" w:lineRule="auto"/>
        <w:ind w:left="0" w:leftChars="0" w:firstLine="720" w:firstLineChars="200"/>
        <w:jc w:val="both"/>
        <w:textAlignment w:val="auto"/>
        <w:rPr>
          <w:rFonts w:hint="eastAsia"/>
          <w:sz w:val="36"/>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720" w:firstLineChars="200"/>
        <w:jc w:val="center"/>
        <w:textAlignment w:val="auto"/>
        <w:rPr>
          <w:rFonts w:hint="eastAsia"/>
          <w:sz w:val="36"/>
          <w:szCs w:val="32"/>
          <w:lang w:val="en-US" w:eastAsia="zh-CN"/>
        </w:rPr>
      </w:pPr>
      <w:r>
        <w:rPr>
          <w:rFonts w:hint="eastAsia"/>
          <w:sz w:val="36"/>
          <w:szCs w:val="32"/>
          <w:lang w:val="en-US" w:eastAsia="zh-CN"/>
        </w:rPr>
        <w:t>报告日期： 202</w:t>
      </w:r>
      <w:r>
        <w:rPr>
          <w:rFonts w:hint="eastAsia" w:eastAsia="MS Mincho"/>
          <w:sz w:val="36"/>
          <w:szCs w:val="32"/>
          <w:lang w:val="en-US" w:eastAsia="ja-JP"/>
        </w:rPr>
        <w:t>3</w:t>
      </w:r>
      <w:r>
        <w:rPr>
          <w:rFonts w:hint="eastAsia"/>
          <w:sz w:val="36"/>
          <w:szCs w:val="32"/>
          <w:lang w:val="en-US" w:eastAsia="zh-CN"/>
        </w:rPr>
        <w:t>年03 月01 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仿宋" w:hAnsi="仿宋" w:eastAsia="仿宋" w:cs="仿宋"/>
          <w:i w:val="0"/>
          <w:iCs w:val="0"/>
          <w:caps w:val="0"/>
          <w:color w:val="333333"/>
          <w:spacing w:val="0"/>
          <w:sz w:val="28"/>
          <w:szCs w:val="28"/>
          <w:shd w:val="clear" w:fill="FFFFFF"/>
          <w:lang w:val="en-US" w:eastAsia="zh-CN"/>
        </w:rPr>
        <w:sectPr>
          <w:pgSz w:w="11906" w:h="16838"/>
          <w:pgMar w:top="1440" w:right="1800" w:bottom="1440" w:left="1800" w:header="851" w:footer="992" w:gutter="0"/>
          <w:cols w:space="425"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为进一步规范财政资金管理，牢固树立预算绩效理念，强化支出责任，提高财政资金使用效率，结合我校实际情况，认真组织开展了202</w:t>
      </w:r>
      <w:r>
        <w:rPr>
          <w:rFonts w:hint="eastAsia" w:eastAsia="MS Mincho" w:asciiTheme="majorEastAsia" w:hAnsiTheme="majorEastAsia" w:cstheme="majorEastAsia"/>
          <w:i w:val="0"/>
          <w:iCs w:val="0"/>
          <w:caps w:val="0"/>
          <w:color w:val="333333"/>
          <w:spacing w:val="0"/>
          <w:sz w:val="28"/>
          <w:szCs w:val="28"/>
          <w:shd w:val="clear" w:fill="FFFFFF"/>
          <w:lang w:val="en-US" w:eastAsia="ja-JP"/>
        </w:rPr>
        <w:t>2</w:t>
      </w: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年度部门预算绩效自评工作，现将我校202</w:t>
      </w:r>
      <w:r>
        <w:rPr>
          <w:rFonts w:hint="eastAsia" w:eastAsia="MS Mincho" w:asciiTheme="majorEastAsia" w:hAnsiTheme="majorEastAsia" w:cstheme="majorEastAsia"/>
          <w:i w:val="0"/>
          <w:iCs w:val="0"/>
          <w:caps w:val="0"/>
          <w:color w:val="333333"/>
          <w:spacing w:val="0"/>
          <w:sz w:val="28"/>
          <w:szCs w:val="28"/>
          <w:shd w:val="clear" w:fill="FFFFFF"/>
          <w:lang w:val="en-US" w:eastAsia="ja-JP"/>
        </w:rPr>
        <w:t>2</w:t>
      </w: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年度部门整体支出绩效评价情况报告如下：</w:t>
      </w:r>
    </w:p>
    <w:p>
      <w:pPr>
        <w:pStyle w:val="3"/>
        <w:pageBreakBefore w:val="0"/>
        <w:kinsoku/>
        <w:wordWrap/>
        <w:overflowPunct/>
        <w:topLinePunct w:val="0"/>
        <w:autoSpaceDE/>
        <w:autoSpaceDN/>
        <w:bidi w:val="0"/>
        <w:snapToGrid/>
        <w:spacing w:line="360" w:lineRule="auto"/>
        <w:ind w:firstLine="482" w:firstLineChars="200"/>
        <w:textAlignment w:val="auto"/>
        <w:rPr>
          <w:rFonts w:hint="eastAsia"/>
          <w:sz w:val="24"/>
          <w:szCs w:val="16"/>
        </w:rPr>
      </w:pPr>
      <w:r>
        <w:rPr>
          <w:rFonts w:hint="eastAsia"/>
          <w:sz w:val="24"/>
          <w:szCs w:val="16"/>
        </w:rPr>
        <w:t>一、部门基本情况</w:t>
      </w:r>
    </w:p>
    <w:p>
      <w:pPr>
        <w:pStyle w:val="4"/>
        <w:pageBreakBefore w:val="0"/>
        <w:kinsoku/>
        <w:wordWrap/>
        <w:overflowPunct/>
        <w:topLinePunct w:val="0"/>
        <w:autoSpaceDE/>
        <w:autoSpaceDN/>
        <w:bidi w:val="0"/>
        <w:snapToGrid/>
        <w:spacing w:line="360" w:lineRule="auto"/>
        <w:ind w:firstLine="560" w:firstLineChars="200"/>
        <w:textAlignment w:val="auto"/>
        <w:rPr>
          <w:rFonts w:hint="eastAsia"/>
          <w:b w:val="0"/>
          <w:bCs/>
          <w:sz w:val="28"/>
          <w:szCs w:val="22"/>
        </w:rPr>
      </w:pPr>
      <w:r>
        <w:rPr>
          <w:rFonts w:hint="eastAsia"/>
          <w:b w:val="0"/>
          <w:bCs/>
          <w:sz w:val="28"/>
          <w:szCs w:val="22"/>
        </w:rPr>
        <w:t>（一）职能职责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333333"/>
          <w:spacing w:val="0"/>
          <w:sz w:val="28"/>
          <w:szCs w:val="28"/>
          <w:shd w:val="clear" w:fill="FFFFFF"/>
        </w:rPr>
        <w:t>1.认真贯彻执行党的教育方针政策，严格遵守《教师行为规范》和我校的各项规章制度。始终明确贯彻国家的教育方针，政策及国家相关的法律法规；实施小学素质教育，按照规定标准完成教育教学任务，提高教育教学质量，促进学生全面发展；加强安全和后勤服务工作，为教育教学提供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333333"/>
          <w:spacing w:val="0"/>
          <w:sz w:val="28"/>
          <w:szCs w:val="28"/>
          <w:shd w:val="clear" w:fill="FFFFFF"/>
        </w:rPr>
        <w:t>2.全面负责学校工作，认真贯彻落实党和国家的方针、政策，正确执行上级主管部门的决议和指示，全面实施素质教育，培养德、智、体、美等方面全面发展的社会主义事业的建设者和接班人。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333333"/>
          <w:spacing w:val="0"/>
          <w:sz w:val="28"/>
          <w:szCs w:val="28"/>
          <w:shd w:val="clear" w:fill="FFFFFF"/>
        </w:rPr>
        <w:t>3.根据教育规律、社会要求和学校实际，组织制定学校发展的远景规划、近期目标、学年和学期各项工作计划以及各项工作指标并组织实施。做好校园安全工作，开展师生安全教育，健全安全应急机制，定期进行安全隐患排查，确保师生在校期间的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333333"/>
          <w:spacing w:val="0"/>
          <w:sz w:val="28"/>
          <w:szCs w:val="28"/>
          <w:shd w:val="clear" w:fill="FFFFFF"/>
        </w:rPr>
        <w:t>4.加强学校的科学化管理，制定和健全各项规章制度，规范办学行为，培养良好校风，逐步实现管理决策的科学化，管理方法的定量化和管理手段的现代化。遵循教学规律，深化课堂教学改革，减轻学生课业负担，全面提高教育教学质量，促进学生全面发展。学校应当按照规定标准完成教育教学任务，保证教育教学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333333"/>
          <w:spacing w:val="0"/>
          <w:sz w:val="28"/>
          <w:szCs w:val="28"/>
          <w:shd w:val="clear" w:fill="FFFFFF"/>
        </w:rPr>
        <w:t>5.负责教师队伍建设工作，决定校内教职工的工作安排，组织对教职工进行考核，实施奖惩。制定教师队伍建设规划，不断提高他们的政治素质、文化业务水平和科研水平。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333333"/>
          <w:spacing w:val="0"/>
          <w:sz w:val="28"/>
          <w:szCs w:val="28"/>
          <w:shd w:val="clear" w:fill="FFFFFF"/>
        </w:rPr>
        <w:t>6.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333333"/>
          <w:spacing w:val="0"/>
          <w:sz w:val="28"/>
          <w:szCs w:val="28"/>
          <w:shd w:val="clear" w:fill="FFFFFF"/>
        </w:rPr>
        <w:t>7.负责领导和组织学校的教学工作，坚持以教学为中心，保证教学计划的贯彻执行。要有计划地参加教研活动，有目的地深入教学第一线，了解教师教学和学生学习情况，要大力推进教学改革，加强科研工作的组织领导。有计划地组织质量检查、分析，提出提高教学质量的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333333"/>
          <w:spacing w:val="0"/>
          <w:sz w:val="28"/>
          <w:szCs w:val="28"/>
          <w:shd w:val="clear" w:fill="FFFFFF"/>
        </w:rPr>
        <w:t>8.组织制定和实施校舍建设和校园建设规划，加强对财务工作的领导，正确使用各项经费，不断改善办学条件，强化安全工作管理，创造良好的育人环境。改善教职工的福利生活，提高福利待遇，努力解除教职工的后顾之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333333"/>
          <w:spacing w:val="0"/>
          <w:sz w:val="28"/>
          <w:szCs w:val="28"/>
          <w:shd w:val="clear" w:fill="FFFFFF"/>
        </w:rPr>
        <w:t>9.加强与党支部的合作，主动接受学校党组织的监督，搞好领导班子的团结和协作。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333333"/>
          <w:spacing w:val="0"/>
          <w:sz w:val="28"/>
          <w:szCs w:val="28"/>
          <w:shd w:val="clear" w:fill="FFFFFF"/>
        </w:rPr>
        <w:t>10.依靠群众办学，实行民主管理和民主监督。负责定期向教代会报告工作，充分发挥教代会参与学校民主管理和民主监督的作用，支持其在职权范围内所做的有关决定。督促和检查教代会提案的办理与落实。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333333"/>
          <w:spacing w:val="0"/>
          <w:sz w:val="28"/>
          <w:szCs w:val="28"/>
          <w:shd w:val="clear" w:fill="FFFFFF"/>
        </w:rPr>
        <w:t>11.主持学校与学生家长及社会的联系工作和外来工作。搞好交往；做好与社会各界的联系工作，争取各方面力量对学校的支持，为办好学校创造良好的外部条件。积极配合政府动员辖区内适龄儿童入学，完成上级教育行政部门布置的其他工作任务。</w:t>
      </w:r>
    </w:p>
    <w:p>
      <w:pPr>
        <w:pStyle w:val="4"/>
        <w:pageBreakBefore w:val="0"/>
        <w:kinsoku/>
        <w:wordWrap/>
        <w:overflowPunct/>
        <w:topLinePunct w:val="0"/>
        <w:autoSpaceDE/>
        <w:autoSpaceDN/>
        <w:bidi w:val="0"/>
        <w:snapToGrid/>
        <w:spacing w:line="360" w:lineRule="auto"/>
        <w:ind w:firstLine="560" w:firstLineChars="200"/>
        <w:textAlignment w:val="auto"/>
        <w:rPr>
          <w:rFonts w:hint="eastAsia"/>
          <w:b w:val="0"/>
          <w:bCs/>
          <w:sz w:val="28"/>
          <w:szCs w:val="22"/>
          <w:lang w:val="en-US" w:eastAsia="zh-CN"/>
        </w:rPr>
      </w:pPr>
      <w:r>
        <w:rPr>
          <w:rFonts w:hint="eastAsia"/>
          <w:b w:val="0"/>
          <w:bCs/>
          <w:sz w:val="28"/>
          <w:szCs w:val="22"/>
        </w:rPr>
        <w:t>（二）</w:t>
      </w:r>
      <w:r>
        <w:rPr>
          <w:rFonts w:hint="eastAsia"/>
          <w:b w:val="0"/>
          <w:bCs/>
          <w:sz w:val="28"/>
          <w:szCs w:val="22"/>
          <w:lang w:val="en-US" w:eastAsia="zh-CN"/>
        </w:rPr>
        <w:t>单位组织机构及人员情况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rPr>
      </w:pPr>
      <w:r>
        <w:rPr>
          <w:rFonts w:hint="eastAsia" w:asciiTheme="majorEastAsia" w:hAnsiTheme="majorEastAsia" w:eastAsiaTheme="majorEastAsia" w:cstheme="majorEastAsia"/>
          <w:i w:val="0"/>
          <w:iCs w:val="0"/>
          <w:caps w:val="0"/>
          <w:color w:val="333333"/>
          <w:spacing w:val="0"/>
          <w:sz w:val="28"/>
          <w:szCs w:val="28"/>
        </w:rPr>
        <w:t>202</w:t>
      </w:r>
      <w:r>
        <w:rPr>
          <w:rFonts w:hint="eastAsia" w:eastAsia="MS Mincho" w:asciiTheme="majorEastAsia" w:hAnsiTheme="majorEastAsia" w:cstheme="majorEastAsia"/>
          <w:i w:val="0"/>
          <w:iCs w:val="0"/>
          <w:caps w:val="0"/>
          <w:color w:val="333333"/>
          <w:spacing w:val="0"/>
          <w:sz w:val="28"/>
          <w:szCs w:val="28"/>
          <w:lang w:val="en-US" w:eastAsia="ja-JP"/>
        </w:rPr>
        <w:t>2</w:t>
      </w:r>
      <w:r>
        <w:rPr>
          <w:rFonts w:hint="eastAsia" w:asciiTheme="majorEastAsia" w:hAnsiTheme="majorEastAsia" w:eastAsiaTheme="majorEastAsia" w:cstheme="majorEastAsia"/>
          <w:i w:val="0"/>
          <w:iCs w:val="0"/>
          <w:caps w:val="0"/>
          <w:color w:val="333333"/>
          <w:spacing w:val="0"/>
          <w:sz w:val="28"/>
          <w:szCs w:val="28"/>
        </w:rPr>
        <w:t>年度</w:t>
      </w:r>
      <w:r>
        <w:rPr>
          <w:rFonts w:hint="eastAsia" w:asciiTheme="majorEastAsia" w:hAnsiTheme="majorEastAsia" w:eastAsiaTheme="majorEastAsia" w:cstheme="majorEastAsia"/>
          <w:i w:val="0"/>
          <w:iCs w:val="0"/>
          <w:caps w:val="0"/>
          <w:color w:val="333333"/>
          <w:spacing w:val="0"/>
          <w:sz w:val="28"/>
          <w:szCs w:val="28"/>
          <w:lang w:eastAsia="zh-CN"/>
        </w:rPr>
        <w:t>，</w:t>
      </w:r>
      <w:r>
        <w:rPr>
          <w:rFonts w:hint="eastAsia" w:asciiTheme="majorEastAsia" w:hAnsiTheme="majorEastAsia" w:eastAsiaTheme="majorEastAsia" w:cstheme="majorEastAsia"/>
          <w:i w:val="0"/>
          <w:iCs w:val="0"/>
          <w:caps w:val="0"/>
          <w:color w:val="333333"/>
          <w:spacing w:val="0"/>
          <w:sz w:val="28"/>
          <w:szCs w:val="28"/>
          <w:shd w:val="clear" w:fill="FFFFFF"/>
        </w:rPr>
        <w:t>我单位内设机构有办公室、教务处、政教处、总务处4个机构</w:t>
      </w:r>
      <w:r>
        <w:rPr>
          <w:rFonts w:hint="eastAsia" w:asciiTheme="majorEastAsia" w:hAnsiTheme="majorEastAsia" w:eastAsiaTheme="majorEastAsia" w:cstheme="majorEastAsia"/>
          <w:i w:val="0"/>
          <w:iCs w:val="0"/>
          <w:caps w:val="0"/>
          <w:color w:val="333333"/>
          <w:spacing w:val="0"/>
          <w:sz w:val="28"/>
          <w:szCs w:val="28"/>
          <w:shd w:val="clear" w:fill="FFFFFF"/>
          <w:lang w:eastAsia="zh-CN"/>
        </w:rPr>
        <w:t>，</w:t>
      </w:r>
      <w:r>
        <w:rPr>
          <w:rFonts w:hint="eastAsia" w:asciiTheme="majorEastAsia" w:hAnsiTheme="majorEastAsia" w:eastAsiaTheme="majorEastAsia" w:cstheme="majorEastAsia"/>
          <w:sz w:val="28"/>
          <w:szCs w:val="28"/>
        </w:rPr>
        <w:t>年末实有在职</w:t>
      </w:r>
      <w:r>
        <w:rPr>
          <w:rFonts w:hint="eastAsia" w:asciiTheme="majorEastAsia" w:hAnsiTheme="majorEastAsia" w:eastAsiaTheme="majorEastAsia" w:cstheme="majorEastAsia"/>
          <w:sz w:val="28"/>
          <w:szCs w:val="28"/>
          <w:lang w:eastAsia="zh-CN"/>
        </w:rPr>
        <w:t>教师</w:t>
      </w:r>
      <w:r>
        <w:rPr>
          <w:rFonts w:hint="eastAsia" w:eastAsia="宋体" w:asciiTheme="majorEastAsia" w:hAnsiTheme="majorEastAsia" w:cstheme="majorEastAsia"/>
          <w:sz w:val="28"/>
          <w:szCs w:val="28"/>
          <w:lang w:val="en-US" w:eastAsia="zh-CN"/>
        </w:rPr>
        <w:t>182</w:t>
      </w:r>
      <w:r>
        <w:rPr>
          <w:rFonts w:hint="eastAsia" w:asciiTheme="majorEastAsia" w:hAnsiTheme="majorEastAsia" w:eastAsiaTheme="majorEastAsia" w:cstheme="majorEastAsia"/>
          <w:sz w:val="28"/>
          <w:szCs w:val="28"/>
        </w:rPr>
        <w:t>名，</w:t>
      </w:r>
      <w:r>
        <w:rPr>
          <w:rFonts w:hint="eastAsia" w:asciiTheme="majorEastAsia" w:hAnsiTheme="majorEastAsia" w:eastAsiaTheme="majorEastAsia" w:cstheme="majorEastAsia"/>
          <w:sz w:val="28"/>
          <w:szCs w:val="28"/>
          <w:lang w:eastAsia="zh-CN"/>
        </w:rPr>
        <w:t>退休教师</w:t>
      </w:r>
      <w:r>
        <w:rPr>
          <w:rFonts w:hint="eastAsia" w:eastAsia="宋体" w:asciiTheme="majorEastAsia" w:hAnsiTheme="majorEastAsia" w:cstheme="majorEastAsia"/>
          <w:sz w:val="28"/>
          <w:szCs w:val="28"/>
          <w:lang w:val="en-US" w:eastAsia="zh-CN"/>
        </w:rPr>
        <w:t>67</w:t>
      </w:r>
      <w:r>
        <w:rPr>
          <w:rFonts w:hint="eastAsia" w:asciiTheme="majorEastAsia" w:hAnsiTheme="majorEastAsia" w:eastAsiaTheme="majorEastAsia" w:cstheme="majorEastAsia"/>
          <w:sz w:val="28"/>
          <w:szCs w:val="28"/>
          <w:lang w:val="en-US" w:eastAsia="zh-CN"/>
        </w:rPr>
        <w:t>人，年末遗属数17人，年末</w:t>
      </w:r>
      <w:r>
        <w:rPr>
          <w:rFonts w:hint="eastAsia" w:asciiTheme="majorEastAsia" w:hAnsiTheme="majorEastAsia" w:eastAsiaTheme="majorEastAsia" w:cstheme="majorEastAsia"/>
          <w:sz w:val="28"/>
          <w:szCs w:val="28"/>
          <w:lang w:eastAsia="zh-CN"/>
        </w:rPr>
        <w:t>学生数</w:t>
      </w:r>
      <w:r>
        <w:rPr>
          <w:rFonts w:hint="eastAsia" w:eastAsia="宋体" w:asciiTheme="majorEastAsia" w:hAnsiTheme="majorEastAsia" w:cstheme="majorEastAsia"/>
          <w:sz w:val="28"/>
          <w:szCs w:val="28"/>
          <w:lang w:val="en-US" w:eastAsia="zh-CN"/>
        </w:rPr>
        <w:t>1637</w:t>
      </w:r>
      <w:r>
        <w:rPr>
          <w:rFonts w:hint="eastAsia" w:asciiTheme="majorEastAsia" w:hAnsiTheme="majorEastAsia" w:eastAsiaTheme="majorEastAsia" w:cstheme="majorEastAsia"/>
          <w:sz w:val="28"/>
          <w:szCs w:val="28"/>
          <w:lang w:val="en-US" w:eastAsia="zh-CN"/>
        </w:rPr>
        <w:t>名</w:t>
      </w:r>
      <w:r>
        <w:rPr>
          <w:rFonts w:hint="eastAsia" w:asciiTheme="majorEastAsia" w:hAnsiTheme="majorEastAsia" w:eastAsiaTheme="majorEastAsia" w:cstheme="majorEastAsia"/>
          <w:i w:val="0"/>
          <w:iCs w:val="0"/>
          <w:caps w:val="0"/>
          <w:color w:val="333333"/>
          <w:spacing w:val="0"/>
          <w:sz w:val="28"/>
          <w:szCs w:val="28"/>
          <w:shd w:val="clear" w:fill="FFFFFF"/>
        </w:rPr>
        <w:t>。</w:t>
      </w:r>
    </w:p>
    <w:p>
      <w:pPr>
        <w:pStyle w:val="4"/>
        <w:pageBreakBefore w:val="0"/>
        <w:kinsoku/>
        <w:wordWrap/>
        <w:overflowPunct/>
        <w:topLinePunct w:val="0"/>
        <w:autoSpaceDE/>
        <w:autoSpaceDN/>
        <w:bidi w:val="0"/>
        <w:snapToGrid/>
        <w:spacing w:line="360" w:lineRule="auto"/>
        <w:ind w:firstLine="560" w:firstLineChars="200"/>
        <w:textAlignment w:val="auto"/>
        <w:rPr>
          <w:rFonts w:hint="eastAsia"/>
          <w:b w:val="0"/>
          <w:bCs/>
          <w:sz w:val="28"/>
          <w:szCs w:val="22"/>
          <w:lang w:val="en-US" w:eastAsia="zh-CN"/>
        </w:rPr>
      </w:pPr>
      <w:r>
        <w:rPr>
          <w:rFonts w:hint="eastAsia"/>
          <w:b w:val="0"/>
          <w:bCs/>
          <w:sz w:val="28"/>
          <w:szCs w:val="22"/>
          <w:lang w:val="en-US" w:eastAsia="zh-CN"/>
        </w:rPr>
        <w:t>(三) 202</w:t>
      </w:r>
      <w:r>
        <w:rPr>
          <w:rFonts w:hint="eastAsia" w:eastAsia="MS Mincho"/>
          <w:b w:val="0"/>
          <w:bCs/>
          <w:sz w:val="28"/>
          <w:szCs w:val="22"/>
          <w:lang w:val="en-US" w:eastAsia="ja-JP"/>
        </w:rPr>
        <w:t>2</w:t>
      </w:r>
      <w:r>
        <w:rPr>
          <w:rFonts w:hint="eastAsia"/>
          <w:b w:val="0"/>
          <w:bCs/>
          <w:sz w:val="28"/>
          <w:szCs w:val="22"/>
          <w:lang w:val="en-US" w:eastAsia="zh-CN"/>
        </w:rPr>
        <w:t>年度重点工作计划</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坚持立德树人，全面贯彻党的教育方针，以培养德智体美劳全面发展的社会主义建设者和接班人为根本任务。创新德育教育工作模式，进一步优化师德师风和培养学生良好的行为习惯;注重教师队伍建设，深化教研改革，促进教师专业成长。</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2.全面提高教育质量，“高效课堂”构建稳步推进。</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3.加强学校管理，规范办学行为，推动教育协调发展。重视安全卫生管理，营造良好育人环境。</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sz w:val="28"/>
          <w:szCs w:val="28"/>
          <w:lang w:val="en-US" w:eastAsia="zh-CN"/>
        </w:rPr>
        <w:t>4.各类学生资助政策及时落实，项目建设按照既定目标有序推进。</w:t>
      </w:r>
    </w:p>
    <w:p>
      <w:pPr>
        <w:pStyle w:val="4"/>
        <w:pageBreakBefore w:val="0"/>
        <w:kinsoku/>
        <w:wordWrap/>
        <w:overflowPunct/>
        <w:topLinePunct w:val="0"/>
        <w:autoSpaceDE/>
        <w:autoSpaceDN/>
        <w:bidi w:val="0"/>
        <w:snapToGrid/>
        <w:spacing w:line="360" w:lineRule="auto"/>
        <w:ind w:firstLine="560" w:firstLineChars="200"/>
        <w:textAlignment w:val="auto"/>
        <w:rPr>
          <w:rFonts w:hint="eastAsia"/>
          <w:b w:val="0"/>
          <w:bCs/>
          <w:sz w:val="28"/>
          <w:szCs w:val="22"/>
          <w:lang w:eastAsia="zh-CN"/>
        </w:rPr>
      </w:pPr>
      <w:r>
        <w:rPr>
          <w:rFonts w:hint="eastAsia"/>
          <w:b w:val="0"/>
          <w:bCs/>
          <w:sz w:val="28"/>
          <w:szCs w:val="22"/>
          <w:lang w:eastAsia="zh-CN"/>
        </w:rPr>
        <w:t>（四）整体支出情况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85" w:leftChars="0" w:right="0" w:rightChars="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eastAsia="zh-CN"/>
        </w:rPr>
        <w:t>我单位总支出为</w:t>
      </w:r>
      <w:r>
        <w:rPr>
          <w:rFonts w:hint="eastAsia" w:ascii="仿宋" w:hAnsi="仿宋" w:eastAsia="仿宋" w:cs="仿宋"/>
          <w:sz w:val="28"/>
          <w:szCs w:val="28"/>
          <w:lang w:val="en-US" w:eastAsia="zh-CN"/>
        </w:rPr>
        <w:t>3175.24</w:t>
      </w: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万元，其中基本支出</w:t>
      </w:r>
      <w:r>
        <w:rPr>
          <w:rFonts w:hint="eastAsia" w:eastAsia="MS Mincho" w:asciiTheme="majorEastAsia" w:hAnsiTheme="majorEastAsia" w:cstheme="majorEastAsia"/>
          <w:i w:val="0"/>
          <w:iCs w:val="0"/>
          <w:caps w:val="0"/>
          <w:color w:val="333333"/>
          <w:spacing w:val="0"/>
          <w:sz w:val="28"/>
          <w:szCs w:val="28"/>
          <w:shd w:val="clear" w:fill="FFFFFF"/>
          <w:lang w:val="en-US" w:eastAsia="ja-JP"/>
        </w:rPr>
        <w:t>2571</w:t>
      </w:r>
      <w:r>
        <w:rPr>
          <w:rFonts w:hint="eastAsia" w:eastAsia="宋体" w:asciiTheme="majorEastAsia" w:hAnsiTheme="majorEastAsia" w:cstheme="majorEastAsia"/>
          <w:i w:val="0"/>
          <w:iCs w:val="0"/>
          <w:caps w:val="0"/>
          <w:color w:val="333333"/>
          <w:spacing w:val="0"/>
          <w:sz w:val="28"/>
          <w:szCs w:val="28"/>
          <w:shd w:val="clear" w:fill="FFFFFF"/>
          <w:lang w:val="en-US" w:eastAsia="zh-CN"/>
        </w:rPr>
        <w:t>.</w:t>
      </w:r>
      <w:r>
        <w:rPr>
          <w:rFonts w:hint="eastAsia" w:eastAsia="MS Mincho" w:asciiTheme="majorEastAsia" w:hAnsiTheme="majorEastAsia" w:cstheme="majorEastAsia"/>
          <w:i w:val="0"/>
          <w:iCs w:val="0"/>
          <w:caps w:val="0"/>
          <w:color w:val="333333"/>
          <w:spacing w:val="0"/>
          <w:sz w:val="28"/>
          <w:szCs w:val="28"/>
          <w:shd w:val="clear" w:fill="FFFFFF"/>
          <w:lang w:val="en-US" w:eastAsia="ja-JP"/>
        </w:rPr>
        <w:t>03</w:t>
      </w: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万元、项目支出</w:t>
      </w:r>
      <w:r>
        <w:rPr>
          <w:rFonts w:hint="eastAsia" w:eastAsia="MS Mincho" w:asciiTheme="majorEastAsia" w:hAnsiTheme="majorEastAsia" w:cstheme="majorEastAsia"/>
          <w:i w:val="0"/>
          <w:iCs w:val="0"/>
          <w:caps w:val="0"/>
          <w:color w:val="333333"/>
          <w:spacing w:val="0"/>
          <w:sz w:val="28"/>
          <w:szCs w:val="28"/>
          <w:shd w:val="clear" w:fill="FFFFFF"/>
          <w:lang w:val="en-US" w:eastAsia="ja-JP"/>
        </w:rPr>
        <w:t>604</w:t>
      </w:r>
      <w:r>
        <w:rPr>
          <w:rFonts w:hint="eastAsia" w:eastAsia="宋体" w:asciiTheme="majorEastAsia" w:hAnsiTheme="majorEastAsia" w:cstheme="majorEastAsia"/>
          <w:i w:val="0"/>
          <w:iCs w:val="0"/>
          <w:caps w:val="0"/>
          <w:color w:val="333333"/>
          <w:spacing w:val="0"/>
          <w:sz w:val="28"/>
          <w:szCs w:val="28"/>
          <w:shd w:val="clear" w:fill="FFFFFF"/>
          <w:lang w:val="en-US" w:eastAsia="zh-CN"/>
        </w:rPr>
        <w:t>.</w:t>
      </w:r>
      <w:r>
        <w:rPr>
          <w:rFonts w:hint="eastAsia" w:eastAsia="MS Mincho" w:asciiTheme="majorEastAsia" w:hAnsiTheme="majorEastAsia" w:cstheme="majorEastAsia"/>
          <w:i w:val="0"/>
          <w:iCs w:val="0"/>
          <w:caps w:val="0"/>
          <w:color w:val="333333"/>
          <w:spacing w:val="0"/>
          <w:sz w:val="28"/>
          <w:szCs w:val="28"/>
          <w:shd w:val="clear" w:fill="FFFFFF"/>
          <w:lang w:val="en-US" w:eastAsia="ja-JP"/>
        </w:rPr>
        <w:t>2</w:t>
      </w:r>
      <w:r>
        <w:rPr>
          <w:rFonts w:hint="eastAsia" w:eastAsia="宋体" w:asciiTheme="majorEastAsia" w:hAnsiTheme="majorEastAsia" w:cstheme="majorEastAsia"/>
          <w:i w:val="0"/>
          <w:iCs w:val="0"/>
          <w:caps w:val="0"/>
          <w:color w:val="333333"/>
          <w:spacing w:val="0"/>
          <w:sz w:val="28"/>
          <w:szCs w:val="28"/>
          <w:shd w:val="clear" w:fill="FFFFFF"/>
          <w:lang w:val="en-US" w:eastAsia="zh-CN"/>
        </w:rPr>
        <w:t>1</w:t>
      </w: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万元。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85" w:leftChars="0" w:right="0" w:rightChars="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基本支出</w:t>
      </w:r>
      <w:r>
        <w:rPr>
          <w:rFonts w:hint="eastAsia" w:ascii="仿宋" w:hAnsi="仿宋" w:eastAsia="仿宋" w:cs="仿宋"/>
          <w:sz w:val="28"/>
          <w:szCs w:val="28"/>
          <w:lang w:val="en-US" w:eastAsia="zh-CN"/>
        </w:rPr>
        <w:t>3175.24</w:t>
      </w: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万元，其中：工资福利支出</w:t>
      </w:r>
      <w:r>
        <w:rPr>
          <w:rFonts w:hint="eastAsia" w:eastAsia="MS Mincho" w:asciiTheme="majorEastAsia" w:hAnsiTheme="majorEastAsia" w:cstheme="majorEastAsia"/>
          <w:i w:val="0"/>
          <w:iCs w:val="0"/>
          <w:caps w:val="0"/>
          <w:color w:val="333333"/>
          <w:spacing w:val="0"/>
          <w:sz w:val="28"/>
          <w:szCs w:val="28"/>
          <w:shd w:val="clear" w:fill="FFFFFF"/>
          <w:lang w:val="en-US" w:eastAsia="ja-JP"/>
        </w:rPr>
        <w:t>2367</w:t>
      </w:r>
      <w:r>
        <w:rPr>
          <w:rFonts w:hint="eastAsia" w:eastAsia="宋体" w:asciiTheme="majorEastAsia" w:hAnsiTheme="majorEastAsia" w:cstheme="majorEastAsia"/>
          <w:i w:val="0"/>
          <w:iCs w:val="0"/>
          <w:caps w:val="0"/>
          <w:color w:val="333333"/>
          <w:spacing w:val="0"/>
          <w:sz w:val="28"/>
          <w:szCs w:val="28"/>
          <w:shd w:val="clear" w:fill="FFFFFF"/>
          <w:lang w:val="en-US" w:eastAsia="zh-CN"/>
        </w:rPr>
        <w:t>.</w:t>
      </w:r>
      <w:r>
        <w:rPr>
          <w:rFonts w:hint="eastAsia" w:eastAsia="MS Mincho" w:asciiTheme="majorEastAsia" w:hAnsiTheme="majorEastAsia" w:cstheme="majorEastAsia"/>
          <w:i w:val="0"/>
          <w:iCs w:val="0"/>
          <w:caps w:val="0"/>
          <w:color w:val="333333"/>
          <w:spacing w:val="0"/>
          <w:sz w:val="28"/>
          <w:szCs w:val="28"/>
          <w:shd w:val="clear" w:fill="FFFFFF"/>
          <w:lang w:val="en-US" w:eastAsia="ja-JP"/>
        </w:rPr>
        <w:t>1</w:t>
      </w:r>
      <w:r>
        <w:rPr>
          <w:rFonts w:hint="eastAsia" w:eastAsia="宋体" w:asciiTheme="majorEastAsia" w:hAnsiTheme="majorEastAsia" w:cstheme="majorEastAsia"/>
          <w:i w:val="0"/>
          <w:iCs w:val="0"/>
          <w:caps w:val="0"/>
          <w:color w:val="333333"/>
          <w:spacing w:val="0"/>
          <w:sz w:val="28"/>
          <w:szCs w:val="28"/>
          <w:shd w:val="clear" w:fill="FFFFFF"/>
          <w:lang w:val="en-US" w:eastAsia="zh-CN"/>
        </w:rPr>
        <w:t>4</w:t>
      </w: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万元、商品和服务支出</w:t>
      </w:r>
      <w:r>
        <w:rPr>
          <w:rFonts w:hint="eastAsia" w:eastAsia="MS Mincho" w:asciiTheme="majorEastAsia" w:hAnsiTheme="majorEastAsia" w:cstheme="majorEastAsia"/>
          <w:i w:val="0"/>
          <w:iCs w:val="0"/>
          <w:caps w:val="0"/>
          <w:color w:val="333333"/>
          <w:spacing w:val="0"/>
          <w:sz w:val="28"/>
          <w:szCs w:val="28"/>
          <w:shd w:val="clear" w:fill="FFFFFF"/>
          <w:lang w:val="en-US" w:eastAsia="ja-JP"/>
        </w:rPr>
        <w:t>162</w:t>
      </w:r>
      <w:r>
        <w:rPr>
          <w:rFonts w:hint="eastAsia" w:eastAsia="宋体" w:asciiTheme="majorEastAsia" w:hAnsiTheme="majorEastAsia" w:cstheme="majorEastAsia"/>
          <w:i w:val="0"/>
          <w:iCs w:val="0"/>
          <w:caps w:val="0"/>
          <w:color w:val="333333"/>
          <w:spacing w:val="0"/>
          <w:sz w:val="28"/>
          <w:szCs w:val="28"/>
          <w:shd w:val="clear" w:fill="FFFFFF"/>
          <w:lang w:val="en-US" w:eastAsia="zh-CN"/>
        </w:rPr>
        <w:t>.</w:t>
      </w:r>
      <w:r>
        <w:rPr>
          <w:rFonts w:hint="eastAsia" w:eastAsia="MS Mincho" w:asciiTheme="majorEastAsia" w:hAnsiTheme="majorEastAsia" w:cstheme="majorEastAsia"/>
          <w:i w:val="0"/>
          <w:iCs w:val="0"/>
          <w:caps w:val="0"/>
          <w:color w:val="333333"/>
          <w:spacing w:val="0"/>
          <w:sz w:val="28"/>
          <w:szCs w:val="28"/>
          <w:shd w:val="clear" w:fill="FFFFFF"/>
          <w:lang w:val="en-US" w:eastAsia="ja-JP"/>
        </w:rPr>
        <w:t>73</w:t>
      </w: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万元、对个人和家庭的补助</w:t>
      </w:r>
      <w:r>
        <w:rPr>
          <w:rFonts w:hint="eastAsia" w:eastAsia="宋体" w:asciiTheme="majorEastAsia" w:hAnsiTheme="majorEastAsia" w:cstheme="majorEastAsia"/>
          <w:i w:val="0"/>
          <w:iCs w:val="0"/>
          <w:caps w:val="0"/>
          <w:color w:val="333333"/>
          <w:spacing w:val="0"/>
          <w:sz w:val="28"/>
          <w:szCs w:val="28"/>
          <w:shd w:val="clear" w:fill="FFFFFF"/>
          <w:lang w:val="en-US" w:eastAsia="zh-CN"/>
        </w:rPr>
        <w:t>40.16</w:t>
      </w: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万元、资本性支出1万元。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85" w:leftChars="0" w:right="0" w:rightChars="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项目支出</w:t>
      </w:r>
      <w:r>
        <w:rPr>
          <w:rFonts w:hint="eastAsia" w:eastAsia="宋体" w:asciiTheme="majorEastAsia" w:hAnsiTheme="majorEastAsia" w:cstheme="majorEastAsia"/>
          <w:i w:val="0"/>
          <w:iCs w:val="0"/>
          <w:caps w:val="0"/>
          <w:color w:val="333333"/>
          <w:spacing w:val="0"/>
          <w:sz w:val="28"/>
          <w:szCs w:val="28"/>
          <w:shd w:val="clear" w:fill="FFFFFF"/>
          <w:lang w:val="en-US" w:eastAsia="zh-CN"/>
        </w:rPr>
        <w:t>604.21</w:t>
      </w: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万元，关键用于基础设施建设、生活补助等支出。</w:t>
      </w:r>
    </w:p>
    <w:p>
      <w:pPr>
        <w:pStyle w:val="4"/>
        <w:pageBreakBefore w:val="0"/>
        <w:kinsoku/>
        <w:wordWrap/>
        <w:overflowPunct/>
        <w:topLinePunct w:val="0"/>
        <w:autoSpaceDE/>
        <w:autoSpaceDN/>
        <w:bidi w:val="0"/>
        <w:snapToGrid/>
        <w:spacing w:line="360" w:lineRule="auto"/>
        <w:ind w:firstLine="560" w:firstLineChars="200"/>
        <w:textAlignment w:val="auto"/>
        <w:rPr>
          <w:rFonts w:hint="eastAsia"/>
          <w:b w:val="0"/>
          <w:bCs/>
          <w:sz w:val="28"/>
          <w:szCs w:val="22"/>
          <w:lang w:val="en-US" w:eastAsia="zh-CN"/>
        </w:rPr>
      </w:pPr>
      <w:r>
        <w:rPr>
          <w:rFonts w:hint="eastAsia"/>
          <w:b w:val="0"/>
          <w:bCs/>
          <w:sz w:val="28"/>
          <w:szCs w:val="22"/>
          <w:lang w:val="en-US" w:eastAsia="zh-CN"/>
        </w:rPr>
        <w:t>（五）部门内部控制及例行节省制度建设情况</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85" w:leftChars="0" w:right="0" w:rightChars="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加强内部控制。我校一向重视单位内部管理制度建设及监督，加强财务管理，强化财务监督，增强法纪观念，遵循规章制度。为确保财务管理工作规范有序进行，我校制定了相关财务管理制度、要求，成立了财务监督小组，加强内部控制和监督。对各项资金管理、经费收支审批等均作了明确要求，正确组织资金调度和使用。</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85" w:leftChars="0" w:right="0" w:rightChars="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强化制度实施。切实做好例行节省工作，全方面落实各项管理制度要求，努力降低成本。严格公务接待、差旅费、会议费和培训费审核审批程序，做到一事一公函、一事一审批、一事一结账。</w:t>
      </w:r>
    </w:p>
    <w:p>
      <w:pPr>
        <w:pStyle w:val="3"/>
        <w:pageBreakBefore w:val="0"/>
        <w:kinsoku/>
        <w:wordWrap/>
        <w:overflowPunct/>
        <w:topLinePunct w:val="0"/>
        <w:autoSpaceDE/>
        <w:autoSpaceDN/>
        <w:bidi w:val="0"/>
        <w:snapToGrid/>
        <w:spacing w:line="360" w:lineRule="auto"/>
        <w:ind w:firstLine="562"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二、部门整体支出管理及使用情况</w:t>
      </w:r>
    </w:p>
    <w:p>
      <w:pPr>
        <w:pStyle w:val="4"/>
        <w:pageBreakBefore w:val="0"/>
        <w:kinsoku/>
        <w:wordWrap/>
        <w:overflowPunct/>
        <w:topLinePunct w:val="0"/>
        <w:autoSpaceDE/>
        <w:autoSpaceDN/>
        <w:bidi w:val="0"/>
        <w:snapToGrid/>
        <w:spacing w:line="360" w:lineRule="auto"/>
        <w:ind w:firstLine="560" w:firstLineChars="200"/>
        <w:textAlignment w:val="auto"/>
        <w:rPr>
          <w:rFonts w:hint="eastAsia"/>
          <w:b w:val="0"/>
          <w:bCs/>
          <w:sz w:val="28"/>
          <w:szCs w:val="22"/>
          <w:lang w:val="en-US" w:eastAsia="zh-CN"/>
        </w:rPr>
      </w:pPr>
      <w:r>
        <w:rPr>
          <w:rFonts w:hint="eastAsia"/>
          <w:b w:val="0"/>
          <w:bCs/>
          <w:sz w:val="28"/>
          <w:szCs w:val="22"/>
          <w:lang w:val="en-US" w:eastAsia="zh-CN"/>
        </w:rPr>
        <w:t>（一）</w:t>
      </w: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收支</w:t>
      </w:r>
      <w:r>
        <w:rPr>
          <w:rFonts w:hint="eastAsia"/>
          <w:b w:val="0"/>
          <w:bCs/>
          <w:sz w:val="28"/>
          <w:szCs w:val="22"/>
          <w:lang w:val="en-US" w:eastAsia="zh-CN"/>
        </w:rPr>
        <w:t>预算基础情况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1.收入预算情况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收入预算为1735.67万元，其中：一般公共预算财政拨款收入1733.60万元，政府性基金预算财政拨款收入2.065万元,其他收入16.1951万元。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2.支出预算情况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支出预算为1735.67万元，其中：其中：一般公共预算财政拨款收入1733.60万元，政府性基金预算财政拨款收入2.065万元,其他收入16.1951万元。</w:t>
      </w:r>
    </w:p>
    <w:p>
      <w:pPr>
        <w:pStyle w:val="4"/>
        <w:pageBreakBefore w:val="0"/>
        <w:kinsoku/>
        <w:wordWrap/>
        <w:overflowPunct/>
        <w:topLinePunct w:val="0"/>
        <w:autoSpaceDE/>
        <w:autoSpaceDN/>
        <w:bidi w:val="0"/>
        <w:snapToGrid/>
        <w:spacing w:line="360" w:lineRule="auto"/>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（二）收支决算基础情况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1.收入决算情况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收入预算为1735.67万元，其中：一般公共预算财政拨款收入1733.60万元，政府性基金预算财政拨款收入2.065万元,其他收入16.1951万元。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2.支出决算情况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支出预算为1735.67万元，其中：其中：一般公共预算财政拨款收入1733.60万元，政府性基金预算财政拨款收入2.065万元,其他收入16.1951万元。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基础支出2571.03万元，其中：工资福利支出2367.14万元，占基础支出百分比91.88%；商品和服务支出162.73万元，占基础支出百分比6.99%；对个人和家庭的补助40.16万元，占基础支出百分比0.89%；资本性支出1万元，占基础支出百分比0.25%。</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85" w:leftChars="0" w:right="0" w:rightChars="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项目支出</w:t>
      </w:r>
      <w:r>
        <w:rPr>
          <w:rFonts w:hint="eastAsia" w:eastAsia="MS Mincho" w:asciiTheme="majorEastAsia" w:hAnsiTheme="majorEastAsia" w:cstheme="majorEastAsia"/>
          <w:i w:val="0"/>
          <w:iCs w:val="0"/>
          <w:caps w:val="0"/>
          <w:color w:val="333333"/>
          <w:spacing w:val="0"/>
          <w:sz w:val="28"/>
          <w:szCs w:val="28"/>
          <w:shd w:val="clear" w:fill="FFFFFF"/>
          <w:lang w:val="en-US" w:eastAsia="ja-JP"/>
        </w:rPr>
        <w:t>6</w:t>
      </w:r>
      <w:r>
        <w:rPr>
          <w:rFonts w:hint="eastAsia" w:eastAsia="宋体" w:asciiTheme="majorEastAsia" w:hAnsiTheme="majorEastAsia" w:cstheme="majorEastAsia"/>
          <w:i w:val="0"/>
          <w:iCs w:val="0"/>
          <w:caps w:val="0"/>
          <w:color w:val="333333"/>
          <w:spacing w:val="0"/>
          <w:sz w:val="28"/>
          <w:szCs w:val="28"/>
          <w:shd w:val="clear" w:fill="FFFFFF"/>
          <w:lang w:val="en-US" w:eastAsia="zh-CN"/>
        </w:rPr>
        <w:t>04.21</w:t>
      </w: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万元，关键用于基础设施建设、生活补助等支出。</w:t>
      </w:r>
    </w:p>
    <w:p>
      <w:pPr>
        <w:pStyle w:val="4"/>
        <w:pageBreakBefore w:val="0"/>
        <w:kinsoku/>
        <w:wordWrap/>
        <w:overflowPunct/>
        <w:topLinePunct w:val="0"/>
        <w:autoSpaceDE/>
        <w:autoSpaceDN/>
        <w:bidi w:val="0"/>
        <w:snapToGrid/>
        <w:spacing w:line="360" w:lineRule="auto"/>
        <w:ind w:firstLine="562"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（三）基础支出使用管理情况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基础支出用于为保障机构正常运转、完成日常工作任务而发生支出，包含人员经费和公用经费。本单位人员经费2407.29万元，占基础支出百分比92.76%，较年初预算超支百分比较大的原因是本年度进行了工资及其他缴费百分比调整。本年度基础支出和调整预算数后一致。</w:t>
      </w:r>
    </w:p>
    <w:p>
      <w:pPr>
        <w:pStyle w:val="4"/>
        <w:pageBreakBefore w:val="0"/>
        <w:kinsoku/>
        <w:wordWrap/>
        <w:overflowPunct/>
        <w:topLinePunct w:val="0"/>
        <w:autoSpaceDE/>
        <w:autoSpaceDN/>
        <w:bidi w:val="0"/>
        <w:snapToGrid/>
        <w:spacing w:line="360" w:lineRule="auto"/>
        <w:ind w:firstLine="562"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（四）项目支出使用管理情况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Theme="majorEastAsia" w:hAnsiTheme="majorEastAsia" w:eastAsiaTheme="majorEastAsia" w:cstheme="majorEastAsia"/>
          <w:i w:val="0"/>
          <w:iCs w:val="0"/>
          <w:caps w:val="0"/>
          <w:color w:val="333333"/>
          <w:spacing w:val="0"/>
          <w:sz w:val="28"/>
          <w:szCs w:val="28"/>
          <w:shd w:val="clear" w:fill="FFFFFF"/>
          <w:lang w:val="en-US" w:eastAsia="zh-CN"/>
        </w:rPr>
      </w:pP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项目支出</w:t>
      </w:r>
      <w:r>
        <w:rPr>
          <w:rFonts w:hint="eastAsia" w:eastAsia="宋体" w:asciiTheme="majorEastAsia" w:hAnsiTheme="majorEastAsia" w:cstheme="majorEastAsia"/>
          <w:i w:val="0"/>
          <w:iCs w:val="0"/>
          <w:caps w:val="0"/>
          <w:color w:val="333333"/>
          <w:spacing w:val="0"/>
          <w:sz w:val="28"/>
          <w:szCs w:val="28"/>
          <w:shd w:val="clear" w:fill="FFFFFF"/>
          <w:lang w:val="en-US" w:eastAsia="zh-CN"/>
        </w:rPr>
        <w:t>604.21</w:t>
      </w:r>
      <w:r>
        <w:rPr>
          <w:rFonts w:hint="eastAsia" w:asciiTheme="majorEastAsia" w:hAnsiTheme="majorEastAsia" w:eastAsiaTheme="majorEastAsia" w:cstheme="majorEastAsia"/>
          <w:i w:val="0"/>
          <w:iCs w:val="0"/>
          <w:caps w:val="0"/>
          <w:color w:val="333333"/>
          <w:spacing w:val="0"/>
          <w:sz w:val="28"/>
          <w:szCs w:val="28"/>
          <w:shd w:val="clear" w:fill="FFFFFF"/>
          <w:lang w:val="en-US" w:eastAsia="zh-CN"/>
        </w:rPr>
        <w:t>万元，其中：家庭经济困难学生生活补助22.56万元；营养改善计划43.15万元；工程支出26.91万元。</w:t>
      </w:r>
      <w:bookmarkStart w:id="0" w:name="_GoBack"/>
    </w:p>
    <w:bookmarkEnd w:id="0"/>
    <w:p>
      <w:pPr>
        <w:pStyle w:val="3"/>
        <w:pageBreakBefore w:val="0"/>
        <w:kinsoku/>
        <w:wordWrap/>
        <w:overflowPunct/>
        <w:topLinePunct w:val="0"/>
        <w:autoSpaceDE/>
        <w:autoSpaceDN/>
        <w:bidi w:val="0"/>
        <w:snapToGrid/>
        <w:spacing w:line="360" w:lineRule="auto"/>
        <w:ind w:firstLine="562"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bCs/>
          <w:sz w:val="28"/>
          <w:szCs w:val="28"/>
          <w:lang w:val="en-US" w:eastAsia="zh-CN"/>
        </w:rPr>
        <w:t>三、项目绩效目标</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落实义务教育保障经费、免除普通初中学杂费、实施农村义务教育学生营养改善计划、家庭经济困难学生助学金、生活补助等指标均达到相关要求。</w:t>
      </w:r>
    </w:p>
    <w:p>
      <w:pPr>
        <w:pStyle w:val="3"/>
        <w:pageBreakBefore w:val="0"/>
        <w:kinsoku/>
        <w:wordWrap/>
        <w:overflowPunct/>
        <w:topLinePunct w:val="0"/>
        <w:autoSpaceDE/>
        <w:autoSpaceDN/>
        <w:bidi w:val="0"/>
        <w:snapToGrid/>
        <w:spacing w:line="360" w:lineRule="auto"/>
        <w:ind w:firstLine="562" w:firstLineChars="200"/>
        <w:textAlignment w:val="auto"/>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eastAsia="zh-CN"/>
        </w:rPr>
        <w:t>四</w:t>
      </w:r>
      <w:r>
        <w:rPr>
          <w:rFonts w:hint="eastAsia" w:asciiTheme="majorEastAsia" w:hAnsiTheme="majorEastAsia" w:eastAsiaTheme="majorEastAsia" w:cstheme="majorEastAsia"/>
          <w:color w:val="000000"/>
          <w:sz w:val="28"/>
          <w:szCs w:val="28"/>
        </w:rPr>
        <w:t>、评价基本情况</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两类资金评价依据和范围：</w:t>
      </w:r>
    </w:p>
    <w:p>
      <w:pPr>
        <w:pStyle w:val="2"/>
        <w:pageBreakBefore w:val="0"/>
        <w:numPr>
          <w:ilvl w:val="0"/>
          <w:numId w:val="2"/>
        </w:numPr>
        <w:kinsoku/>
        <w:wordWrap/>
        <w:overflowPunct/>
        <w:topLinePunct w:val="0"/>
        <w:autoSpaceDE/>
        <w:autoSpaceDN/>
        <w:bidi w:val="0"/>
        <w:adjustRightInd w:val="0"/>
        <w:snapToGrid/>
        <w:spacing w:line="360" w:lineRule="auto"/>
        <w:ind w:firstLine="560" w:firstLineChars="200"/>
        <w:textAlignment w:val="auto"/>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sz w:val="28"/>
          <w:szCs w:val="28"/>
          <w:lang w:eastAsia="zh-CN"/>
        </w:rPr>
        <w:t>公用经费补助资金。公用经费补助资金具体包括：教学业务与管理、教师培训、实验实习、文体活动、水电、取暖、交通差旅、邮电，仪器设备及图书资料等购置，房屋、建筑物及仪器设备的日常维修维护等，不得用于教职工福利、临时聘用人员工资等人员经费，不得用于基本建设投资、偿还债务等方面的支出。</w:t>
      </w:r>
    </w:p>
    <w:p>
      <w:pPr>
        <w:pStyle w:val="2"/>
        <w:pageBreakBefore w:val="0"/>
        <w:kinsoku/>
        <w:wordWrap/>
        <w:overflowPunct/>
        <w:topLinePunct w:val="0"/>
        <w:autoSpaceDE/>
        <w:autoSpaceDN/>
        <w:bidi w:val="0"/>
        <w:snapToGrid/>
        <w:spacing w:line="360" w:lineRule="auto"/>
        <w:ind w:firstLine="560" w:firstLineChars="200"/>
        <w:textAlignment w:val="auto"/>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2、</w:t>
      </w:r>
      <w:r>
        <w:rPr>
          <w:rFonts w:hint="eastAsia" w:asciiTheme="majorEastAsia" w:hAnsiTheme="majorEastAsia" w:eastAsiaTheme="majorEastAsia" w:cstheme="majorEastAsia"/>
          <w:color w:val="000000"/>
          <w:sz w:val="28"/>
          <w:szCs w:val="28"/>
          <w:lang w:eastAsia="zh-CN"/>
        </w:rPr>
        <w:t>农村义务教育学生营养改善计划膳食补助。用于为农村义务教育阶段学生提供等值优质的食品，不得以现金形式直接发放，不得用于补贴教职工伙食、学校公用经费，不得用于劳务费、宣传费、运输费等工作经费。</w:t>
      </w:r>
    </w:p>
    <w:p>
      <w:pPr>
        <w:pStyle w:val="3"/>
        <w:pageBreakBefore w:val="0"/>
        <w:kinsoku/>
        <w:wordWrap/>
        <w:overflowPunct/>
        <w:topLinePunct w:val="0"/>
        <w:autoSpaceDE/>
        <w:autoSpaceDN/>
        <w:bidi w:val="0"/>
        <w:snapToGrid/>
        <w:spacing w:line="360" w:lineRule="auto"/>
        <w:ind w:firstLine="562" w:firstLineChars="200"/>
        <w:textAlignment w:val="auto"/>
        <w:rPr>
          <w:rFonts w:hint="eastAsia" w:asciiTheme="majorEastAsia" w:hAnsiTheme="majorEastAsia" w:eastAsiaTheme="majorEastAsia" w:cstheme="majorEastAsia"/>
          <w:color w:val="000000"/>
          <w:kern w:val="2"/>
          <w:sz w:val="28"/>
          <w:szCs w:val="28"/>
          <w:lang w:val="en-US" w:eastAsia="zh-CN"/>
        </w:rPr>
      </w:pPr>
      <w:r>
        <w:rPr>
          <w:rFonts w:hint="eastAsia" w:asciiTheme="majorEastAsia" w:hAnsiTheme="majorEastAsia" w:eastAsiaTheme="majorEastAsia" w:cstheme="majorEastAsia"/>
          <w:color w:val="000000"/>
          <w:kern w:val="2"/>
          <w:sz w:val="28"/>
          <w:szCs w:val="28"/>
          <w:lang w:val="en-US" w:eastAsia="zh-CN"/>
        </w:rPr>
        <w:t>五、绩效评价工作过程</w:t>
      </w:r>
    </w:p>
    <w:p>
      <w:pPr>
        <w:pageBreakBefore w:val="0"/>
        <w:kinsoku/>
        <w:wordWrap/>
        <w:overflowPunct/>
        <w:topLinePunct w:val="0"/>
        <w:autoSpaceDE/>
        <w:autoSpaceDN/>
        <w:bidi w:val="0"/>
        <w:snapToGrid/>
        <w:spacing w:line="360" w:lineRule="auto"/>
        <w:ind w:firstLine="560" w:firstLineChars="200"/>
        <w:textAlignment w:val="auto"/>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1、</w:t>
      </w:r>
      <w:r>
        <w:rPr>
          <w:rFonts w:hint="eastAsia" w:asciiTheme="majorEastAsia" w:hAnsiTheme="majorEastAsia" w:eastAsiaTheme="majorEastAsia" w:cstheme="majorEastAsia"/>
          <w:color w:val="000000"/>
          <w:sz w:val="28"/>
          <w:szCs w:val="28"/>
        </w:rPr>
        <w:t>绩效评价是根据设定的绩效目标，运用科学、合理的绩效评价指标、评价标准和评价方法，对财政支出的经济性、效率性和效益性进行客观、公正的评价。</w:t>
      </w:r>
    </w:p>
    <w:p>
      <w:pPr>
        <w:pageBreakBefore w:val="0"/>
        <w:kinsoku/>
        <w:wordWrap/>
        <w:overflowPunct/>
        <w:topLinePunct w:val="0"/>
        <w:autoSpaceDE/>
        <w:autoSpaceDN/>
        <w:bidi w:val="0"/>
        <w:snapToGrid/>
        <w:spacing w:line="360" w:lineRule="auto"/>
        <w:ind w:firstLine="560" w:firstLineChars="200"/>
        <w:textAlignment w:val="auto"/>
        <w:rPr>
          <w:rFonts w:hint="eastAsia" w:asciiTheme="majorEastAsia" w:hAnsiTheme="majorEastAsia" w:eastAsiaTheme="majorEastAsia" w:cstheme="majorEastAsia"/>
          <w:color w:val="000000"/>
          <w:sz w:val="28"/>
          <w:szCs w:val="28"/>
          <w:highlight w:val="yellow"/>
        </w:rPr>
      </w:pPr>
      <w:r>
        <w:rPr>
          <w:rFonts w:hint="eastAsia" w:asciiTheme="majorEastAsia" w:hAnsiTheme="majorEastAsia" w:eastAsiaTheme="majorEastAsia" w:cstheme="majorEastAsia"/>
          <w:color w:val="000000"/>
          <w:sz w:val="28"/>
          <w:szCs w:val="28"/>
          <w:lang w:val="en-US" w:eastAsia="zh-CN"/>
        </w:rPr>
        <w:t>2、</w:t>
      </w:r>
      <w:r>
        <w:rPr>
          <w:rFonts w:hint="eastAsia" w:asciiTheme="majorEastAsia" w:hAnsiTheme="majorEastAsia" w:eastAsiaTheme="majorEastAsia" w:cstheme="majorEastAsia"/>
          <w:color w:val="000000"/>
          <w:sz w:val="28"/>
          <w:szCs w:val="28"/>
        </w:rPr>
        <w:t>绩效评价的内容主要包括绩效目标及各项指标完成情况、预算执行情况和与其相关的投入决策、过程管理、产出效益、履职效能、制度建设等，不仅要包括产出、成本，还要包括经济效益、社会效益、生态效益、可持续影响力和服务对象满意度等绩效指标。</w:t>
      </w:r>
    </w:p>
    <w:p>
      <w:pPr>
        <w:pStyle w:val="3"/>
        <w:pageBreakBefore w:val="0"/>
        <w:kinsoku/>
        <w:wordWrap/>
        <w:overflowPunct/>
        <w:topLinePunct w:val="0"/>
        <w:autoSpaceDE/>
        <w:autoSpaceDN/>
        <w:bidi w:val="0"/>
        <w:snapToGrid/>
        <w:spacing w:line="360" w:lineRule="auto"/>
        <w:ind w:firstLine="562" w:firstLineChars="200"/>
        <w:textAlignment w:val="auto"/>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eastAsia="zh-CN"/>
        </w:rPr>
        <w:t>六</w:t>
      </w:r>
      <w:r>
        <w:rPr>
          <w:rFonts w:hint="eastAsia" w:asciiTheme="majorEastAsia" w:hAnsiTheme="majorEastAsia" w:eastAsiaTheme="majorEastAsia" w:cstheme="majorEastAsia"/>
          <w:color w:val="000000"/>
          <w:sz w:val="28"/>
          <w:szCs w:val="28"/>
        </w:rPr>
        <w:t>、项目主要经验及做法</w:t>
      </w:r>
    </w:p>
    <w:p>
      <w:pPr>
        <w:pStyle w:val="2"/>
        <w:pageBreakBefore w:val="0"/>
        <w:kinsoku/>
        <w:wordWrap/>
        <w:overflowPunct/>
        <w:topLinePunct w:val="0"/>
        <w:autoSpaceDE/>
        <w:autoSpaceDN/>
        <w:bidi w:val="0"/>
        <w:snapToGrid/>
        <w:spacing w:line="360" w:lineRule="auto"/>
        <w:ind w:firstLine="560" w:firstLineChars="200"/>
        <w:textAlignment w:val="auto"/>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2"/>
          <w:sz w:val="28"/>
          <w:szCs w:val="28"/>
          <w:lang w:val="en-US" w:eastAsia="zh-CN" w:bidi="ar-SA"/>
        </w:rPr>
        <w:t>按照教育、财政部门全面实施预算绩效管理的要求，建立健全全过程预算绩效管理机制，按规定科学合理设定绩效目标，对照绩效目标做好绩效监控、绩效评价，强化绩效结果运用，做好绩效信息公开，提高补助经费配置效率和使用效益。</w:t>
      </w:r>
    </w:p>
    <w:p>
      <w:pPr>
        <w:pageBreakBefore w:val="0"/>
        <w:kinsoku/>
        <w:wordWrap/>
        <w:overflowPunct/>
        <w:topLinePunct w:val="0"/>
        <w:autoSpaceDE/>
        <w:autoSpaceDN/>
        <w:bidi w:val="0"/>
        <w:snapToGrid/>
        <w:spacing w:line="360" w:lineRule="auto"/>
        <w:ind w:firstLine="560" w:firstLineChars="200"/>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1、大力宣传</w:t>
      </w:r>
    </w:p>
    <w:p>
      <w:pPr>
        <w:pageBreakBefore w:val="0"/>
        <w:kinsoku/>
        <w:wordWrap/>
        <w:overflowPunct/>
        <w:topLinePunct w:val="0"/>
        <w:autoSpaceDE/>
        <w:autoSpaceDN/>
        <w:bidi w:val="0"/>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通过校园广播、报栏、黑板报、微信群、QQ群等广泛宣传，让每-位学生都知道国家营养餐方面的政策，印发“致家长的一封信”，让党的惠民政策深入家长心中。</w:t>
      </w:r>
    </w:p>
    <w:p>
      <w:pPr>
        <w:pageBreakBefore w:val="0"/>
        <w:kinsoku/>
        <w:wordWrap/>
        <w:overflowPunct/>
        <w:topLinePunct w:val="0"/>
        <w:autoSpaceDE/>
        <w:autoSpaceDN/>
        <w:bidi w:val="0"/>
        <w:snapToGrid/>
        <w:spacing w:line="360" w:lineRule="auto"/>
        <w:ind w:firstLine="560" w:firstLineChars="200"/>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2、健全机构</w:t>
      </w:r>
    </w:p>
    <w:p>
      <w:pPr>
        <w:pageBreakBefore w:val="0"/>
        <w:kinsoku/>
        <w:wordWrap/>
        <w:overflowPunct/>
        <w:topLinePunct w:val="0"/>
        <w:autoSpaceDE/>
        <w:autoSpaceDN/>
        <w:bidi w:val="0"/>
        <w:snapToGrid/>
        <w:spacing w:line="360" w:lineRule="auto"/>
        <w:ind w:firstLine="560" w:firstLineChars="200"/>
        <w:textAlignment w:val="auto"/>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eastAsia="zh-CN"/>
        </w:rPr>
        <w:t>学校成立了以校长任组长、分管副校长为副组长、总务主任和报账员、出纳、大灶管理员、班主任代表为成员的营养改善计划实施领导小组。领导小组负责制定义务教育补助经费、营养改善计划实施方案、营养改善计划实施应急预案等各项制度，并组织实施，做到收支票据规范清楚、账目日清月结、定期公布。</w:t>
      </w:r>
    </w:p>
    <w:p>
      <w:pPr>
        <w:pStyle w:val="3"/>
        <w:pageBreakBefore w:val="0"/>
        <w:kinsoku/>
        <w:wordWrap/>
        <w:overflowPunct/>
        <w:topLinePunct w:val="0"/>
        <w:autoSpaceDE/>
        <w:autoSpaceDN/>
        <w:bidi w:val="0"/>
        <w:snapToGrid/>
        <w:spacing w:line="360" w:lineRule="auto"/>
        <w:ind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eastAsia="zh-CN"/>
        </w:rPr>
        <w:t>七</w:t>
      </w:r>
      <w:r>
        <w:rPr>
          <w:rFonts w:hint="eastAsia" w:asciiTheme="majorEastAsia" w:hAnsiTheme="majorEastAsia" w:eastAsiaTheme="majorEastAsia" w:cstheme="majorEastAsia"/>
          <w:b/>
          <w:bCs/>
          <w:sz w:val="28"/>
          <w:szCs w:val="28"/>
        </w:rPr>
        <w:t>、存在的主要问题:</w:t>
      </w:r>
    </w:p>
    <w:p>
      <w:pPr>
        <w:pageBreakBefore w:val="0"/>
        <w:kinsoku/>
        <w:wordWrap/>
        <w:overflowPunct/>
        <w:topLinePunct w:val="0"/>
        <w:autoSpaceDE/>
        <w:autoSpaceDN/>
        <w:bidi w:val="0"/>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1、学校食堂从业人员素质参差不齐，从业人员大部分没有经过专业培训。</w:t>
      </w:r>
    </w:p>
    <w:p>
      <w:pPr>
        <w:pageBreakBefore w:val="0"/>
        <w:kinsoku/>
        <w:wordWrap/>
        <w:overflowPunct/>
        <w:topLinePunct w:val="0"/>
        <w:autoSpaceDE/>
        <w:autoSpaceDN/>
        <w:bidi w:val="0"/>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2、学校营养餐配餐方面缺乏专业人员指导，营养食谱的科学性有待提高。</w:t>
      </w:r>
    </w:p>
    <w:p>
      <w:pPr>
        <w:pageBreakBefore w:val="0"/>
        <w:kinsoku/>
        <w:wordWrap/>
        <w:overflowPunct/>
        <w:topLinePunct w:val="0"/>
        <w:autoSpaceDE/>
        <w:autoSpaceDN/>
        <w:bidi w:val="0"/>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3、学校财务人员均为兼职人员，财务专业知识缺乏。</w:t>
      </w:r>
    </w:p>
    <w:p>
      <w:pPr>
        <w:pStyle w:val="3"/>
        <w:pageBreakBefore w:val="0"/>
        <w:kinsoku/>
        <w:wordWrap/>
        <w:overflowPunct/>
        <w:topLinePunct w:val="0"/>
        <w:autoSpaceDE/>
        <w:autoSpaceDN/>
        <w:bidi w:val="0"/>
        <w:snapToGrid/>
        <w:spacing w:line="360" w:lineRule="auto"/>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八、有关建议</w:t>
      </w:r>
    </w:p>
    <w:p>
      <w:pPr>
        <w:pageBreakBefore w:val="0"/>
        <w:kinsoku/>
        <w:wordWrap/>
        <w:overflowPunct/>
        <w:topLinePunct w:val="0"/>
        <w:autoSpaceDE/>
        <w:autoSpaceDN/>
        <w:bidi w:val="0"/>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1、加大政府投入力度，针对学校设施设备短缺等问题，加大投入力度，完善配套设施，改善学生就餐场所，确保配套设施满足学生就餐需求。</w:t>
      </w:r>
    </w:p>
    <w:p>
      <w:pPr>
        <w:pageBreakBefore w:val="0"/>
        <w:kinsoku/>
        <w:wordWrap/>
        <w:overflowPunct/>
        <w:topLinePunct w:val="0"/>
        <w:autoSpaceDE/>
        <w:autoSpaceDN/>
        <w:bidi w:val="0"/>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2、建议实行后勤服务社会化，加强食品卫生监管。</w:t>
      </w:r>
    </w:p>
    <w:p>
      <w:pPr>
        <w:pageBreakBefore w:val="0"/>
        <w:kinsoku/>
        <w:wordWrap/>
        <w:overflowPunct/>
        <w:topLinePunct w:val="0"/>
        <w:autoSpaceDE/>
        <w:autoSpaceDN/>
        <w:bidi w:val="0"/>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3、组织有关专家统一制定营养食谱，供学校选择使用，以保证营养改善计划的协调推进和健康发展。</w:t>
      </w:r>
    </w:p>
    <w:p>
      <w:pPr>
        <w:pageBreakBefore w:val="0"/>
        <w:kinsoku/>
        <w:wordWrap/>
        <w:overflowPunct/>
        <w:topLinePunct w:val="0"/>
        <w:autoSpaceDE/>
        <w:autoSpaceDN/>
        <w:bidi w:val="0"/>
        <w:snapToGrid/>
        <w:spacing w:line="360" w:lineRule="auto"/>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4、加大财务、后勤、管理等人员的培训力度。通过开展培训等多途径来提升学校财务、管理、后勤工作人员和供餐人员的工作能力。</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200" w:right="0" w:rightChars="0" w:firstLine="560" w:firstLineChars="200"/>
        <w:textAlignment w:val="auto"/>
        <w:rPr>
          <w:rFonts w:hint="default" w:ascii="仿宋" w:hAnsi="仿宋" w:eastAsia="仿宋" w:cs="仿宋"/>
          <w:i w:val="0"/>
          <w:iCs w:val="0"/>
          <w:caps w:val="0"/>
          <w:color w:val="333333"/>
          <w:spacing w:val="0"/>
          <w:sz w:val="28"/>
          <w:szCs w:val="28"/>
          <w:shd w:val="clear"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default" w:ascii="仿宋" w:hAnsi="仿宋" w:eastAsia="仿宋" w:cs="仿宋"/>
          <w:i/>
          <w:iCs/>
          <w:caps w:val="0"/>
          <w:color w:val="333333"/>
          <w:spacing w:val="0"/>
          <w:sz w:val="28"/>
          <w:szCs w:val="28"/>
          <w:shd w:val="clear"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85" w:leftChars="0" w:right="0" w:rightChars="0" w:firstLine="560" w:firstLineChars="200"/>
        <w:jc w:val="center"/>
        <w:textAlignment w:val="auto"/>
        <w:rPr>
          <w:rFonts w:hint="eastAsia" w:ascii="仿宋" w:hAnsi="仿宋" w:eastAsia="仿宋" w:cs="仿宋"/>
          <w:i w:val="0"/>
          <w:iCs w:val="0"/>
          <w:caps w:val="0"/>
          <w:color w:val="333333"/>
          <w:spacing w:val="0"/>
          <w:sz w:val="28"/>
          <w:szCs w:val="28"/>
          <w:shd w:val="clear" w:fill="FFFFFF"/>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eastAsia="宋体"/>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51C95"/>
    <w:multiLevelType w:val="singleLevel"/>
    <w:tmpl w:val="A5151C95"/>
    <w:lvl w:ilvl="0" w:tentative="0">
      <w:start w:val="1"/>
      <w:numFmt w:val="decimal"/>
      <w:suff w:val="nothing"/>
      <w:lvlText w:val="%1、"/>
      <w:lvlJc w:val="left"/>
    </w:lvl>
  </w:abstractNum>
  <w:abstractNum w:abstractNumId="1">
    <w:nsid w:val="453E3662"/>
    <w:multiLevelType w:val="singleLevel"/>
    <w:tmpl w:val="453E366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ZmVhMjBlOGQwNjYxYWE1N2QyYzc0NTUzYzExOTQifQ=="/>
  </w:docVars>
  <w:rsids>
    <w:rsidRoot w:val="00000000"/>
    <w:rsid w:val="1F6227BE"/>
    <w:rsid w:val="25196B98"/>
    <w:rsid w:val="4D1E18AA"/>
    <w:rsid w:val="630C626C"/>
    <w:rsid w:val="6EDE2206"/>
    <w:rsid w:val="6FAF7890"/>
    <w:rsid w:val="71FF234A"/>
    <w:rsid w:val="7A9F3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3724</Words>
  <Characters>3969</Characters>
  <Lines>0</Lines>
  <Paragraphs>0</Paragraphs>
  <TotalTime>7</TotalTime>
  <ScaleCrop>false</ScaleCrop>
  <LinksUpToDate>false</LinksUpToDate>
  <CharactersWithSpaces>3973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2023-06-22T02:27:00Z</dcterms:created>
  <dc:creator>Administrator</dc:creator>
  <cp:lastModifiedBy>lenovo</cp:lastModifiedBy>
  <dcterms:modified xsi:type="dcterms:W3CDTF">2023-06-23T12:47:58Z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513A30F326C642F799C140C2240585B8_12</vt:lpwstr>
  </property>
</Properties>
</file>