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spacing w:val="14"/>
          <w:w w:val="96"/>
          <w:kern w:val="0"/>
          <w:sz w:val="56"/>
          <w:szCs w:val="56"/>
        </w:rPr>
        <w:t>202</w:t>
      </w:r>
      <w:r>
        <w:rPr>
          <w:rFonts w:hint="eastAsia" w:ascii="黑体" w:hAnsi="黑体" w:eastAsia="MS Mincho" w:cs="黑体"/>
          <w:color w:val="000000"/>
          <w:spacing w:val="14"/>
          <w:w w:val="96"/>
          <w:kern w:val="0"/>
          <w:sz w:val="56"/>
          <w:szCs w:val="56"/>
          <w:lang w:val="en-US" w:eastAsia="ja-JP"/>
        </w:rPr>
        <w:t>2</w:t>
      </w:r>
      <w:r>
        <w:rPr>
          <w:rFonts w:hint="eastAsia" w:ascii="黑体" w:hAnsi="黑体" w:eastAsia="黑体" w:cs="黑体"/>
          <w:color w:val="000000"/>
          <w:spacing w:val="14"/>
          <w:w w:val="96"/>
          <w:kern w:val="0"/>
          <w:sz w:val="56"/>
          <w:szCs w:val="56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56"/>
          <w:szCs w:val="56"/>
        </w:rPr>
        <w:t>项</w:t>
      </w:r>
      <w:r>
        <w:rPr>
          <w:rFonts w:hint="eastAsia" w:ascii="黑体" w:hAnsi="黑体" w:eastAsia="黑体" w:cs="黑体"/>
          <w:color w:val="000000"/>
          <w:w w:val="3"/>
          <w:kern w:val="0"/>
          <w:sz w:val="56"/>
          <w:szCs w:val="56"/>
        </w:rPr>
        <w:t xml:space="preserve"> </w:t>
      </w:r>
      <w:r>
        <w:rPr>
          <w:rFonts w:hint="eastAsia" w:ascii="黑体" w:hAnsi="黑体" w:eastAsia="黑体" w:cs="黑体"/>
          <w:color w:val="000000"/>
          <w:spacing w:val="14"/>
          <w:w w:val="96"/>
          <w:kern w:val="0"/>
          <w:sz w:val="56"/>
          <w:szCs w:val="56"/>
        </w:rPr>
        <w:t>目</w:t>
      </w:r>
      <w:r>
        <w:rPr>
          <w:rFonts w:hint="eastAsia" w:ascii="黑体" w:hAnsi="黑体" w:eastAsia="黑体" w:cs="黑体"/>
          <w:color w:val="000000"/>
          <w:spacing w:val="-13"/>
          <w:kern w:val="0"/>
          <w:sz w:val="56"/>
          <w:szCs w:val="56"/>
        </w:rPr>
        <w:t>绩</w:t>
      </w:r>
      <w:r>
        <w:rPr>
          <w:rFonts w:hint="eastAsia" w:ascii="黑体" w:hAnsi="黑体" w:eastAsia="黑体" w:cs="黑体"/>
          <w:color w:val="000000"/>
          <w:kern w:val="0"/>
          <w:sz w:val="56"/>
          <w:szCs w:val="56"/>
        </w:rPr>
        <w:t>效</w:t>
      </w:r>
      <w:r>
        <w:rPr>
          <w:rFonts w:hint="eastAsia" w:ascii="黑体" w:hAnsi="黑体" w:eastAsia="黑体" w:cs="黑体"/>
          <w:color w:val="000000"/>
          <w:spacing w:val="12"/>
          <w:w w:val="97"/>
          <w:kern w:val="0"/>
          <w:sz w:val="56"/>
          <w:szCs w:val="56"/>
        </w:rPr>
        <w:t>自评</w:t>
      </w:r>
      <w:r>
        <w:rPr>
          <w:rFonts w:hint="eastAsia" w:ascii="黑体" w:hAnsi="黑体" w:eastAsia="黑体" w:cs="黑体"/>
          <w:color w:val="000000"/>
          <w:kern w:val="0"/>
          <w:sz w:val="56"/>
          <w:szCs w:val="56"/>
        </w:rPr>
        <w:t>报</w:t>
      </w:r>
      <w:r>
        <w:rPr>
          <w:rFonts w:hint="eastAsia" w:ascii="黑体" w:hAnsi="黑体" w:eastAsia="黑体" w:cs="黑体"/>
          <w:color w:val="000000"/>
          <w:w w:val="3"/>
          <w:kern w:val="0"/>
          <w:sz w:val="56"/>
          <w:szCs w:val="56"/>
        </w:rPr>
        <w:t xml:space="preserve"> </w:t>
      </w:r>
      <w:r>
        <w:rPr>
          <w:rFonts w:hint="eastAsia" w:ascii="黑体" w:hAnsi="黑体" w:eastAsia="黑体" w:cs="黑体"/>
          <w:color w:val="000000"/>
          <w:spacing w:val="14"/>
          <w:w w:val="96"/>
          <w:kern w:val="0"/>
          <w:sz w:val="56"/>
          <w:szCs w:val="56"/>
        </w:rPr>
        <w:t>告</w:t>
      </w:r>
    </w:p>
    <w:p>
      <w:pPr>
        <w:pStyle w:val="2"/>
        <w:spacing w:line="680" w:lineRule="exact"/>
        <w:rPr>
          <w:rFonts w:hint="eastAsia" w:ascii="Times New Roman" w:hAnsi="Times New Roman" w:eastAsia="宋体" w:cs="Times New Roman"/>
          <w:color w:val="000000"/>
          <w:sz w:val="56"/>
          <w:szCs w:val="56"/>
          <w:lang w:eastAsia="zh-CN"/>
        </w:rPr>
      </w:pPr>
    </w:p>
    <w:p>
      <w:pPr>
        <w:pStyle w:val="2"/>
        <w:spacing w:line="680" w:lineRule="exact"/>
        <w:rPr>
          <w:rFonts w:hint="eastAsia" w:ascii="Times New Roman" w:hAnsi="Times New Roman" w:eastAsia="宋体" w:cs="Times New Roman"/>
          <w:color w:val="000000"/>
          <w:sz w:val="56"/>
          <w:szCs w:val="56"/>
          <w:lang w:eastAsia="zh-CN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>
      <w:pPr>
        <w:spacing w:line="578" w:lineRule="exact"/>
        <w:ind w:left="1600" w:hanging="1600" w:hangingChars="5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8" w:lineRule="exact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>
      <w:pPr>
        <w:autoSpaceDE w:val="0"/>
        <w:autoSpaceDN w:val="0"/>
        <w:spacing w:line="1051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合水县</w:t>
      </w:r>
      <w:r>
        <w:rPr>
          <w:rFonts w:hint="eastAsia" w:ascii="仿宋_GB2312" w:eastAsia="仿宋_GB2312"/>
          <w:sz w:val="32"/>
          <w:szCs w:val="32"/>
          <w:lang w:eastAsia="zh-CN"/>
        </w:rPr>
        <w:t>西华池初级中学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MS Mincho" w:cs="仿宋"/>
          <w:sz w:val="32"/>
          <w:szCs w:val="32"/>
          <w:lang w:val="en-US" w:eastAsia="ja-JP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bCs/>
          <w:color w:val="000000"/>
          <w:spacing w:val="32"/>
          <w:w w:val="86"/>
          <w:kern w:val="0"/>
          <w:sz w:val="32"/>
          <w:szCs w:val="18"/>
        </w:rPr>
      </w:pPr>
      <w:r>
        <w:rPr>
          <w:rFonts w:hint="eastAsia" w:ascii="宋体" w:hAnsi="宋体" w:eastAsia="宋体" w:cs="宋体"/>
          <w:color w:val="000000"/>
          <w:spacing w:val="14"/>
          <w:w w:val="96"/>
          <w:kern w:val="0"/>
          <w:sz w:val="44"/>
          <w:szCs w:val="44"/>
        </w:rPr>
        <w:t>202</w:t>
      </w:r>
      <w:r>
        <w:rPr>
          <w:rFonts w:hint="eastAsia" w:ascii="宋体" w:hAnsi="宋体" w:eastAsia="MS Mincho" w:cs="宋体"/>
          <w:color w:val="000000"/>
          <w:spacing w:val="14"/>
          <w:w w:val="96"/>
          <w:kern w:val="0"/>
          <w:sz w:val="44"/>
          <w:szCs w:val="44"/>
          <w:lang w:val="en-US" w:eastAsia="ja-JP"/>
        </w:rPr>
        <w:t>2</w:t>
      </w:r>
      <w:r>
        <w:rPr>
          <w:rFonts w:hint="eastAsia" w:ascii="宋体" w:hAnsi="宋体" w:eastAsia="宋体" w:cs="宋体"/>
          <w:color w:val="000000"/>
          <w:spacing w:val="14"/>
          <w:w w:val="96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项</w:t>
      </w:r>
      <w:r>
        <w:rPr>
          <w:rFonts w:hint="eastAsia" w:ascii="宋体" w:hAnsi="宋体" w:eastAsia="宋体" w:cs="宋体"/>
          <w:color w:val="000000"/>
          <w:w w:val="3"/>
          <w:kern w:val="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color w:val="000000"/>
          <w:spacing w:val="14"/>
          <w:w w:val="96"/>
          <w:kern w:val="0"/>
          <w:sz w:val="44"/>
          <w:szCs w:val="44"/>
        </w:rPr>
        <w:t>目</w:t>
      </w:r>
      <w:r>
        <w:rPr>
          <w:rFonts w:hint="eastAsia" w:ascii="宋体" w:hAnsi="宋体" w:eastAsia="宋体" w:cs="宋体"/>
          <w:color w:val="000000"/>
          <w:spacing w:val="-13"/>
          <w:kern w:val="0"/>
          <w:sz w:val="44"/>
          <w:szCs w:val="44"/>
        </w:rPr>
        <w:t>绩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效</w:t>
      </w:r>
      <w:r>
        <w:rPr>
          <w:rFonts w:hint="eastAsia" w:ascii="宋体" w:hAnsi="宋体" w:eastAsia="宋体" w:cs="宋体"/>
          <w:color w:val="000000"/>
          <w:spacing w:val="12"/>
          <w:w w:val="97"/>
          <w:kern w:val="0"/>
          <w:sz w:val="44"/>
          <w:szCs w:val="44"/>
        </w:rPr>
        <w:t>自评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报</w:t>
      </w:r>
      <w:r>
        <w:rPr>
          <w:rFonts w:hint="eastAsia" w:ascii="宋体" w:hAnsi="宋体" w:eastAsia="宋体" w:cs="宋体"/>
          <w:color w:val="000000"/>
          <w:w w:val="3"/>
          <w:kern w:val="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color w:val="000000"/>
          <w:spacing w:val="14"/>
          <w:w w:val="96"/>
          <w:kern w:val="0"/>
          <w:sz w:val="44"/>
          <w:szCs w:val="44"/>
        </w:rPr>
        <w:t>告</w:t>
      </w:r>
    </w:p>
    <w:p>
      <w:pPr>
        <w:autoSpaceDE w:val="0"/>
        <w:autoSpaceDN w:val="0"/>
        <w:spacing w:line="463" w:lineRule="exact"/>
        <w:jc w:val="center"/>
        <w:rPr>
          <w:rFonts w:hint="eastAsia" w:ascii="方正大标宋简体" w:hAnsi="方正舒体" w:eastAsia="方正大标宋简体" w:cs="方正舒体"/>
          <w:bCs/>
          <w:color w:val="000000"/>
          <w:spacing w:val="32"/>
          <w:w w:val="86"/>
          <w:kern w:val="0"/>
          <w:sz w:val="43"/>
        </w:rPr>
      </w:pPr>
    </w:p>
    <w:p>
      <w:pPr>
        <w:autoSpaceDE w:val="0"/>
        <w:autoSpaceDN w:val="0"/>
        <w:spacing w:line="360" w:lineRule="auto"/>
        <w:ind w:right="259"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根据县局工作要求，健全绩效评价常态化机制，按照合水县财政局预算绩效管理工作部署，开展</w:t>
      </w:r>
      <w:r>
        <w:rPr>
          <w:rFonts w:hint="eastAsia" w:ascii="仿宋_GB2312" w:eastAsia="仿宋_GB2312"/>
          <w:sz w:val="32"/>
          <w:szCs w:val="32"/>
          <w:lang w:eastAsia="zh-CN"/>
        </w:rPr>
        <w:t>合水县西华池初级中学家庭经济困难学生生活补助等项目</w:t>
      </w:r>
      <w:r>
        <w:rPr>
          <w:rFonts w:hint="eastAsia" w:ascii="仿宋_GB2312" w:eastAsia="仿宋_GB2312"/>
          <w:sz w:val="32"/>
          <w:szCs w:val="32"/>
        </w:rPr>
        <w:t>绩效评价工作。现将主要评价结果报告如下：</w:t>
      </w:r>
    </w:p>
    <w:p>
      <w:pPr>
        <w:pStyle w:val="2"/>
        <w:spacing w:line="590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项目立项背景</w:t>
      </w:r>
    </w:p>
    <w:p>
      <w:pPr>
        <w:spacing w:before="180" w:line="343" w:lineRule="auto"/>
        <w:ind w:left="30" w:firstLine="561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家庭经济困难学生生活补助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义务教育阶段家庭经济困难学生生活补助是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项民心工程、阳光程、德政工程，更是一项有利于国家长远发展的民族振兴工程。</w:t>
      </w:r>
    </w:p>
    <w:p>
      <w:pPr>
        <w:spacing w:before="180" w:line="343" w:lineRule="auto"/>
        <w:ind w:left="30" w:firstLine="561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pacing w:val="-2"/>
          <w:sz w:val="28"/>
          <w:szCs w:val="28"/>
          <w:lang w:val="en-US" w:eastAsia="zh-CN"/>
        </w:rPr>
        <w:t>营养改善计划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为加快预算执行进度，提高预算编制完整性，根据《财政部教育部提前下达2022年城乡义务教育补助经费预算的通知》(财教〔2021〕 248号)精神和2020年教育事业年报等相关数据。</w:t>
      </w:r>
    </w:p>
    <w:p>
      <w:pPr>
        <w:pStyle w:val="2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项目实施和完成情况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2022年合水县西华池初级中学共规划2个项目，实施性质分为生活补助及基础设施建设两大类，其中生活补助主要内容为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家庭经济困难学生生活补助、</w:t>
      </w:r>
      <w:r>
        <w:rPr>
          <w:rFonts w:hint="default" w:ascii="仿宋" w:hAnsi="仿宋" w:eastAsia="仿宋" w:cs="仿宋"/>
          <w:spacing w:val="-2"/>
          <w:sz w:val="28"/>
          <w:szCs w:val="28"/>
          <w:lang w:val="en-US" w:eastAsia="zh-CN"/>
        </w:rPr>
        <w:t>营养改善计划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。具体成情况如表1-1所示：</w:t>
      </w: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</w:p>
    <w:p>
      <w:pPr>
        <w:autoSpaceDE w:val="0"/>
        <w:autoSpaceDN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</w:pPr>
    </w:p>
    <w:p>
      <w:pPr>
        <w:autoSpaceDE w:val="0"/>
        <w:autoSpaceDN w:val="0"/>
        <w:spacing w:line="360" w:lineRule="auto"/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3"/>
        </w:rPr>
        <w:t>表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3"/>
          <w:kern w:val="0"/>
          <w:sz w:val="23"/>
        </w:rPr>
        <w:t>1-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7"/>
          <w:w w:val="93"/>
          <w:kern w:val="0"/>
          <w:sz w:val="23"/>
          <w:lang w:val="en-US" w:eastAsia="zh-CN"/>
        </w:rPr>
        <w:t>1</w:t>
      </w:r>
    </w:p>
    <w:tbl>
      <w:tblPr>
        <w:tblStyle w:val="6"/>
        <w:tblW w:w="81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309"/>
        <w:gridCol w:w="1969"/>
        <w:gridCol w:w="2403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sz w:val="16"/>
                <w:szCs w:val="16"/>
                <w:lang w:val="en-US" w:eastAsia="zh-CN" w:bidi="ar"/>
              </w:rPr>
              <w:t>建设性质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sz w:val="16"/>
                <w:szCs w:val="16"/>
                <w:lang w:val="en-US" w:eastAsia="zh-CN" w:bidi="ar"/>
              </w:rPr>
              <w:t>建设内容及费用名称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sz w:val="16"/>
                <w:szCs w:val="16"/>
                <w:lang w:val="en-US" w:eastAsia="zh-CN" w:bidi="ar"/>
              </w:rPr>
              <w:t>是否完成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家庭经济困难学生生活补助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改善学生生活状况，减轻学生的经济负担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sz w:val="16"/>
                <w:szCs w:val="16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standardContextual"/>
              </w:rPr>
            </w:pPr>
            <w:r>
              <w:rPr>
                <w:rStyle w:val="10"/>
                <w:sz w:val="16"/>
                <w:szCs w:val="16"/>
                <w:lang w:val="en-US" w:eastAsia="zh-CN" w:bidi="ar"/>
              </w:rPr>
              <w:t>营养改善计划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为农村义务教育阶段学生提供等值优质的食品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  <w14:ligatures w14:val="standardContextual"/>
              </w:rPr>
            </w:pPr>
            <w:r>
              <w:rPr>
                <w:rStyle w:val="10"/>
                <w:sz w:val="16"/>
                <w:szCs w:val="16"/>
                <w:lang w:val="en-US" w:eastAsia="zh-CN" w:bidi="ar"/>
              </w:rPr>
              <w:t>是</w:t>
            </w:r>
          </w:p>
        </w:tc>
      </w:tr>
    </w:tbl>
    <w:p>
      <w:pPr>
        <w:pStyle w:val="2"/>
        <w:spacing w:line="590" w:lineRule="exact"/>
        <w:ind w:firstLine="64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项目资金使用情况</w:t>
      </w:r>
    </w:p>
    <w:p>
      <w:pPr>
        <w:pStyle w:val="9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2022年度，合水县西华池初级中学具体各项资金支付明细详见表1-2所示：</w:t>
      </w:r>
    </w:p>
    <w:p>
      <w:pPr>
        <w:pStyle w:val="9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6"/>
        <w:tblW w:w="82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343"/>
        <w:gridCol w:w="1649"/>
        <w:gridCol w:w="1908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序号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建设性质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建设内容及费用名称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已支付金额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家庭经济困难学生生活补助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改善学生生活状况，减轻学生的经济负担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165,750.00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Style w:val="10"/>
                <w:lang w:val="en-US" w:eastAsia="zh-CN" w:bidi="ar"/>
              </w:rPr>
              <w:t>营养改善计划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为农村义务教育阶段学生提供等值优质的食品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452317.14</w:t>
            </w:r>
          </w:p>
        </w:tc>
      </w:tr>
    </w:tbl>
    <w:p>
      <w:pPr>
        <w:pStyle w:val="2"/>
        <w:spacing w:line="590" w:lineRule="exact"/>
        <w:ind w:firstLine="64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项目绩效目标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  <w14:ligatures w14:val="none"/>
        </w:rPr>
        <w:t>依据2022年度该项目建设内容，评价组对其年度绩效目标进行了梳理总结，具体年度目标详见表1-3、1-4、1-5所示：</w:t>
      </w:r>
    </w:p>
    <w:p>
      <w:pPr>
        <w:pStyle w:val="9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表1-3家庭经济困难学生生活补助</w:t>
      </w:r>
    </w:p>
    <w:tbl>
      <w:tblPr>
        <w:tblStyle w:val="6"/>
        <w:tblW w:w="82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12"/>
        <w:gridCol w:w="1455"/>
        <w:gridCol w:w="3642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资金需求数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资助系统学生信息录入率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家庭经济困难寄宿小学生生活费补助标准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家庭经济困难非寄宿小学生生活费补助标准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资金支付率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资金到位及时率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资金数量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≤16.58万元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城乡义务教育阶段家庭经济困难学生生活费补助成本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≤16.58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提高社会认可度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城乡义务教育阶段家庭经济困难学生覆盖率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生态环境改善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改善家庭经济困难学生生活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学生满意度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家长满意度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autoSpaceDE w:val="0"/>
        <w:autoSpaceDN w:val="0"/>
        <w:spacing w:line="534" w:lineRule="exact"/>
        <w:jc w:val="left"/>
        <w:rPr>
          <w:rFonts w:ascii="仿宋_GB2312" w:eastAsia="仿宋_GB2312"/>
          <w:sz w:val="32"/>
          <w:szCs w:val="32"/>
        </w:rPr>
      </w:pPr>
    </w:p>
    <w:p>
      <w:pPr>
        <w:pStyle w:val="9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表1-4营养改善计划</w:t>
      </w:r>
    </w:p>
    <w:tbl>
      <w:tblPr>
        <w:tblStyle w:val="6"/>
        <w:tblW w:w="8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656"/>
        <w:gridCol w:w="1341"/>
        <w:gridCol w:w="3805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补助人数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学校个数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供餐质量达标率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食品安全事故零发生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资金到位及时率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支持资金成本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≤45.23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农村义务教育阶段学校早餐免费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改善学生身体状况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学生身体素质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学生满意度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spacing w:line="59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五、项目主要经验及做法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按照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教育、财政部门全面实施预算绩效管理的要求，建立健全全过程预算绩效管理机制，按规定科学合理设定绩效目标，对照绩效目标做好绩效监控、绩效评价，强化绩效结果运用，做好绩效信息公开，提高补助经费配置效率和使用效益。</w:t>
      </w:r>
    </w:p>
    <w:p>
      <w:pPr>
        <w:pStyle w:val="2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六、存在问题及原因分析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</w:t>
      </w:r>
    </w:p>
    <w:p>
      <w:pPr>
        <w:pStyle w:val="2"/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七、有关建议</w:t>
      </w:r>
    </w:p>
    <w:p>
      <w:pPr>
        <w:spacing w:before="180" w:line="343" w:lineRule="auto"/>
        <w:ind w:left="30" w:firstLine="56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无</w:t>
      </w:r>
    </w:p>
    <w:p>
      <w:pPr>
        <w:pStyle w:val="2"/>
        <w:spacing w:line="590" w:lineRule="exact"/>
        <w:ind w:firstLine="64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八、其他需要说明的问题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2Q1NjUzZjgwMjEwOGJjMmUzNjVlYmFmMTcxYjYifQ=="/>
  </w:docVars>
  <w:rsids>
    <w:rsidRoot w:val="0946184C"/>
    <w:rsid w:val="0946184C"/>
    <w:rsid w:val="0FDF6DE2"/>
    <w:rsid w:val="12862263"/>
    <w:rsid w:val="141B3D6F"/>
    <w:rsid w:val="14C50C5E"/>
    <w:rsid w:val="1E7352C5"/>
    <w:rsid w:val="22A107AE"/>
    <w:rsid w:val="3CE07B72"/>
    <w:rsid w:val="4202698E"/>
    <w:rsid w:val="49522A14"/>
    <w:rsid w:val="4CA16EFC"/>
    <w:rsid w:val="51094A4E"/>
    <w:rsid w:val="588612CF"/>
    <w:rsid w:val="59441031"/>
    <w:rsid w:val="5EE70DDC"/>
    <w:rsid w:val="5FE80968"/>
    <w:rsid w:val="60DC47D2"/>
    <w:rsid w:val="6ACD0881"/>
    <w:rsid w:val="6F8B248C"/>
    <w:rsid w:val="78C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9" w:after="100" w:afterAutospacing="1"/>
      <w:ind w:left="1730"/>
      <w:outlineLvl w:val="0"/>
    </w:pPr>
    <w:rPr>
      <w:rFonts w:ascii="PMingLiU" w:hAnsi="PMingLiU" w:eastAsia="PMingLiU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7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4631</Words>
  <Characters>4829</Characters>
  <Lines>0</Lines>
  <Paragraphs>0</Paragraphs>
  <TotalTime>19</TotalTime>
  <ScaleCrop>false</ScaleCrop>
  <LinksUpToDate>false</LinksUpToDate>
  <CharactersWithSpaces>4837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2023-05-28T05:01:00Z</dcterms:created>
  <dc:creator>Administrator</dc:creator>
  <cp:lastModifiedBy>华</cp:lastModifiedBy>
  <dcterms:modified xsi:type="dcterms:W3CDTF">2023-10-17T13:26:42Z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B55C92F005CF429C808AF7B5DE189598_13</vt:lpwstr>
  </property>
</Properties>
</file>