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240" w:lineRule="auto"/>
        <w:ind w:right="125"/>
        <w:jc w:val="center"/>
        <w:textAlignment w:val="auto"/>
        <w:rPr>
          <w:rFonts w:hint="eastAsia" w:cs="宋体"/>
          <w:b/>
          <w:bCs w:val="0"/>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right="125"/>
        <w:jc w:val="center"/>
        <w:textAlignment w:val="auto"/>
        <w:rPr>
          <w:rFonts w:hint="eastAsia" w:cs="宋体"/>
          <w:b/>
          <w:bCs w:val="0"/>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right="125"/>
        <w:jc w:val="center"/>
        <w:textAlignment w:val="auto"/>
        <w:rPr>
          <w:rFonts w:hint="eastAsia" w:cs="宋体"/>
          <w:b/>
          <w:bCs w:val="0"/>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right="125"/>
        <w:jc w:val="center"/>
        <w:textAlignment w:val="auto"/>
        <w:rPr>
          <w:rFonts w:hint="eastAsia" w:cs="宋体"/>
          <w:b/>
          <w:bCs w:val="0"/>
          <w:color w:val="000000"/>
          <w:sz w:val="72"/>
          <w:szCs w:val="72"/>
          <w:lang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right="125"/>
        <w:jc w:val="center"/>
        <w:textAlignment w:val="auto"/>
        <w:rPr>
          <w:rFonts w:hint="eastAsia" w:cs="宋体"/>
          <w:b/>
          <w:bCs w:val="0"/>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240" w:lineRule="auto"/>
        <w:ind w:right="125"/>
        <w:jc w:val="center"/>
        <w:textAlignment w:val="auto"/>
        <w:rPr>
          <w:rFonts w:hint="eastAsia" w:cs="宋体"/>
          <w:b/>
          <w:bCs w:val="0"/>
          <w:color w:val="000000"/>
          <w:sz w:val="32"/>
          <w:szCs w:val="32"/>
          <w:lang w:eastAsia="zh-CN"/>
        </w:rPr>
      </w:pPr>
    </w:p>
    <w:p>
      <w:pPr>
        <w:pStyle w:val="4"/>
        <w:spacing w:line="700" w:lineRule="exact"/>
        <w:ind w:right="125"/>
        <w:jc w:val="center"/>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合残联发〔</w:t>
      </w:r>
      <w:r>
        <w:rPr>
          <w:rFonts w:hint="eastAsia" w:ascii="仿宋_GB2312" w:hAnsi="仿宋_GB2312" w:eastAsia="仿宋_GB2312" w:cs="仿宋_GB2312"/>
          <w:b w:val="0"/>
          <w:bCs/>
          <w:color w:val="000000"/>
          <w:sz w:val="32"/>
          <w:szCs w:val="32"/>
          <w:lang w:val="en-US" w:eastAsia="zh-CN"/>
        </w:rPr>
        <w:t>2022</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5号</w:t>
      </w:r>
    </w:p>
    <w:p>
      <w:pPr>
        <w:pStyle w:val="4"/>
        <w:spacing w:line="700" w:lineRule="exact"/>
        <w:ind w:right="125"/>
        <w:jc w:val="center"/>
        <w:rPr>
          <w:rFonts w:hint="default" w:cs="宋体"/>
          <w:b/>
          <w:bCs w:val="0"/>
          <w:color w:val="000000"/>
          <w:sz w:val="32"/>
          <w:szCs w:val="32"/>
          <w:lang w:val="en-US" w:eastAsia="zh-CN"/>
        </w:rPr>
      </w:pPr>
    </w:p>
    <w:p>
      <w:pPr>
        <w:pStyle w:val="4"/>
        <w:spacing w:line="700" w:lineRule="exact"/>
        <w:ind w:right="125"/>
        <w:jc w:val="center"/>
        <w:rPr>
          <w:rFonts w:hint="default" w:ascii="宋体" w:hAnsi="宋体" w:eastAsia="宋体" w:cs="宋体"/>
          <w:b/>
          <w:bCs w:val="0"/>
          <w:color w:val="000000"/>
          <w:sz w:val="40"/>
          <w:szCs w:val="40"/>
          <w:lang w:val="en-US"/>
        </w:rPr>
      </w:pPr>
      <w:r>
        <w:rPr>
          <w:rFonts w:hint="eastAsia" w:ascii="方正小标宋简体" w:hAnsi="方正小标宋简体" w:eastAsia="方正小标宋简体" w:cs="方正小标宋简体"/>
          <w:b w:val="0"/>
          <w:bCs/>
          <w:color w:val="000000"/>
          <w:sz w:val="44"/>
          <w:szCs w:val="44"/>
          <w:lang w:eastAsia="zh-CN"/>
        </w:rPr>
        <w:t>2021年</w:t>
      </w:r>
      <w:r>
        <w:rPr>
          <w:rFonts w:hint="eastAsia" w:ascii="方正小标宋简体" w:hAnsi="方正小标宋简体" w:eastAsia="方正小标宋简体" w:cs="方正小标宋简体"/>
          <w:b w:val="0"/>
          <w:bCs/>
          <w:color w:val="000000"/>
          <w:sz w:val="44"/>
          <w:szCs w:val="44"/>
        </w:rPr>
        <w:t>度</w:t>
      </w:r>
      <w:r>
        <w:rPr>
          <w:rFonts w:hint="eastAsia" w:ascii="方正小标宋简体" w:hAnsi="方正小标宋简体" w:eastAsia="方正小标宋简体" w:cs="方正小标宋简体"/>
          <w:b w:val="0"/>
          <w:bCs/>
          <w:color w:val="000000"/>
          <w:sz w:val="44"/>
          <w:szCs w:val="44"/>
          <w:lang w:val="en-US" w:eastAsia="zh-CN"/>
        </w:rPr>
        <w:t>合水县残联单位整体支出绩效评价报告</w:t>
      </w:r>
    </w:p>
    <w:p>
      <w:pPr>
        <w:pStyle w:val="4"/>
        <w:spacing w:line="600" w:lineRule="exact"/>
        <w:ind w:right="125" w:firstLine="643" w:firstLineChars="200"/>
        <w:jc w:val="center"/>
        <w:rPr>
          <w:rFonts w:ascii="Times New Roman" w:hAnsi="Times New Roman" w:eastAsia="仿宋_GB2312" w:cs="Times New Roman"/>
          <w:b/>
          <w:bCs/>
          <w:color w:val="000000"/>
          <w:sz w:val="32"/>
          <w:szCs w:val="32"/>
        </w:rPr>
      </w:pPr>
    </w:p>
    <w:p>
      <w:pPr>
        <w:pStyle w:val="4"/>
        <w:spacing w:line="600" w:lineRule="exact"/>
        <w:ind w:right="125"/>
        <w:jc w:val="both"/>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val="0"/>
          <w:bCs w:val="0"/>
          <w:color w:val="000000"/>
          <w:sz w:val="32"/>
          <w:szCs w:val="32"/>
          <w:lang w:eastAsia="zh-CN"/>
        </w:rPr>
        <w:t>县财政局：</w:t>
      </w:r>
      <w:r>
        <w:rPr>
          <w:rFonts w:ascii="Times New Roman" w:hAnsi="Times New Roman" w:eastAsia="仿宋_GB2312" w:cs="Times New Roman"/>
          <w:b/>
          <w:bCs/>
          <w:color w:val="000000"/>
          <w:sz w:val="32"/>
          <w:szCs w:val="32"/>
        </w:rPr>
        <w:t xml:space="preserve"> </w:t>
      </w:r>
    </w:p>
    <w:p>
      <w:pPr>
        <w:pStyle w:val="4"/>
        <w:keepNext w:val="0"/>
        <w:keepLines w:val="0"/>
        <w:pageBreakBefore w:val="0"/>
        <w:kinsoku/>
        <w:wordWrap/>
        <w:overflowPunct/>
        <w:topLinePunct w:val="0"/>
        <w:autoSpaceDE/>
        <w:autoSpaceDN/>
        <w:bidi w:val="0"/>
        <w:adjustRightInd/>
        <w:snapToGrid/>
        <w:spacing w:line="240" w:lineRule="auto"/>
        <w:ind w:firstLine="680" w:firstLineChars="200"/>
        <w:textAlignment w:val="auto"/>
        <w:rPr>
          <w:rFonts w:hint="eastAsia" w:ascii="黑体" w:hAnsi="黑体" w:eastAsia="黑体" w:cs="黑体"/>
          <w:kern w:val="2"/>
          <w:sz w:val="34"/>
          <w:szCs w:val="34"/>
          <w:lang w:val="en-US" w:eastAsia="zh-CN" w:bidi="ar-SA"/>
        </w:rPr>
      </w:pPr>
      <w:r>
        <w:rPr>
          <w:rFonts w:hint="eastAsia" w:ascii="黑体" w:hAnsi="黑体" w:eastAsia="黑体" w:cs="黑体"/>
          <w:kern w:val="2"/>
          <w:sz w:val="34"/>
          <w:szCs w:val="34"/>
          <w:lang w:val="en-US" w:eastAsia="zh-CN" w:bidi="ar-SA"/>
        </w:rPr>
        <w:t>一、自评工作开展情况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83" w:firstLineChars="200"/>
        <w:jc w:val="both"/>
        <w:textAlignment w:val="auto"/>
        <w:rPr>
          <w:rFonts w:hint="eastAsia" w:ascii="楷体" w:hAnsi="楷体" w:eastAsia="楷体" w:cs="楷体"/>
          <w:b/>
          <w:bCs/>
          <w:color w:val="000000"/>
          <w:sz w:val="32"/>
          <w:szCs w:val="32"/>
        </w:rPr>
      </w:pPr>
      <w:r>
        <w:rPr>
          <w:rFonts w:hint="eastAsia" w:ascii="楷体" w:hAnsi="楷体" w:eastAsia="楷体" w:cs="楷体"/>
          <w:b/>
          <w:bCs/>
          <w:kern w:val="2"/>
          <w:sz w:val="34"/>
          <w:szCs w:val="34"/>
          <w:lang w:val="en-US" w:eastAsia="zh-CN" w:bidi="ar-SA"/>
        </w:rPr>
        <w:t>（一）自评项目基本情况</w:t>
      </w:r>
      <w:r>
        <w:rPr>
          <w:rFonts w:hint="eastAsia" w:ascii="楷体" w:hAnsi="楷体" w:eastAsia="楷体" w:cs="楷体"/>
          <w:b/>
          <w:bCs/>
          <w:color w:val="000000"/>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合水县</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年度部门自评项目共</w:t>
      </w: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rPr>
        <w:t>项，</w:t>
      </w:r>
      <w:r>
        <w:rPr>
          <w:rFonts w:hint="eastAsia" w:ascii="Times New Roman" w:hAnsi="Times New Roman" w:eastAsia="仿宋_GB2312" w:cs="Times New Roman"/>
          <w:color w:val="000000"/>
          <w:sz w:val="32"/>
          <w:szCs w:val="32"/>
          <w:lang w:val="en-US" w:eastAsia="zh-CN"/>
        </w:rPr>
        <w:t>资金总计263.86万元，</w:t>
      </w:r>
      <w:r>
        <w:rPr>
          <w:rFonts w:hint="eastAsia" w:ascii="Times New Roman" w:hAnsi="Times New Roman" w:eastAsia="仿宋_GB2312" w:cs="Times New Roman"/>
          <w:color w:val="000000"/>
          <w:sz w:val="32"/>
          <w:szCs w:val="32"/>
        </w:rPr>
        <w:t>其中一般公共预算</w:t>
      </w:r>
      <w:r>
        <w:rPr>
          <w:rFonts w:hint="eastAsia" w:ascii="Times New Roman" w:hAnsi="Times New Roman" w:eastAsia="仿宋_GB2312" w:cs="Times New Roman"/>
          <w:color w:val="000000"/>
          <w:sz w:val="32"/>
          <w:szCs w:val="32"/>
          <w:lang w:val="en-US" w:eastAsia="zh-CN"/>
        </w:rPr>
        <w:t>239.01万元</w:t>
      </w:r>
      <w:r>
        <w:rPr>
          <w:rFonts w:hint="eastAsia"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val="en-US" w:eastAsia="zh-CN"/>
        </w:rPr>
        <w:t>基金预算4.85万元，天津资金20万元，</w:t>
      </w:r>
      <w:bookmarkStart w:id="0" w:name="_GoBack"/>
      <w:bookmarkEnd w:id="0"/>
      <w:r>
        <w:rPr>
          <w:rFonts w:hint="eastAsia" w:ascii="Times New Roman" w:hAnsi="Times New Roman" w:eastAsia="仿宋_GB2312" w:cs="Times New Roman"/>
          <w:color w:val="000000"/>
          <w:sz w:val="32"/>
          <w:szCs w:val="32"/>
          <w:lang w:eastAsia="zh-CN"/>
        </w:rPr>
        <w:t>县残联</w:t>
      </w:r>
      <w:r>
        <w:rPr>
          <w:rFonts w:hint="eastAsia" w:ascii="Times New Roman" w:hAnsi="Times New Roman" w:eastAsia="仿宋_GB2312" w:cs="Times New Roman"/>
          <w:color w:val="000000"/>
          <w:sz w:val="32"/>
          <w:szCs w:val="32"/>
        </w:rPr>
        <w:t>部门项目自评结果以各项目实施主体自评为主。项目内容分单位列示如下：</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83" w:firstLineChars="200"/>
        <w:jc w:val="both"/>
        <w:textAlignment w:val="auto"/>
        <w:rPr>
          <w:rFonts w:hint="eastAsia" w:ascii="仿宋" w:hAnsi="仿宋" w:eastAsia="仿宋" w:cs="仿宋"/>
          <w:b/>
          <w:bCs/>
          <w:kern w:val="2"/>
          <w:sz w:val="34"/>
          <w:szCs w:val="34"/>
          <w:lang w:val="en-US" w:eastAsia="zh-CN" w:bidi="ar-SA"/>
        </w:rPr>
      </w:pPr>
      <w:r>
        <w:rPr>
          <w:rFonts w:hint="eastAsia" w:ascii="仿宋" w:hAnsi="仿宋" w:eastAsia="仿宋" w:cs="仿宋"/>
          <w:b/>
          <w:bCs/>
          <w:kern w:val="2"/>
          <w:sz w:val="34"/>
          <w:szCs w:val="34"/>
          <w:lang w:val="en-US" w:eastAsia="zh-CN" w:bidi="ar-SA"/>
        </w:rPr>
        <w:t>残疾儿童康复救助13.12万元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620" w:firstLineChars="200"/>
        <w:jc w:val="both"/>
        <w:textAlignment w:val="auto"/>
        <w:rPr>
          <w:rFonts w:hint="eastAsia" w:ascii="仿宋" w:hAnsi="仿宋" w:eastAsia="仿宋_GB2312" w:cs="仿宋"/>
          <w:b/>
          <w:bCs/>
          <w:kern w:val="2"/>
          <w:sz w:val="34"/>
          <w:szCs w:val="34"/>
          <w:lang w:val="en-US" w:eastAsia="zh-CN" w:bidi="ar-SA"/>
        </w:rPr>
      </w:pPr>
      <w:r>
        <w:rPr>
          <w:rFonts w:eastAsia="仿宋_GB2312"/>
          <w:sz w:val="31"/>
        </w:rPr>
        <w:t>为合水县户籍（或在合水县领取居住证）的具有康复服务指征，通过康复服务可能达到功能重建或改善的0-14周岁视力、听力、言语、肢体、智力残疾儿童和孤独症儿童。减轻功能障碍，改善功能状况，增强生活自理和社会参与能力为主要目的的手术、辅助器具适配等</w:t>
      </w:r>
      <w:r>
        <w:rPr>
          <w:rFonts w:hint="eastAsia" w:eastAsia="仿宋_GB2312"/>
          <w:sz w:val="31"/>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83" w:firstLineChars="200"/>
        <w:jc w:val="both"/>
        <w:textAlignment w:val="auto"/>
        <w:rPr>
          <w:rFonts w:hint="eastAsia" w:ascii="仿宋" w:hAnsi="仿宋" w:eastAsia="仿宋" w:cs="仿宋"/>
          <w:b/>
          <w:bCs/>
          <w:kern w:val="2"/>
          <w:sz w:val="34"/>
          <w:szCs w:val="34"/>
          <w:lang w:val="en-US" w:eastAsia="zh-CN" w:bidi="ar-SA"/>
        </w:rPr>
      </w:pPr>
      <w:r>
        <w:rPr>
          <w:rFonts w:hint="eastAsia" w:ascii="仿宋" w:hAnsi="仿宋" w:eastAsia="仿宋" w:cs="仿宋"/>
          <w:b/>
          <w:bCs/>
          <w:kern w:val="2"/>
          <w:sz w:val="34"/>
          <w:szCs w:val="34"/>
          <w:lang w:val="en-US" w:eastAsia="zh-CN" w:bidi="ar-SA"/>
        </w:rPr>
        <w:t>二、残疾大学生及贫困残疾人子女大学生救助项目</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eastAsia" w:ascii="Calibri" w:hAnsi="Calibri" w:eastAsia="仿宋_GB2312" w:cs="Times New Roman"/>
          <w:kern w:val="0"/>
          <w:sz w:val="31"/>
          <w:szCs w:val="22"/>
          <w:lang w:val="en-US" w:eastAsia="zh-CN" w:bidi="ar"/>
        </w:rPr>
      </w:pPr>
      <w:r>
        <w:rPr>
          <w:rFonts w:hint="eastAsia" w:ascii="Calibri" w:hAnsi="Calibri" w:eastAsia="仿宋_GB2312" w:cs="Times New Roman"/>
          <w:kern w:val="0"/>
          <w:sz w:val="31"/>
          <w:szCs w:val="22"/>
          <w:lang w:val="en-US" w:eastAsia="zh-CN" w:bidi="ar"/>
        </w:rPr>
        <w:t>县残联承担残疾大学生补助项目，已摸排出需救助残疾大学生40名，资料收集工作已完成，补助资金7.1万已拨付。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83" w:firstLineChars="200"/>
        <w:jc w:val="both"/>
        <w:textAlignment w:val="auto"/>
        <w:rPr>
          <w:rFonts w:hint="eastAsia" w:ascii="Times New Roman" w:hAnsi="Times New Roman" w:eastAsia="仿宋_GB2312" w:cs="Times New Roman"/>
          <w:b w:val="0"/>
          <w:bCs w:val="0"/>
          <w:color w:val="000000"/>
          <w:sz w:val="32"/>
          <w:szCs w:val="32"/>
        </w:rPr>
      </w:pPr>
      <w:r>
        <w:rPr>
          <w:rFonts w:hint="eastAsia" w:ascii="仿宋" w:hAnsi="仿宋" w:eastAsia="仿宋" w:cs="仿宋"/>
          <w:b/>
          <w:bCs/>
          <w:kern w:val="2"/>
          <w:sz w:val="34"/>
          <w:szCs w:val="34"/>
          <w:lang w:val="en-US" w:eastAsia="zh-CN" w:bidi="ar-SA"/>
        </w:rPr>
        <w:t>三、其他残疾人事业支出60万元</w:t>
      </w:r>
      <w:r>
        <w:rPr>
          <w:rFonts w:hint="eastAsia" w:ascii="Times New Roman" w:hAnsi="Times New Roman" w:eastAsia="仿宋_GB2312" w:cs="Times New Roman"/>
          <w:b w:val="0"/>
          <w:bCs w:val="0"/>
          <w:color w:val="000000"/>
          <w:sz w:val="32"/>
          <w:szCs w:val="32"/>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主要用于对80个行政村的专职委员发放2020年全年工资24万，困难家庭大学生救助12万元，残疾儿童康复救助及办证经费20万元，</w:t>
      </w:r>
      <w:r>
        <w:rPr>
          <w:rFonts w:hint="eastAsia" w:ascii="仿宋" w:hAnsi="仿宋" w:eastAsia="仿宋" w:cs="仿宋"/>
          <w:sz w:val="34"/>
          <w:szCs w:val="34"/>
          <w:lang w:val="en-US" w:eastAsia="zh-CN"/>
        </w:rPr>
        <w:t>在西华池镇经评估后确定94名符合条件的残疾人，由庆阳市精神心理康复医院承担项目任务，实施阳光家园计划拨付第一批资金4万元。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83" w:firstLineChars="200"/>
        <w:jc w:val="both"/>
        <w:textAlignment w:val="auto"/>
        <w:rPr>
          <w:rFonts w:hint="eastAsia" w:ascii="仿宋" w:hAnsi="仿宋" w:eastAsia="仿宋" w:cs="仿宋"/>
          <w:b/>
          <w:bCs/>
          <w:kern w:val="2"/>
          <w:sz w:val="34"/>
          <w:szCs w:val="34"/>
          <w:lang w:val="en-US" w:eastAsia="zh-CN" w:bidi="ar-SA"/>
        </w:rPr>
      </w:pPr>
      <w:r>
        <w:rPr>
          <w:rFonts w:hint="eastAsia" w:ascii="仿宋" w:hAnsi="仿宋" w:eastAsia="仿宋" w:cs="仿宋"/>
          <w:b/>
          <w:bCs/>
          <w:kern w:val="2"/>
          <w:sz w:val="34"/>
          <w:szCs w:val="34"/>
          <w:lang w:val="en-US" w:eastAsia="zh-CN" w:bidi="ar-SA"/>
        </w:rPr>
        <w:t>四、残疾人东西部协作项目20万元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与天津市红桥区残联签订了《2021年对口支援协议书》，实施项目1个、资金20万元，带贫263人。为肢体残疾人发放上下肢功能训练器40台、筋膜按摩器118台，为听力残疾人适配助听器14个，为视力残疾人发放盲人烧水壶10个、盲人电磁炉10个、智能盲表10个，为义务教育阶段残疾学生发放防走失手表51个。</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83" w:firstLineChars="200"/>
        <w:jc w:val="both"/>
        <w:textAlignment w:val="auto"/>
        <w:rPr>
          <w:rFonts w:hint="default" w:ascii="仿宋" w:hAnsi="仿宋" w:eastAsia="仿宋" w:cs="仿宋"/>
          <w:b/>
          <w:bCs/>
          <w:kern w:val="2"/>
          <w:sz w:val="34"/>
          <w:szCs w:val="34"/>
          <w:lang w:val="en-US" w:eastAsia="zh-CN" w:bidi="ar-SA"/>
        </w:rPr>
      </w:pPr>
      <w:r>
        <w:rPr>
          <w:rFonts w:hint="eastAsia" w:ascii="仿宋" w:hAnsi="仿宋" w:eastAsia="仿宋" w:cs="仿宋"/>
          <w:b/>
          <w:bCs/>
          <w:kern w:val="2"/>
          <w:sz w:val="34"/>
          <w:szCs w:val="34"/>
          <w:lang w:val="en-US" w:eastAsia="zh-CN" w:bidi="ar-SA"/>
        </w:rPr>
        <w:t>五、残疾人事业的彩票公益金支出4.85万元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为92名精神智力和重度残疾人发放了残疾评定补贴1.38万元，其他的用于残疾人文化服务及残疾儿童康复救助等。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83" w:firstLineChars="200"/>
        <w:jc w:val="both"/>
        <w:textAlignment w:val="auto"/>
        <w:rPr>
          <w:rFonts w:hint="eastAsia" w:ascii="楷体" w:hAnsi="楷体" w:eastAsia="楷体" w:cs="楷体"/>
          <w:b/>
          <w:bCs/>
          <w:kern w:val="2"/>
          <w:sz w:val="34"/>
          <w:szCs w:val="34"/>
          <w:lang w:val="en-US" w:eastAsia="zh-CN" w:bidi="ar-SA"/>
        </w:rPr>
      </w:pPr>
      <w:r>
        <w:rPr>
          <w:rFonts w:hint="eastAsia" w:ascii="楷体" w:hAnsi="楷体" w:eastAsia="楷体" w:cs="楷体"/>
          <w:b/>
          <w:bCs/>
          <w:kern w:val="2"/>
          <w:sz w:val="34"/>
          <w:szCs w:val="34"/>
          <w:lang w:val="en-US" w:eastAsia="zh-CN" w:bidi="ar-SA"/>
        </w:rPr>
        <w:t>（二）项目内容及取得的成绩</w:t>
      </w:r>
    </w:p>
    <w:p>
      <w:pPr>
        <w:keepNext w:val="0"/>
        <w:keepLines w:val="0"/>
        <w:pageBreakBefore w:val="0"/>
        <w:widowControl w:val="0"/>
        <w:kinsoku/>
        <w:wordWrap/>
        <w:overflowPunct/>
        <w:topLinePunct w:val="0"/>
        <w:autoSpaceDE/>
        <w:autoSpaceDN/>
        <w:bidi w:val="0"/>
        <w:adjustRightInd/>
        <w:snapToGrid/>
        <w:spacing w:line="240" w:lineRule="auto"/>
        <w:ind w:firstLine="623"/>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color w:val="000000"/>
          <w:sz w:val="32"/>
          <w:szCs w:val="32"/>
          <w:lang w:val="en-US" w:eastAsia="zh-CN"/>
        </w:rPr>
        <w:t>一、</w:t>
      </w:r>
      <w:r>
        <w:rPr>
          <w:rFonts w:ascii="Times New Roman" w:hAnsi="Times New Roman" w:eastAsia="仿宋_GB2312" w:cs="Times New Roman"/>
          <w:b/>
          <w:bCs/>
          <w:kern w:val="0"/>
          <w:sz w:val="32"/>
          <w:szCs w:val="32"/>
        </w:rPr>
        <w:t>在提升残疾人康复服务水平方面：</w:t>
      </w:r>
      <w:r>
        <w:rPr>
          <w:rFonts w:ascii="Times New Roman" w:hAnsi="Times New Roman" w:eastAsia="仿宋_GB2312" w:cs="Times New Roman"/>
          <w:b/>
          <w:bCs/>
          <w:sz w:val="32"/>
          <w:szCs w:val="32"/>
        </w:rPr>
        <w:t>积极推进残疾人辅助器具适配。</w:t>
      </w:r>
      <w:r>
        <w:rPr>
          <w:rFonts w:hint="eastAsia" w:ascii="仿宋" w:hAnsi="仿宋" w:eastAsia="仿宋" w:cs="仿宋"/>
          <w:b/>
          <w:bCs/>
          <w:sz w:val="34"/>
          <w:szCs w:val="34"/>
          <w:lang w:val="en-US" w:eastAsia="zh-CN"/>
        </w:rPr>
        <w:t>一</w:t>
      </w:r>
      <w:r>
        <w:rPr>
          <w:rFonts w:hint="eastAsia" w:ascii="Times New Roman" w:hAnsi="Times New Roman" w:eastAsia="仿宋_GB2312" w:cs="Times New Roman"/>
          <w:b w:val="0"/>
          <w:bCs w:val="0"/>
          <w:color w:val="000000"/>
          <w:kern w:val="0"/>
          <w:sz w:val="32"/>
          <w:szCs w:val="32"/>
          <w:lang w:val="en-US" w:eastAsia="zh-CN" w:bidi="ar"/>
        </w:rPr>
        <w:t>是扎实抓好残疾人精准康复工作。以残疾人康复服务需求为导向，以残疾人康复项目为抓手，对全县822名有康复需求的残疾人“因人施策”制定精准康复实施方案，全力做好残疾人精准康复工作。通过阳光采购平台购置轮椅172辆，发放各类辅具203件，安装假肢6例、矫形器12例，康复服务率达到99.39％，辅具适配率达到100％。二是持续做好残疾儿童康复救助制度落实。进一步贯彻落实《合水县残疾儿童康复救助制度》，加大残疾儿童康复训练、康复手术及辅具适配力度，今年共开展康复救助残疾儿童40例，其中转介庆阳市康复中心18名、庆阳铭城康复医院10名、西安市7名、兰州市2名，肢体矫治手术3名，共拨付康复救助资金13.12万元。</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bCs/>
          <w:sz w:val="32"/>
          <w:szCs w:val="32"/>
          <w:lang w:val="en-US" w:eastAsia="zh-CN"/>
        </w:rPr>
        <w:t>二、</w:t>
      </w:r>
      <w:r>
        <w:rPr>
          <w:rFonts w:ascii="Times New Roman" w:hAnsi="Times New Roman" w:eastAsia="仿宋_GB2312" w:cs="Times New Roman"/>
          <w:b/>
          <w:bCs/>
          <w:sz w:val="32"/>
          <w:szCs w:val="32"/>
        </w:rPr>
        <w:t>在推进残疾人就业方面：积极开展残疾人教育培训和安置就业工作。</w:t>
      </w:r>
      <w:r>
        <w:rPr>
          <w:rFonts w:hint="eastAsia" w:ascii="仿宋" w:hAnsi="仿宋" w:eastAsia="仿宋" w:cs="仿宋"/>
          <w:b/>
          <w:bCs/>
          <w:sz w:val="34"/>
          <w:szCs w:val="34"/>
          <w:lang w:val="en-US" w:eastAsia="zh-CN"/>
        </w:rPr>
        <w:t>四是持续抓好残疾人就业工作。</w:t>
      </w:r>
      <w:r>
        <w:rPr>
          <w:rFonts w:hint="eastAsia" w:ascii="Times New Roman" w:hAnsi="Times New Roman" w:eastAsia="仿宋_GB2312" w:cs="Times New Roman"/>
          <w:b w:val="0"/>
          <w:bCs w:val="0"/>
          <w:color w:val="000000"/>
          <w:kern w:val="0"/>
          <w:sz w:val="32"/>
          <w:szCs w:val="32"/>
          <w:lang w:val="en-US" w:eastAsia="zh-CN" w:bidi="ar"/>
        </w:rPr>
        <w:t>一是认真开展残疾人就业和培训状况实名制录入工作，结合残疾人的就业状况、就业和培训需求情况，目前已录入城镇新增就业人数5人，农村新增就业人数21人，城乡新增培训54人，录入任务完成100%。二是推荐20名有就业愿望的残疾人参加了2021年全市残疾人就业专场招聘会。三是组织6名有就业意向的残疾人在陇东学院参加了全市农村残疾人电子商务培训班。四是积极开展残疾人就业保障金征收工作。按照《甘肃省人民政府关于转发&lt;甘肃省残疾人就业保障金征收使用管理实施办法&gt;的通知》和市残联等7部门《关于印发&lt;庆阳市残疾人就业保障金征收使用管理实施细则&gt;的通知》精神，与税务、财政等部门联合，对全县各级各部门残疾人保障金征收工作进行了年审，规范了残保金缴纳程序，推进了工作落实。</w:t>
      </w:r>
    </w:p>
    <w:p>
      <w:pPr>
        <w:keepNext w:val="0"/>
        <w:keepLines w:val="0"/>
        <w:pageBreakBefore w:val="0"/>
        <w:widowControl w:val="0"/>
        <w:kinsoku/>
        <w:wordWrap/>
        <w:overflowPunct/>
        <w:topLinePunct w:val="0"/>
        <w:autoSpaceDE/>
        <w:autoSpaceDN/>
        <w:bidi w:val="0"/>
        <w:adjustRightInd/>
        <w:snapToGrid/>
        <w:spacing w:line="240" w:lineRule="auto"/>
        <w:ind w:firstLine="683" w:firstLineChars="200"/>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仿宋" w:hAnsi="仿宋" w:eastAsia="仿宋" w:cs="仿宋"/>
          <w:b/>
          <w:bCs/>
          <w:sz w:val="34"/>
          <w:szCs w:val="34"/>
          <w:lang w:val="en-US" w:eastAsia="zh-CN"/>
        </w:rPr>
        <w:t>三、全力做好“阳光家园”残疾人居家托养服务工作</w:t>
      </w:r>
      <w:r>
        <w:rPr>
          <w:rFonts w:ascii="Times New Roman" w:hAnsi="Times New Roman" w:eastAsia="仿宋_GB2312" w:cs="Times New Roman"/>
          <w:b/>
          <w:bCs/>
          <w:sz w:val="32"/>
          <w:szCs w:val="32"/>
        </w:rPr>
        <w:t>：</w:t>
      </w:r>
      <w:r>
        <w:rPr>
          <w:rFonts w:hint="eastAsia" w:ascii="Times New Roman" w:hAnsi="Times New Roman" w:eastAsia="仿宋_GB2312" w:cs="Times New Roman"/>
          <w:b w:val="0"/>
          <w:bCs w:val="0"/>
          <w:color w:val="000000"/>
          <w:kern w:val="0"/>
          <w:sz w:val="32"/>
          <w:szCs w:val="32"/>
          <w:lang w:val="en-US" w:eastAsia="zh-CN" w:bidi="ar"/>
        </w:rPr>
        <w:t>组织人员对县内就业年龄段（16－59岁）内无业、生活不能完全自理、未纳入民政部门“特困供养”的智力、精神和重度肢体残疾人进行了摸排，在西华池镇经评估后确定94名符合条件的残疾人，由庆阳市精神心理康复医院承担项目任务，为每位服务对象开展服务4次以上，主要对残疾人开展健康体检、个人及环境卫生打扫、康复护理、生活自理能力训练等服务，为每名残疾人发放莱卡短袖1件，品牌帽子1顶，洁丽雅毛巾1条。为精神残疾人发放1000元左右的抗精神病药物，为智力、重度肢体残疾人每人发放价值500元的保健箱1个、面粉1袋、大米1袋、食用油1桶。残疾人的生活自理能力和社会适应能力进一步提高。</w:t>
      </w:r>
    </w:p>
    <w:p>
      <w:pPr>
        <w:pStyle w:val="4"/>
        <w:keepNext w:val="0"/>
        <w:keepLines w:val="0"/>
        <w:pageBreakBefore w:val="0"/>
        <w:kinsoku/>
        <w:wordWrap/>
        <w:overflowPunct/>
        <w:topLinePunct w:val="0"/>
        <w:autoSpaceDE/>
        <w:autoSpaceDN/>
        <w:bidi w:val="0"/>
        <w:adjustRightInd/>
        <w:snapToGrid/>
        <w:spacing w:line="240" w:lineRule="auto"/>
        <w:ind w:firstLine="683" w:firstLineChars="200"/>
        <w:textAlignment w:val="auto"/>
        <w:rPr>
          <w:rFonts w:hint="eastAsia" w:ascii="楷体" w:hAnsi="楷体" w:eastAsia="楷体" w:cs="楷体"/>
          <w:b/>
          <w:bCs/>
          <w:kern w:val="2"/>
          <w:sz w:val="34"/>
          <w:szCs w:val="34"/>
          <w:lang w:val="en-US" w:eastAsia="zh-CN" w:bidi="ar-SA"/>
        </w:rPr>
      </w:pPr>
      <w:r>
        <w:rPr>
          <w:rFonts w:hint="eastAsia" w:ascii="楷体" w:hAnsi="楷体" w:eastAsia="楷体" w:cs="楷体"/>
          <w:b/>
          <w:bCs/>
          <w:kern w:val="2"/>
          <w:sz w:val="34"/>
          <w:szCs w:val="34"/>
          <w:lang w:val="en-US" w:eastAsia="zh-CN" w:bidi="ar-SA"/>
        </w:rPr>
        <w:t>二、自评结果概述</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为了扎实开展预算绩效管理工作，对我单位预算管理领导小组组成人员进行了安排。由局财务室牵头，各股室根据其2021年度项目预算编制及实际执行情况、实施过程绩效监控等进行项目绩效自评，编制绩效自评相关材料，并报单位领导审核。经从“预算项目设置的细化量化程度、项目实施的过程和绩效监控、项目达到的预期效果及偏差原因”等方面进行全面综合评价分析，残联整体支出绩效自评得分100分，评定为优。</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三</w:t>
      </w:r>
      <w:r>
        <w:rPr>
          <w:rFonts w:ascii="Times New Roman" w:hAnsi="Times New Roman" w:eastAsia="黑体" w:cs="Times New Roman"/>
          <w:color w:val="000000"/>
          <w:sz w:val="32"/>
          <w:szCs w:val="32"/>
        </w:rPr>
        <w:t>、下一步工作措施</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一是严格部门预算管理。加强项目过程环节管理，对项目支出开展进度跟踪；更科学合理的编制资金使用计划，进一步细化收支项目，按项目内容、计划时间、开展进度支出，提高资金的使用效益。</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二是提高预算绩效指标设置的科学性、合理性。加强对预算编制的管理，严格执行预算绩效管理办法，科学合理地设置预算绩效指标，使绩效指标与工作实际更贴近、更切合，全面反映单位职能履行情况，提高预算绩效指标的可执行性。  </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三是不定期召开预算执行进度通报会，分析预算执行中存在的问题，对项目资金结余原因逐项进行分析，加快项目预算执行。</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四是齐抓共管，提高执行质量。采取多种切实有效的方法提高预算执行进度和项目管理水平，各股室从业务管理的角度，采取各种措施推进预算执行。</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六是积极推动绩效自评结果应用，将其作为预算编制和改进管理的重要依据，使有限的预算资金产生更大的效益，不断提升我单位系统预算绩效管理水平。</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color w:val="000000"/>
          <w:kern w:val="0"/>
          <w:sz w:val="32"/>
          <w:szCs w:val="32"/>
          <w:lang w:val="en-US" w:eastAsia="zh-CN" w:bidi="ar"/>
        </w:rPr>
      </w:pP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color w:val="000000"/>
          <w:kern w:val="0"/>
          <w:sz w:val="32"/>
          <w:szCs w:val="32"/>
          <w:lang w:val="en-US" w:eastAsia="zh-CN" w:bidi="ar"/>
        </w:rPr>
      </w:pP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color w:val="000000"/>
          <w:kern w:val="0"/>
          <w:sz w:val="32"/>
          <w:szCs w:val="32"/>
          <w:lang w:val="en-US" w:eastAsia="zh-CN" w:bidi="ar"/>
        </w:rPr>
      </w:pPr>
    </w:p>
    <w:p>
      <w:pPr>
        <w:pStyle w:val="4"/>
        <w:keepNext w:val="0"/>
        <w:keepLines w:val="0"/>
        <w:pageBreakBefore w:val="0"/>
        <w:kinsoku/>
        <w:wordWrap/>
        <w:overflowPunct/>
        <w:topLinePunct w:val="0"/>
        <w:autoSpaceDE/>
        <w:autoSpaceDN/>
        <w:bidi w:val="0"/>
        <w:adjustRightInd/>
        <w:snapToGrid/>
        <w:spacing w:line="240" w:lineRule="auto"/>
        <w:ind w:firstLine="4160" w:firstLineChars="1300"/>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合水县残疾人联合会</w:t>
      </w:r>
    </w:p>
    <w:p>
      <w:pPr>
        <w:pStyle w:val="4"/>
        <w:keepNext w:val="0"/>
        <w:keepLines w:val="0"/>
        <w:pageBreakBefore w:val="0"/>
        <w:kinsoku/>
        <w:wordWrap/>
        <w:overflowPunct/>
        <w:topLinePunct w:val="0"/>
        <w:autoSpaceDE/>
        <w:autoSpaceDN/>
        <w:bidi w:val="0"/>
        <w:adjustRightInd/>
        <w:snapToGrid/>
        <w:spacing w:line="240" w:lineRule="auto"/>
        <w:ind w:firstLine="4160" w:firstLineChars="1300"/>
        <w:textAlignment w:val="auto"/>
        <w:rPr>
          <w:rFonts w:hint="default"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 xml:space="preserve">  2022年1月23日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2A0F8"/>
    <w:multiLevelType w:val="singleLevel"/>
    <w:tmpl w:val="0BE2A0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Y2YyNWI4NTQ5NjI2YWEwMzYxOTYxNjU2MGRhODQifQ=="/>
  </w:docVars>
  <w:rsids>
    <w:rsidRoot w:val="00000000"/>
    <w:rsid w:val="0E050D3F"/>
    <w:rsid w:val="12445622"/>
    <w:rsid w:val="12883761"/>
    <w:rsid w:val="141334FE"/>
    <w:rsid w:val="18124A66"/>
    <w:rsid w:val="1D4B1F5B"/>
    <w:rsid w:val="1DA63635"/>
    <w:rsid w:val="1EDE00FA"/>
    <w:rsid w:val="27C17F1C"/>
    <w:rsid w:val="29D56F38"/>
    <w:rsid w:val="3FD00372"/>
    <w:rsid w:val="416B3C66"/>
    <w:rsid w:val="4B297FD5"/>
    <w:rsid w:val="4B6C3BA7"/>
    <w:rsid w:val="52C869FE"/>
    <w:rsid w:val="56693FEE"/>
    <w:rsid w:val="58DC258F"/>
    <w:rsid w:val="59FA62BF"/>
    <w:rsid w:val="5B462629"/>
    <w:rsid w:val="5D460F9D"/>
    <w:rsid w:val="61173652"/>
    <w:rsid w:val="65491EA9"/>
    <w:rsid w:val="70757FF6"/>
    <w:rsid w:val="74734AD9"/>
    <w:rsid w:val="74DA53C2"/>
    <w:rsid w:val="79B461C7"/>
    <w:rsid w:val="7E914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9" w:after="100" w:afterAutospacing="1"/>
      <w:ind w:left="1730"/>
      <w:outlineLvl w:val="0"/>
    </w:pPr>
    <w:rPr>
      <w:rFonts w:ascii="PMingLiU" w:hAnsi="PMingLiU" w:eastAsia="PMingLiU"/>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rPr>
      <w:rFonts w:ascii="宋体" w:hAnsi="宋体" w:cs="宋体"/>
      <w:sz w:val="16"/>
      <w:szCs w:val="16"/>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paragraph" w:customStyle="1" w:styleId="11">
    <w:name w:val="Table Paragraph"/>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2295</Words>
  <Characters>2405</Characters>
  <Lines>0</Lines>
  <Paragraphs>0</Paragraphs>
  <TotalTime>7</TotalTime>
  <ScaleCrop>false</ScaleCrop>
  <LinksUpToDate>false</LinksUpToDate>
  <CharactersWithSpaces>2410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2023-05-29T08:06:00Z</dcterms:created>
  <dc:creator>DELL</dc:creator>
  <cp:lastModifiedBy>微信用户</cp:lastModifiedBy>
  <cp:lastPrinted>2023-06-21T09:27:00Z</cp:lastPrinted>
  <dcterms:modified xsi:type="dcterms:W3CDTF">2023-06-25T03:18:52Z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C047AEA17C8745858148A4FC44CB3611_12</vt:lpwstr>
  </property>
</Properties>
</file>