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Lines="0" w:afterLines="0" w:line="576" w:lineRule="exact"/>
        <w:ind w:firstLine="1760" w:firstLineChars="400"/>
        <w:jc w:val="both"/>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合水县退役军人事务局</w:t>
      </w:r>
    </w:p>
    <w:p>
      <w:pPr>
        <w:pStyle w:val="4"/>
        <w:widowControl/>
        <w:spacing w:beforeLines="0" w:afterLines="0" w:line="576" w:lineRule="exact"/>
        <w:jc w:val="center"/>
        <w:rPr>
          <w:rFonts w:hint="eastAsia" w:ascii="Times New Roman" w:hAnsi="Times New Roman" w:eastAsia="Times New Roman"/>
          <w:sz w:val="21"/>
          <w:szCs w:val="21"/>
        </w:rPr>
      </w:pPr>
      <w:r>
        <w:rPr>
          <w:rFonts w:hint="eastAsia" w:ascii="方正小标宋简体" w:hAnsi="方正小标宋简体" w:eastAsia="方正小标宋简体" w:cs="方正小标宋简体"/>
          <w:color w:val="000000"/>
          <w:sz w:val="44"/>
          <w:szCs w:val="44"/>
        </w:rPr>
        <w:t>2021年部门整体支出绩效评价报告</w:t>
      </w:r>
    </w:p>
    <w:p>
      <w:pPr>
        <w:pStyle w:val="4"/>
        <w:widowControl/>
        <w:spacing w:beforeLines="0" w:afterLines="0" w:line="560" w:lineRule="atLeast"/>
        <w:ind w:firstLine="480"/>
        <w:rPr>
          <w:rFonts w:hint="default"/>
          <w:sz w:val="24"/>
          <w:szCs w:val="24"/>
        </w:rPr>
      </w:pPr>
      <w:r>
        <w:rPr>
          <w:rFonts w:hint="eastAsia" w:ascii="黑体" w:hAnsi="宋体" w:eastAsia="黑体" w:cs="黑体"/>
          <w:color w:val="000000"/>
          <w:sz w:val="24"/>
          <w:szCs w:val="24"/>
          <w:shd w:val="clear" w:color="auto" w:fill="FFFFFF"/>
        </w:rPr>
        <w:t> </w:t>
      </w:r>
    </w:p>
    <w:p>
      <w:pPr>
        <w:pStyle w:val="4"/>
        <w:widowControl/>
        <w:spacing w:beforeLines="0" w:afterLines="0" w:line="560" w:lineRule="atLeast"/>
        <w:ind w:firstLine="640"/>
        <w:rPr>
          <w:rFonts w:hint="default"/>
          <w:sz w:val="24"/>
          <w:szCs w:val="24"/>
        </w:rPr>
      </w:pPr>
      <w:r>
        <w:rPr>
          <w:rFonts w:hint="eastAsia" w:ascii="黑体" w:hAnsi="宋体" w:eastAsia="黑体" w:cs="黑体"/>
          <w:sz w:val="32"/>
          <w:szCs w:val="32"/>
        </w:rPr>
        <w:t>一、部门概况</w:t>
      </w:r>
    </w:p>
    <w:p>
      <w:pPr>
        <w:pStyle w:val="4"/>
        <w:widowControl/>
        <w:shd w:val="clear" w:color="auto" w:fill="FFFFFF"/>
        <w:spacing w:beforeLines="0" w:afterLines="0" w:line="330" w:lineRule="atLeast"/>
        <w:ind w:firstLine="600"/>
        <w:rPr>
          <w:rFonts w:hint="eastAsia" w:ascii="仿宋_GB2312" w:hAnsi="仿宋_GB2312" w:eastAsia="仿宋_GB2312" w:cs="仿宋_GB2312"/>
          <w:color w:val="333333"/>
          <w:sz w:val="32"/>
          <w:szCs w:val="32"/>
        </w:rPr>
      </w:pPr>
      <w:r>
        <w:rPr>
          <w:rFonts w:hint="eastAsia" w:ascii="楷体" w:hAnsi="楷体" w:eastAsia="楷体" w:cs="楷体"/>
          <w:b/>
          <w:sz w:val="32"/>
          <w:szCs w:val="32"/>
        </w:rPr>
        <w:t>（一）机构组成</w:t>
      </w:r>
      <w:r>
        <w:rPr>
          <w:rFonts w:hint="eastAsia" w:ascii="仿宋" w:hAnsi="仿宋" w:eastAsia="仿宋" w:cs="仿宋"/>
          <w:sz w:val="32"/>
          <w:szCs w:val="32"/>
        </w:rPr>
        <w:t>。</w:t>
      </w:r>
      <w:r>
        <w:rPr>
          <w:rFonts w:hint="eastAsia" w:ascii="仿宋_GB2312" w:hAnsi="仿宋_GB2312" w:eastAsia="仿宋_GB2312" w:cs="仿宋_GB2312"/>
          <w:color w:val="333333"/>
          <w:sz w:val="32"/>
          <w:szCs w:val="32"/>
          <w:shd w:val="clear" w:color="auto" w:fill="FFFFFF"/>
        </w:rPr>
        <w:t>合水县退役军人事务局为合水县人民政府直属一级正科级行政单位，经费实行财政全额拨款。下辖单位退役军人服务中心。</w:t>
      </w:r>
    </w:p>
    <w:p>
      <w:pPr>
        <w:pStyle w:val="4"/>
        <w:widowControl/>
        <w:shd w:val="clear" w:color="auto" w:fill="FFFFFF"/>
        <w:spacing w:beforeLines="0" w:afterLines="0" w:line="330" w:lineRule="atLeast"/>
        <w:ind w:firstLine="600"/>
        <w:rPr>
          <w:rFonts w:hint="eastAsia" w:ascii="仿宋" w:hAnsi="仿宋" w:eastAsia="仿宋" w:cs="仿宋"/>
          <w:sz w:val="32"/>
          <w:szCs w:val="32"/>
        </w:rPr>
      </w:pPr>
      <w:r>
        <w:rPr>
          <w:rFonts w:hint="eastAsia" w:ascii="楷体" w:hAnsi="楷体" w:eastAsia="楷体" w:cs="楷体"/>
          <w:b/>
          <w:sz w:val="32"/>
          <w:szCs w:val="32"/>
        </w:rPr>
        <w:t>（二）机构职能</w:t>
      </w:r>
    </w:p>
    <w:p>
      <w:pPr>
        <w:pStyle w:val="4"/>
        <w:widowControl/>
        <w:shd w:val="clear" w:color="auto" w:fill="FFFFFF"/>
        <w:spacing w:beforeLines="0" w:afterLines="0"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1、贯彻落实党中央、省委、市委关于退役军人思想政治、管理保障和安置优抚等工作的政策法规，褒扬彰显退役军人为党、国家和人民牺牲奉献的精神风范和价值导向。</w:t>
      </w:r>
    </w:p>
    <w:p>
      <w:pPr>
        <w:pStyle w:val="4"/>
        <w:widowControl/>
        <w:shd w:val="clear" w:color="auto" w:fill="FFFFFF"/>
        <w:spacing w:beforeLines="0" w:afterLines="0"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2、负责军队转业干部、复员干部、离休退休干部、退役士兵、无军籍退休退职职工的移交安置工作和自主择业、就业退役军人服务管理工作。</w:t>
      </w:r>
    </w:p>
    <w:p>
      <w:pPr>
        <w:pStyle w:val="4"/>
        <w:widowControl/>
        <w:shd w:val="clear" w:color="auto" w:fill="FFFFFF"/>
        <w:spacing w:beforeLines="0" w:afterLines="0"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3、指导并组织开展退役军人教育培训工作，协调扶持退役军人和随军随调家属就业创业。</w:t>
      </w:r>
    </w:p>
    <w:p>
      <w:pPr>
        <w:pStyle w:val="4"/>
        <w:widowControl/>
        <w:shd w:val="clear" w:color="auto" w:fill="FFFFFF"/>
        <w:spacing w:beforeLines="0" w:afterLines="0"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4、会同有关部门制定贯彻落实退役军人特殊保障政策的具体措施并组织实施。</w:t>
      </w:r>
    </w:p>
    <w:p>
      <w:pPr>
        <w:pStyle w:val="4"/>
        <w:widowControl/>
        <w:shd w:val="clear" w:color="auto" w:fill="FFFFFF"/>
        <w:spacing w:beforeLines="0" w:afterLines="0"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5、组织协调落实移交地方的离休退休军人、符合条件的其他退役军人和无军籍退休退职职工的住房保障工作，以及退役军人医疗保障、社会保险等待遇保障工作。</w:t>
      </w:r>
    </w:p>
    <w:p>
      <w:pPr>
        <w:pStyle w:val="4"/>
        <w:widowControl/>
        <w:shd w:val="clear" w:color="auto" w:fill="FFFFFF"/>
        <w:spacing w:beforeLines="0" w:afterLines="0"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6、指导并组织开展伤病残退役军人服务管理和抚恤工作，制定有关退役军人医疗、疗养、养老等机构的规划政策并组织实施，承担不适宜继续服役的伤病残军人相关工作。组织指导军供服务保障工作。</w:t>
      </w:r>
    </w:p>
    <w:p>
      <w:pPr>
        <w:pStyle w:val="4"/>
        <w:widowControl/>
        <w:shd w:val="clear" w:color="auto" w:fill="FFFFFF"/>
        <w:spacing w:beforeLines="0" w:afterLines="0"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7、指导并组织开展全县拥军优属工作。负责现役军人、退役军人、军队文职人员和军属优待、抚恤等工作，落实国民党抗战老兵等有关人员优待政策。</w:t>
      </w:r>
    </w:p>
    <w:p>
      <w:pPr>
        <w:pStyle w:val="4"/>
        <w:widowControl/>
        <w:shd w:val="clear" w:color="auto" w:fill="FFFFFF"/>
        <w:spacing w:beforeLines="0" w:afterLines="0"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8、负责烈士及退役军人荣誉奖励、军人公墓管理维护、纪念活动等工作，依法承担英雄烈士保护相关工作，审核拟列入全县重点保护单位的烈士纪念建筑物名录，总结表彰和宣扬退役军人、退役军人工作单位和个人先进典型事迹。</w:t>
      </w:r>
    </w:p>
    <w:p>
      <w:pPr>
        <w:pStyle w:val="4"/>
        <w:widowControl/>
        <w:shd w:val="clear" w:color="auto" w:fill="FFFFFF"/>
        <w:spacing w:beforeLines="0" w:afterLines="0"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9、指导并监督检查退役军人相关法律法规和政策措施的落实，组织开展退役军人权益维护和有关人员的帮扶援助工作。</w:t>
      </w:r>
    </w:p>
    <w:p>
      <w:pPr>
        <w:pStyle w:val="4"/>
        <w:widowControl/>
        <w:shd w:val="clear" w:color="auto" w:fill="FFFFFF"/>
        <w:spacing w:beforeLines="0" w:afterLines="0"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10、完成县委、县政府和市退役军人事务局交办的其他任务。</w:t>
      </w:r>
    </w:p>
    <w:p>
      <w:pPr>
        <w:pStyle w:val="4"/>
        <w:widowControl/>
        <w:shd w:val="clear" w:color="auto" w:fill="FFFFFF"/>
        <w:spacing w:beforeLines="0" w:afterLines="0" w:line="330" w:lineRule="atLeast"/>
        <w:ind w:firstLine="6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11、职能转变。县退役军人局应加强全县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pStyle w:val="4"/>
        <w:widowControl/>
        <w:spacing w:beforeLines="0" w:afterLines="0" w:line="560" w:lineRule="atLeast"/>
        <w:ind w:firstLine="643"/>
        <w:jc w:val="both"/>
        <w:rPr>
          <w:rFonts w:hint="eastAsia" w:ascii="Times New Roman" w:hAnsi="Times New Roman" w:eastAsia="Times New Roman"/>
          <w:sz w:val="21"/>
          <w:szCs w:val="21"/>
        </w:rPr>
      </w:pPr>
      <w:r>
        <w:rPr>
          <w:rFonts w:hint="eastAsia" w:ascii="楷体" w:hAnsi="楷体" w:eastAsia="楷体" w:cs="楷体"/>
          <w:b/>
          <w:sz w:val="32"/>
          <w:szCs w:val="32"/>
        </w:rPr>
        <w:t>（三）人员概况</w:t>
      </w:r>
    </w:p>
    <w:p>
      <w:pPr>
        <w:pStyle w:val="4"/>
        <w:widowControl/>
        <w:spacing w:beforeLines="0" w:afterLines="0" w:line="560" w:lineRule="atLeast"/>
        <w:ind w:firstLine="640"/>
        <w:jc w:val="both"/>
        <w:rPr>
          <w:rFonts w:hint="eastAsia" w:ascii="Times New Roman" w:hAnsi="Times New Roman" w:eastAsia="Times New Roman"/>
          <w:sz w:val="21"/>
          <w:szCs w:val="21"/>
        </w:rPr>
      </w:pPr>
      <w:r>
        <w:rPr>
          <w:rFonts w:hint="eastAsia" w:ascii="仿宋" w:hAnsi="仿宋" w:eastAsia="仿宋" w:cs="仿宋"/>
          <w:sz w:val="32"/>
          <w:szCs w:val="32"/>
        </w:rPr>
        <w:t>县退役军人局机关行政编制7名。其中，局长1名，副局长2名，共计8人，在编在岗7人。</w:t>
      </w:r>
    </w:p>
    <w:p>
      <w:pPr>
        <w:pStyle w:val="4"/>
        <w:widowControl/>
        <w:spacing w:beforeLines="0" w:afterLines="0" w:line="560" w:lineRule="atLeast"/>
        <w:ind w:firstLine="640"/>
        <w:jc w:val="both"/>
        <w:rPr>
          <w:rFonts w:hint="eastAsia" w:ascii="Times New Roman" w:hAnsi="Times New Roman" w:eastAsia="Times New Roman"/>
          <w:sz w:val="21"/>
          <w:szCs w:val="21"/>
        </w:rPr>
      </w:pPr>
      <w:r>
        <w:rPr>
          <w:rFonts w:hint="eastAsia" w:ascii="仿宋" w:hAnsi="仿宋" w:eastAsia="仿宋" w:cs="仿宋"/>
          <w:sz w:val="32"/>
          <w:szCs w:val="32"/>
        </w:rPr>
        <w:t>县退役军人服务中心事业编制5人，共计9人，在编在岗5人。</w:t>
      </w:r>
    </w:p>
    <w:p>
      <w:pPr>
        <w:pStyle w:val="4"/>
        <w:widowControl/>
        <w:spacing w:beforeLines="0" w:afterLines="0" w:line="560" w:lineRule="atLeast"/>
        <w:ind w:firstLine="640"/>
        <w:jc w:val="both"/>
        <w:rPr>
          <w:rFonts w:hint="eastAsia" w:ascii="Times New Roman" w:hAnsi="Times New Roman" w:eastAsia="Times New Roman"/>
          <w:sz w:val="21"/>
          <w:szCs w:val="21"/>
        </w:rPr>
      </w:pPr>
      <w:r>
        <w:rPr>
          <w:rFonts w:hint="eastAsia" w:ascii="黑体" w:hAnsi="宋体" w:eastAsia="黑体" w:cs="黑体"/>
          <w:sz w:val="32"/>
          <w:szCs w:val="32"/>
        </w:rPr>
        <w:t>二、部门财政资金收支情况</w:t>
      </w:r>
    </w:p>
    <w:p>
      <w:pPr>
        <w:pStyle w:val="4"/>
        <w:widowControl/>
        <w:spacing w:beforeLines="0" w:afterLines="0" w:line="560" w:lineRule="atLeast"/>
        <w:ind w:firstLine="643"/>
        <w:rPr>
          <w:rFonts w:hint="eastAsia" w:ascii="Times New Roman" w:hAnsi="Times New Roman" w:eastAsia="Times New Roman"/>
          <w:sz w:val="21"/>
          <w:szCs w:val="21"/>
        </w:rPr>
      </w:pPr>
      <w:r>
        <w:rPr>
          <w:rFonts w:hint="eastAsia" w:ascii="楷体" w:hAnsi="楷体" w:eastAsia="楷体" w:cs="楷体"/>
          <w:b/>
          <w:sz w:val="32"/>
          <w:szCs w:val="32"/>
        </w:rPr>
        <w:t>（一）部门财政资金收入情况</w:t>
      </w:r>
      <w:r>
        <w:rPr>
          <w:rFonts w:hint="eastAsia" w:ascii="仿宋" w:hAnsi="仿宋" w:eastAsia="仿宋" w:cs="仿宋"/>
          <w:sz w:val="32"/>
          <w:szCs w:val="32"/>
        </w:rPr>
        <w:t>。2021年财政拨款收入总计1658.99万元。其中：一般公共预算财政拨款收入1658.99万元，占100%；政府性基金预算财政拨款收入0.00万元，占0.00%；上级补助收入0.00万元，占0.00%；事业收入0.00万元，占0.00%；经营收入0.00万元，占0.00%；附属单位上缴收入0.00万元，占0.00%；其他收入0.00万元，占0.00%。</w:t>
      </w:r>
    </w:p>
    <w:p>
      <w:pPr>
        <w:pStyle w:val="4"/>
        <w:widowControl/>
        <w:spacing w:beforeLines="0" w:afterLines="0" w:line="560" w:lineRule="atLeast"/>
        <w:ind w:firstLine="643"/>
        <w:jc w:val="both"/>
        <w:rPr>
          <w:rFonts w:hint="eastAsia" w:ascii="Times New Roman" w:hAnsi="Times New Roman" w:eastAsia="Times New Roman"/>
          <w:sz w:val="21"/>
          <w:szCs w:val="21"/>
        </w:rPr>
      </w:pPr>
      <w:r>
        <w:rPr>
          <w:rFonts w:hint="eastAsia" w:ascii="楷体" w:hAnsi="楷体" w:eastAsia="楷体" w:cs="楷体"/>
          <w:b/>
          <w:sz w:val="32"/>
          <w:szCs w:val="32"/>
        </w:rPr>
        <w:t>（二）部门财政资金支出情况</w:t>
      </w:r>
      <w:r>
        <w:rPr>
          <w:rFonts w:hint="eastAsia" w:ascii="仿宋" w:hAnsi="仿宋" w:eastAsia="仿宋" w:cs="仿宋"/>
          <w:sz w:val="32"/>
          <w:szCs w:val="32"/>
        </w:rPr>
        <w:t>。2021年财政拨款支出合计1658.99万元，其中基本支出150.97万元，占9.1%；项目支出1360.14万元，占81.98%。基本支出包括人员经费和公用经费，其中人员经费140.97万元，占总基本支出93.38%；公用经费10万元，占总基本支出6.62%。项目支出1360.14万元，包括工资福利性支出190.18万，占11.46%；商品和服务支出56.02万元，占3.38%；对个人和家庭的补助支出1412.79万元，占85.16%。</w:t>
      </w:r>
    </w:p>
    <w:p>
      <w:pPr>
        <w:pStyle w:val="4"/>
        <w:widowControl/>
        <w:spacing w:beforeLines="0" w:afterLines="0" w:line="560" w:lineRule="atLeast"/>
        <w:ind w:firstLine="640"/>
        <w:rPr>
          <w:rFonts w:hint="default"/>
          <w:sz w:val="24"/>
          <w:szCs w:val="24"/>
        </w:rPr>
      </w:pPr>
      <w:r>
        <w:rPr>
          <w:rFonts w:hint="eastAsia" w:ascii="方正黑体简体" w:hAnsi="方正黑体简体" w:eastAsia="方正黑体简体" w:cs="方正黑体简体"/>
          <w:color w:val="000000"/>
          <w:sz w:val="32"/>
          <w:szCs w:val="32"/>
          <w:shd w:val="clear" w:color="auto" w:fill="FFFFFF"/>
        </w:rPr>
        <w:t>三、部门财政支出管理情况</w:t>
      </w:r>
    </w:p>
    <w:p>
      <w:pPr>
        <w:pStyle w:val="4"/>
        <w:widowControl/>
        <w:spacing w:beforeLines="0" w:afterLines="0" w:line="560" w:lineRule="atLeast"/>
        <w:ind w:firstLine="643"/>
        <w:jc w:val="both"/>
        <w:rPr>
          <w:rFonts w:hint="eastAsia" w:ascii="Times New Roman" w:hAnsi="Times New Roman" w:eastAsia="Times New Roman"/>
          <w:sz w:val="21"/>
          <w:szCs w:val="21"/>
        </w:rPr>
      </w:pPr>
      <w:r>
        <w:rPr>
          <w:rFonts w:hint="eastAsia" w:ascii="楷体" w:hAnsi="楷体" w:eastAsia="楷体" w:cs="楷体"/>
          <w:b/>
          <w:sz w:val="32"/>
          <w:szCs w:val="32"/>
        </w:rPr>
        <w:t>（一）制度建设情况。</w:t>
      </w:r>
      <w:r>
        <w:rPr>
          <w:rFonts w:hint="eastAsia" w:ascii="仿宋" w:hAnsi="仿宋" w:eastAsia="仿宋" w:cs="仿宋"/>
          <w:sz w:val="32"/>
          <w:szCs w:val="32"/>
        </w:rPr>
        <w:t>坚持将制度建设放在首位，规范单位内部经济和业务活动，制定完善工作制度、财务制度、内控制度等各种规章制度。按照《预算法》《会计法》和内部控制管理相关规定编制预算管理、收支管理、政府采购管理、项目管理、资产管理、合同管理等制度，健全财政资金审核审批制度、三重一大管理制度等相关制度，严格支出控制。</w:t>
      </w:r>
    </w:p>
    <w:p>
      <w:pPr>
        <w:pStyle w:val="4"/>
        <w:widowControl/>
        <w:spacing w:beforeLines="0" w:afterLines="0" w:line="560" w:lineRule="atLeast"/>
        <w:ind w:firstLine="643"/>
        <w:rPr>
          <w:rFonts w:hint="default"/>
          <w:sz w:val="24"/>
          <w:szCs w:val="24"/>
        </w:rPr>
      </w:pPr>
      <w:r>
        <w:rPr>
          <w:rFonts w:hint="eastAsia" w:ascii="楷体" w:hAnsi="楷体" w:eastAsia="楷体" w:cs="楷体"/>
          <w:b/>
          <w:sz w:val="32"/>
          <w:szCs w:val="32"/>
        </w:rPr>
        <w:t>（二）绩效目标管理情况</w:t>
      </w:r>
    </w:p>
    <w:p>
      <w:pPr>
        <w:pStyle w:val="4"/>
        <w:widowControl/>
        <w:spacing w:beforeLines="0" w:afterLines="0" w:line="560" w:lineRule="atLeast"/>
        <w:ind w:firstLine="640"/>
        <w:rPr>
          <w:rFonts w:hint="eastAsia" w:ascii="Times New Roman" w:hAnsi="Times New Roman" w:eastAsia="Times New Roman"/>
          <w:sz w:val="21"/>
          <w:szCs w:val="21"/>
        </w:rPr>
      </w:pPr>
      <w:r>
        <w:rPr>
          <w:rFonts w:hint="eastAsia" w:ascii="仿宋" w:hAnsi="仿宋" w:eastAsia="仿宋" w:cs="仿宋"/>
          <w:sz w:val="32"/>
          <w:szCs w:val="32"/>
        </w:rPr>
        <w:t>1.预算编制。在年度预算编制中，严格按照财政印发的预算编制口径和标准编制人员经费，根据上年度项目支出情况，结合部门重点工作实际，本着厉行节约、突出重点的原则安排，按照“二上二下”的预算编制要求编制本部门预算，预算编制依据充分，符合本部门工作实际需求。</w:t>
      </w:r>
    </w:p>
    <w:p>
      <w:pPr>
        <w:pStyle w:val="4"/>
        <w:widowControl/>
        <w:spacing w:beforeLines="0" w:afterLines="0" w:line="560" w:lineRule="atLeast"/>
        <w:ind w:firstLine="640"/>
        <w:rPr>
          <w:rFonts w:hint="eastAsia" w:ascii="Times New Roman" w:hAnsi="Times New Roman" w:eastAsia="Times New Roman"/>
          <w:sz w:val="21"/>
          <w:szCs w:val="21"/>
        </w:rPr>
      </w:pPr>
      <w:r>
        <w:rPr>
          <w:rFonts w:hint="eastAsia" w:ascii="仿宋" w:hAnsi="仿宋" w:eastAsia="仿宋" w:cs="仿宋"/>
          <w:sz w:val="32"/>
          <w:szCs w:val="32"/>
        </w:rPr>
        <w:t>2.绩效目标设立。按照《预算法》以及2021年部门预算编制口径及要求，我局对年初预算的退役军人事务局业务费、进藏士兵一次性奖励经费、一至六级伤残军人参加城镇职工医疗保险、8023部队及二等乙级以上伤残军人医药费、义务兵家庭优待金、大学生入伍一次性奖励金、优抚对象补助、优抚对象医疗补助、退役军人社保接续等8个预算项目编制了绩效目标，对2021年重点工作按照上级业务主管部门下达的目标绩效指标结合部门工作实际，设立了工作目标，绩效目标设立完整，符合项目业务工作实际要求，可行性强。</w:t>
      </w:r>
    </w:p>
    <w:p>
      <w:pPr>
        <w:pStyle w:val="4"/>
        <w:widowControl/>
        <w:spacing w:beforeLines="0" w:afterLines="0" w:line="560" w:lineRule="atLeast"/>
        <w:ind w:firstLine="640"/>
        <w:rPr>
          <w:rFonts w:hint="eastAsia" w:ascii="Times New Roman" w:hAnsi="Times New Roman" w:eastAsia="Times New Roman"/>
          <w:sz w:val="21"/>
          <w:szCs w:val="21"/>
        </w:rPr>
      </w:pPr>
      <w:r>
        <w:rPr>
          <w:rFonts w:hint="eastAsia" w:ascii="仿宋" w:hAnsi="仿宋" w:eastAsia="仿宋" w:cs="仿宋"/>
          <w:sz w:val="32"/>
          <w:szCs w:val="32"/>
        </w:rPr>
        <w:t>3.绩效目标监控。我局年初预算的项目为专项工作经费或特定人员经费，制定了资金使用支付审核审批程序，在项目实施过程中，严格按照业务开展情况、业务进度进行资金计划申报，资金支付严格审核审批流程进行，年度结束后，进行了专项自评。绩效目标监控管理规范，制度建设完整，形成了长效机制。</w:t>
      </w:r>
    </w:p>
    <w:p>
      <w:pPr>
        <w:pStyle w:val="4"/>
        <w:widowControl/>
        <w:spacing w:beforeLines="0" w:afterLines="0" w:line="560" w:lineRule="atLeast"/>
        <w:ind w:firstLine="640"/>
        <w:rPr>
          <w:rFonts w:hint="eastAsia" w:ascii="Times New Roman" w:hAnsi="Times New Roman" w:eastAsia="Times New Roman"/>
          <w:sz w:val="21"/>
          <w:szCs w:val="21"/>
        </w:rPr>
      </w:pPr>
      <w:r>
        <w:rPr>
          <w:rFonts w:hint="eastAsia" w:ascii="仿宋" w:hAnsi="仿宋" w:eastAsia="仿宋" w:cs="仿宋"/>
          <w:sz w:val="32"/>
          <w:szCs w:val="32"/>
        </w:rPr>
        <w:t>4.绩效评价。年度结束后，各业务股室对2021年度的主要业务工作和重点工作进行了全面梳理，在全面总结的基础上形成了总结报告，根据业务工作开展情况以及资金的使用情况对整体支出和各项目支出进行绩效评价，评价依据完整、客观、公正。</w:t>
      </w:r>
    </w:p>
    <w:p>
      <w:pPr>
        <w:pStyle w:val="4"/>
        <w:widowControl/>
        <w:spacing w:beforeLines="0" w:afterLines="0" w:line="560" w:lineRule="atLeast"/>
        <w:ind w:firstLine="643"/>
        <w:rPr>
          <w:rFonts w:hint="default"/>
          <w:sz w:val="24"/>
          <w:szCs w:val="24"/>
        </w:rPr>
      </w:pPr>
      <w:r>
        <w:rPr>
          <w:rFonts w:hint="eastAsia" w:ascii="楷体" w:hAnsi="楷体" w:eastAsia="楷体" w:cs="楷体"/>
          <w:b/>
          <w:sz w:val="32"/>
          <w:szCs w:val="32"/>
        </w:rPr>
        <w:t>（三）综合管理情况</w:t>
      </w:r>
    </w:p>
    <w:p>
      <w:pPr>
        <w:pStyle w:val="4"/>
        <w:widowControl/>
        <w:spacing w:beforeLines="0" w:afterLines="0" w:line="560" w:lineRule="atLeast"/>
        <w:ind w:firstLine="640"/>
        <w:rPr>
          <w:rFonts w:hint="eastAsia" w:ascii="仿宋" w:hAnsi="仿宋" w:eastAsia="仿宋" w:cs="仿宋"/>
          <w:sz w:val="32"/>
          <w:szCs w:val="32"/>
        </w:rPr>
      </w:pPr>
      <w:r>
        <w:rPr>
          <w:rFonts w:hint="eastAsia" w:ascii="仿宋" w:hAnsi="仿宋" w:eastAsia="仿宋" w:cs="仿宋"/>
          <w:sz w:val="32"/>
          <w:szCs w:val="32"/>
        </w:rPr>
        <w:t>1.政府性债务管理。</w:t>
      </w:r>
    </w:p>
    <w:p>
      <w:pPr>
        <w:pStyle w:val="4"/>
        <w:widowControl/>
        <w:spacing w:beforeLines="0" w:afterLines="0" w:line="560" w:lineRule="atLeast"/>
        <w:ind w:firstLine="640"/>
        <w:rPr>
          <w:rFonts w:hint="eastAsia" w:ascii="Times New Roman" w:hAnsi="Times New Roman" w:eastAsia="Times New Roman"/>
          <w:sz w:val="21"/>
          <w:szCs w:val="21"/>
        </w:rPr>
      </w:pPr>
      <w:r>
        <w:rPr>
          <w:rFonts w:hint="eastAsia" w:ascii="仿宋" w:hAnsi="仿宋" w:eastAsia="仿宋" w:cs="仿宋"/>
          <w:sz w:val="32"/>
          <w:szCs w:val="32"/>
        </w:rPr>
        <w:t>我单位无政府性债务。</w:t>
      </w:r>
    </w:p>
    <w:p>
      <w:pPr>
        <w:pStyle w:val="4"/>
        <w:widowControl/>
        <w:numPr>
          <w:ilvl w:val="0"/>
          <w:numId w:val="1"/>
        </w:numPr>
        <w:spacing w:beforeLines="0" w:afterLines="0" w:line="560" w:lineRule="atLeast"/>
        <w:ind w:firstLine="640"/>
        <w:rPr>
          <w:rFonts w:hint="eastAsia" w:ascii="仿宋" w:hAnsi="仿宋" w:eastAsia="仿宋" w:cs="仿宋"/>
          <w:sz w:val="32"/>
          <w:szCs w:val="32"/>
        </w:rPr>
      </w:pPr>
      <w:r>
        <w:rPr>
          <w:rFonts w:hint="eastAsia" w:ascii="仿宋" w:hAnsi="仿宋" w:eastAsia="仿宋" w:cs="仿宋"/>
          <w:sz w:val="32"/>
          <w:szCs w:val="32"/>
        </w:rPr>
        <w:t>政府采购实施计划。</w:t>
      </w:r>
    </w:p>
    <w:p>
      <w:pPr>
        <w:pStyle w:val="4"/>
        <w:widowControl/>
        <w:numPr>
          <w:ilvl w:val="0"/>
          <w:numId w:val="0"/>
        </w:numPr>
        <w:spacing w:beforeLines="0" w:afterLines="0" w:line="560" w:lineRule="atLeast"/>
        <w:ind w:left="640"/>
        <w:rPr>
          <w:rFonts w:hint="eastAsia" w:ascii="仿宋" w:hAnsi="仿宋" w:eastAsia="仿宋" w:cs="仿宋"/>
          <w:sz w:val="32"/>
          <w:szCs w:val="32"/>
        </w:rPr>
      </w:pPr>
      <w:r>
        <w:rPr>
          <w:rFonts w:hint="eastAsia" w:ascii="仿宋" w:hAnsi="仿宋" w:eastAsia="仿宋" w:cs="仿宋"/>
          <w:sz w:val="32"/>
          <w:szCs w:val="32"/>
        </w:rPr>
        <w:t>我单位无政府采购。</w:t>
      </w:r>
    </w:p>
    <w:p>
      <w:pPr>
        <w:pStyle w:val="4"/>
        <w:widowControl/>
        <w:spacing w:beforeLines="0" w:afterLines="0" w:line="560" w:lineRule="atLeast"/>
        <w:ind w:firstLine="640"/>
        <w:rPr>
          <w:rFonts w:hint="eastAsia" w:ascii="Times New Roman" w:hAnsi="Times New Roman" w:eastAsia="Times New Roman"/>
          <w:sz w:val="21"/>
          <w:szCs w:val="21"/>
        </w:rPr>
      </w:pPr>
      <w:r>
        <w:rPr>
          <w:rFonts w:hint="eastAsia" w:ascii="仿宋" w:hAnsi="仿宋" w:eastAsia="仿宋" w:cs="仿宋"/>
          <w:sz w:val="32"/>
          <w:szCs w:val="32"/>
        </w:rPr>
        <w:t>3.“三公经费”使用。</w:t>
      </w:r>
    </w:p>
    <w:p>
      <w:pPr>
        <w:pStyle w:val="4"/>
        <w:widowControl/>
        <w:spacing w:beforeLines="0" w:afterLines="0" w:line="560" w:lineRule="atLeast"/>
        <w:ind w:firstLine="640"/>
        <w:jc w:val="both"/>
        <w:rPr>
          <w:rFonts w:hint="eastAsia" w:ascii="Times New Roman" w:hAnsi="Times New Roman" w:eastAsia="Times New Roman"/>
          <w:sz w:val="21"/>
          <w:szCs w:val="21"/>
        </w:rPr>
      </w:pPr>
      <w:r>
        <w:rPr>
          <w:rFonts w:hint="eastAsia" w:ascii="仿宋" w:hAnsi="仿宋" w:eastAsia="仿宋" w:cs="仿宋"/>
          <w:sz w:val="32"/>
          <w:szCs w:val="32"/>
        </w:rPr>
        <w:t>（1）“三公”经费财政拨款支出情况说明</w:t>
      </w:r>
    </w:p>
    <w:p>
      <w:pPr>
        <w:pStyle w:val="4"/>
        <w:widowControl/>
        <w:spacing w:beforeLines="0" w:afterLines="0" w:line="560" w:lineRule="atLeast"/>
        <w:ind w:firstLine="640"/>
        <w:jc w:val="both"/>
        <w:rPr>
          <w:rFonts w:hint="eastAsia" w:ascii="Times New Roman" w:hAnsi="Times New Roman" w:eastAsia="Times New Roman"/>
          <w:sz w:val="21"/>
          <w:szCs w:val="21"/>
        </w:rPr>
      </w:pPr>
      <w:r>
        <w:rPr>
          <w:rFonts w:hint="eastAsia" w:ascii="仿宋" w:hAnsi="仿宋" w:eastAsia="仿宋" w:cs="仿宋"/>
          <w:sz w:val="32"/>
          <w:szCs w:val="32"/>
        </w:rPr>
        <w:t>2021年“三公”经费收入预算1.52万元，支出为1.2277万元，完成率为80.76%，决算数小于预算数的主要原因是：严格执行公务接待管理制度，严格控制陪餐人数、接待标准、接待次数。</w:t>
      </w:r>
    </w:p>
    <w:p>
      <w:pPr>
        <w:pStyle w:val="4"/>
        <w:widowControl/>
        <w:spacing w:beforeLines="0" w:afterLines="0" w:line="560" w:lineRule="atLeast"/>
        <w:ind w:firstLine="640"/>
        <w:jc w:val="both"/>
        <w:rPr>
          <w:rFonts w:hint="eastAsia" w:ascii="Times New Roman" w:hAnsi="Times New Roman" w:eastAsia="Times New Roman"/>
          <w:sz w:val="21"/>
          <w:szCs w:val="21"/>
        </w:rPr>
      </w:pPr>
      <w:r>
        <w:rPr>
          <w:rFonts w:hint="eastAsia" w:ascii="仿宋" w:hAnsi="仿宋" w:eastAsia="仿宋" w:cs="仿宋"/>
          <w:sz w:val="32"/>
          <w:szCs w:val="32"/>
        </w:rPr>
        <w:t>（2）“三公”经费财政拨款支出具体情况说明</w:t>
      </w:r>
    </w:p>
    <w:p>
      <w:pPr>
        <w:pStyle w:val="4"/>
        <w:widowControl/>
        <w:spacing w:beforeLines="0" w:afterLines="0" w:line="560" w:lineRule="atLeast"/>
        <w:ind w:firstLine="640"/>
        <w:rPr>
          <w:rFonts w:hint="eastAsia" w:ascii="Times New Roman" w:hAnsi="Times New Roman" w:eastAsia="Times New Roman"/>
          <w:sz w:val="21"/>
          <w:szCs w:val="21"/>
        </w:rPr>
      </w:pPr>
      <w:r>
        <w:rPr>
          <w:rFonts w:hint="eastAsia" w:ascii="仿宋" w:hAnsi="仿宋" w:eastAsia="仿宋" w:cs="仿宋"/>
          <w:sz w:val="32"/>
          <w:szCs w:val="32"/>
        </w:rPr>
        <w:t>2021年“三公”经费财政拨款支出中，因公出国（境）费支出0万元；公务用车购置及运行维护费支出0万元；公务接待费支出1.2277万元，占100%。具体情况如下：</w:t>
      </w:r>
    </w:p>
    <w:p>
      <w:pPr>
        <w:pStyle w:val="4"/>
        <w:widowControl/>
        <w:spacing w:beforeLines="0" w:afterLines="0" w:line="560" w:lineRule="atLeast"/>
        <w:ind w:firstLine="640"/>
        <w:jc w:val="both"/>
        <w:rPr>
          <w:rFonts w:hint="eastAsia" w:ascii="Times New Roman" w:hAnsi="Times New Roman" w:eastAsia="Times New Roman"/>
          <w:sz w:val="21"/>
          <w:szCs w:val="21"/>
        </w:rPr>
      </w:pPr>
      <w:r>
        <w:rPr>
          <w:rFonts w:hint="eastAsia" w:ascii="Times New Roman" w:hAnsi="Times New Roman" w:eastAsia="Times New Roman"/>
          <w:b/>
          <w:color w:val="000000"/>
          <w:sz w:val="32"/>
          <w:szCs w:val="32"/>
        </w:rPr>
        <w:t>①</w:t>
      </w:r>
      <w:r>
        <w:rPr>
          <w:rFonts w:hint="eastAsia" w:ascii="仿宋" w:hAnsi="仿宋" w:eastAsia="仿宋" w:cs="仿宋"/>
          <w:sz w:val="32"/>
          <w:szCs w:val="32"/>
        </w:rPr>
        <w:t>因公出国（境）经费支出0万元。</w:t>
      </w:r>
    </w:p>
    <w:p>
      <w:pPr>
        <w:pStyle w:val="4"/>
        <w:widowControl/>
        <w:spacing w:beforeLines="0" w:afterLines="0" w:line="560" w:lineRule="atLeast"/>
        <w:ind w:firstLine="640"/>
        <w:jc w:val="both"/>
        <w:rPr>
          <w:rFonts w:hint="eastAsia" w:ascii="Times New Roman" w:hAnsi="Times New Roman" w:eastAsia="Times New Roman"/>
          <w:sz w:val="21"/>
          <w:szCs w:val="21"/>
        </w:rPr>
      </w:pPr>
      <w:r>
        <w:rPr>
          <w:rFonts w:hint="eastAsia" w:ascii="Times New Roman" w:hAnsi="Times New Roman" w:eastAsia="Times New Roman"/>
          <w:b/>
          <w:color w:val="000000"/>
          <w:sz w:val="32"/>
          <w:szCs w:val="32"/>
        </w:rPr>
        <w:t>②</w:t>
      </w:r>
      <w:r>
        <w:rPr>
          <w:rFonts w:hint="eastAsia" w:ascii="仿宋" w:hAnsi="仿宋" w:eastAsia="仿宋" w:cs="仿宋"/>
          <w:sz w:val="32"/>
          <w:szCs w:val="32"/>
        </w:rPr>
        <w:t>公务用车购置及运行维护费支出0万元。</w:t>
      </w:r>
    </w:p>
    <w:p>
      <w:pPr>
        <w:pStyle w:val="4"/>
        <w:widowControl/>
        <w:spacing w:beforeLines="0" w:afterLines="0" w:line="560" w:lineRule="atLeast"/>
        <w:ind w:firstLine="640"/>
        <w:jc w:val="both"/>
        <w:rPr>
          <w:rFonts w:hint="eastAsia" w:ascii="Times New Roman" w:hAnsi="Times New Roman" w:eastAsia="Times New Roman"/>
          <w:sz w:val="21"/>
          <w:szCs w:val="21"/>
        </w:rPr>
      </w:pPr>
      <w:r>
        <w:rPr>
          <w:rFonts w:hint="eastAsia" w:ascii="Times New Roman" w:hAnsi="Times New Roman" w:eastAsia="Times New Roman"/>
          <w:b/>
          <w:color w:val="000000"/>
          <w:sz w:val="32"/>
          <w:szCs w:val="32"/>
        </w:rPr>
        <w:t>③</w:t>
      </w:r>
      <w:r>
        <w:rPr>
          <w:rFonts w:hint="eastAsia" w:ascii="仿宋" w:hAnsi="仿宋" w:eastAsia="仿宋" w:cs="仿宋"/>
          <w:sz w:val="32"/>
          <w:szCs w:val="32"/>
        </w:rPr>
        <w:t>公务接待费2021年“三公”经费预算1.52万元，支出为1.2277万元，完成率为70.76%。比2020年支出2.3070万元减少1.0793万元，减少46.78%。其中：国内公务接待支出1.2277万元。主要用于执行公务、开展业务活动开支的交通费、住宿费、用餐费等。国内公务接待20批次，230人次（不包括陪同人员），共计支出1.2277万元，均为国内公务接待支出。</w:t>
      </w:r>
    </w:p>
    <w:p>
      <w:pPr>
        <w:pStyle w:val="4"/>
        <w:widowControl/>
        <w:spacing w:beforeLines="0" w:afterLines="0" w:line="560" w:lineRule="atLeast"/>
        <w:ind w:firstLine="640"/>
        <w:jc w:val="both"/>
        <w:rPr>
          <w:rFonts w:hint="eastAsia" w:ascii="Times New Roman" w:hAnsi="Times New Roman" w:eastAsia="Times New Roman"/>
          <w:sz w:val="21"/>
          <w:szCs w:val="21"/>
        </w:rPr>
      </w:pPr>
      <w:r>
        <w:rPr>
          <w:rFonts w:hint="eastAsia" w:ascii="仿宋" w:hAnsi="仿宋" w:eastAsia="仿宋" w:cs="仿宋"/>
          <w:sz w:val="32"/>
          <w:szCs w:val="32"/>
        </w:rPr>
        <w:t>4.资产管理。我局资产管理严格按照国有资产管理相关规定，在资产信息管理系统进行了全部录入，新购资产同时进行了账务处理，按规定计提折旧，信息系统数据与财务账数据一致。</w:t>
      </w:r>
    </w:p>
    <w:p>
      <w:pPr>
        <w:pStyle w:val="4"/>
        <w:widowControl/>
        <w:spacing w:beforeLines="0" w:afterLines="0" w:line="560" w:lineRule="atLeast"/>
        <w:ind w:firstLine="640"/>
        <w:jc w:val="both"/>
        <w:rPr>
          <w:rFonts w:hint="eastAsia" w:ascii="Times New Roman" w:hAnsi="Times New Roman" w:eastAsia="Times New Roman"/>
          <w:sz w:val="21"/>
          <w:szCs w:val="21"/>
        </w:rPr>
      </w:pPr>
      <w:r>
        <w:rPr>
          <w:rFonts w:hint="eastAsia" w:ascii="仿宋" w:hAnsi="仿宋" w:eastAsia="仿宋" w:cs="仿宋"/>
          <w:sz w:val="32"/>
          <w:szCs w:val="32"/>
        </w:rPr>
        <w:t>5.信息公开。2021年度预算批复后，及时在合水县人民政府门户网站进行了公开，公开内容包括部门职能、主要工作、年度预算、“三公”经费、政府采购计划、绩效目标等内容。2021年决算批复后，及时在合水县人民政府门户网站进行了公开，公开内容包括部门职能、机构设置及人员、主要工作完成情况、预算及执行情况、“三公”经费执行情况、政府采购执行情况、绩效目标评价情况等。</w:t>
      </w:r>
    </w:p>
    <w:p>
      <w:pPr>
        <w:pStyle w:val="4"/>
        <w:widowControl/>
        <w:spacing w:beforeLines="0" w:afterLines="0" w:line="560" w:lineRule="atLeast"/>
        <w:ind w:firstLine="640"/>
        <w:jc w:val="both"/>
        <w:rPr>
          <w:rFonts w:hint="eastAsia" w:ascii="Times New Roman" w:hAnsi="Times New Roman" w:eastAsia="Times New Roman"/>
          <w:sz w:val="21"/>
          <w:szCs w:val="21"/>
        </w:rPr>
      </w:pPr>
      <w:r>
        <w:rPr>
          <w:rFonts w:hint="eastAsia" w:ascii="仿宋" w:hAnsi="仿宋" w:eastAsia="仿宋" w:cs="仿宋"/>
          <w:sz w:val="32"/>
          <w:szCs w:val="32"/>
        </w:rPr>
        <w:t>6.依法接受审计及财政监督情况。2021年度未接受审计及财政监督检查。</w:t>
      </w:r>
    </w:p>
    <w:p>
      <w:pPr>
        <w:pStyle w:val="4"/>
        <w:widowControl/>
        <w:spacing w:beforeLines="0" w:afterLines="0" w:line="560" w:lineRule="atLeast"/>
        <w:ind w:firstLine="643"/>
        <w:rPr>
          <w:rFonts w:hint="default"/>
          <w:sz w:val="24"/>
          <w:szCs w:val="24"/>
        </w:rPr>
      </w:pPr>
      <w:r>
        <w:rPr>
          <w:rFonts w:hint="eastAsia" w:ascii="楷体" w:hAnsi="楷体" w:eastAsia="楷体" w:cs="楷体"/>
          <w:b/>
          <w:sz w:val="32"/>
          <w:szCs w:val="32"/>
        </w:rPr>
        <w:t>（四）综合绩效情况</w:t>
      </w:r>
    </w:p>
    <w:p>
      <w:pPr>
        <w:pStyle w:val="4"/>
        <w:widowControl/>
        <w:spacing w:beforeLines="0" w:afterLines="0" w:line="560" w:lineRule="atLeast"/>
        <w:ind w:firstLine="643"/>
        <w:jc w:val="both"/>
        <w:rPr>
          <w:rFonts w:hint="eastAsia" w:ascii="Times New Roman" w:hAnsi="Times New Roman" w:eastAsia="Times New Roman"/>
          <w:sz w:val="21"/>
          <w:szCs w:val="21"/>
        </w:rPr>
      </w:pPr>
      <w:r>
        <w:rPr>
          <w:rFonts w:hint="eastAsia" w:ascii="仿宋" w:hAnsi="仿宋" w:eastAsia="仿宋" w:cs="仿宋"/>
          <w:b/>
          <w:color w:val="000000"/>
          <w:sz w:val="32"/>
          <w:szCs w:val="32"/>
          <w:shd w:val="clear" w:color="auto" w:fill="FFFFFF"/>
        </w:rPr>
        <w:t>1.重点项目绩效评价结果。</w:t>
      </w:r>
      <w:r>
        <w:rPr>
          <w:rFonts w:hint="eastAsia" w:ascii="仿宋" w:hAnsi="仿宋" w:eastAsia="仿宋" w:cs="仿宋"/>
          <w:sz w:val="32"/>
          <w:szCs w:val="32"/>
        </w:rPr>
        <w:t>各重点项目设立依据充分，符合项目业务工作要求，立项程序合规，目标设定切实可行，经费安排与工作相适应，资金用途明确，内控措施较为健全，工作开展严格按照相关规定执行，项目数量、质量完成好，进度安排合理，具有良好的社会效益，可持续影响明显，工作轨迹资料齐全，财务管理制度健全，资金拨付审批程序合规，财务核算及时，会计信息真实，工作开展成效明显，服务对象满意度高，资金使用绩效好。</w:t>
      </w:r>
    </w:p>
    <w:p>
      <w:pPr>
        <w:tabs>
          <w:tab w:val="left" w:pos="5031"/>
        </w:tabs>
        <w:spacing w:beforeLines="0" w:afterLines="0" w:line="576" w:lineRule="exact"/>
        <w:ind w:firstLine="643" w:firstLineChars="200"/>
        <w:jc w:val="left"/>
        <w:rPr>
          <w:rFonts w:hint="eastAsia" w:ascii="Times New Roman" w:hAnsi="Times New Roman" w:eastAsia="Times New Roman"/>
          <w:sz w:val="21"/>
          <w:szCs w:val="21"/>
        </w:rPr>
      </w:pPr>
      <w:r>
        <w:rPr>
          <w:rFonts w:hint="eastAsia" w:ascii="仿宋" w:hAnsi="仿宋" w:eastAsia="仿宋" w:cs="仿宋"/>
          <w:b/>
          <w:color w:val="000000"/>
          <w:sz w:val="32"/>
          <w:szCs w:val="32"/>
          <w:shd w:val="clear" w:color="auto" w:fill="FFFFFF"/>
        </w:rPr>
        <w:t>2.部门职能完成情况。</w:t>
      </w:r>
      <w:r>
        <w:rPr>
          <w:rFonts w:hint="eastAsia" w:ascii="Times New Roman" w:hAnsi="Times New Roman" w:eastAsia="仿宋_GB2312"/>
          <w:b/>
          <w:sz w:val="32"/>
          <w:szCs w:val="32"/>
        </w:rPr>
        <w:t>一是高起点谋划。</w:t>
      </w:r>
      <w:r>
        <w:rPr>
          <w:rFonts w:hint="eastAsia" w:ascii="Times New Roman" w:hAnsi="Times New Roman" w:eastAsia="仿宋_GB2312"/>
          <w:sz w:val="32"/>
          <w:szCs w:val="32"/>
        </w:rPr>
        <w:t>5月12日，组织召开县委退役军人事务工作领导小组全体会议。（原）县委副书记、政府县长、县委退役军人事务工作领导小组常务副组长沈文祥主持会议，县委书记、县委退役军人事务工作领导小组组长解平出席会议并讲话。会上，传达学习了全国、全省、全市退役军人重要会议精神和《退役军人保障法》，听取2020年全县退役军人事务工作报告，并对2021年工作提出意见建议，研究审定出台了《合水县双拥工作领导小组工作规则、成员单位工作职责、办公室职责和会议制度》《关于加强新时代退役军人工作的实施方案》《2021年全县退役军人工作要点》以及合水县“最美退役军人”表彰人选等有关事项。</w:t>
      </w:r>
      <w:r>
        <w:rPr>
          <w:rFonts w:hint="eastAsia" w:ascii="Times New Roman" w:hAnsi="Times New Roman" w:eastAsia="仿宋_GB2312"/>
          <w:b/>
          <w:sz w:val="32"/>
          <w:szCs w:val="32"/>
        </w:rPr>
        <w:t>二是常态化联系。</w:t>
      </w:r>
      <w:r>
        <w:rPr>
          <w:rFonts w:hint="eastAsia" w:ascii="Times New Roman" w:hAnsi="Times New Roman" w:eastAsia="仿宋_GB2312"/>
          <w:sz w:val="32"/>
          <w:szCs w:val="32"/>
        </w:rPr>
        <w:t>县委退役军人事务工作领导小组组长、副组长等主要成员及我局全体同志多次深入县乡村调研退役军人服务保障机构建设、走访慰问烈军属和困难优抚对象。常态化联系退役军人工作机制日益健全完善，每季度联系结对服务对象至少1次，每年上门走访至少1次，基本做到了常态化沟通联系、感情联络、心理疏导和思想引导。成员单位充分发挥部门职能优势，相互协调，形成合力，有力推动了全县退役军人事务工作高质量发展。</w:t>
      </w:r>
      <w:r>
        <w:rPr>
          <w:rFonts w:hint="eastAsia" w:ascii="Times New Roman" w:hAnsi="Times New Roman" w:eastAsia="仿宋_GB2312"/>
          <w:b/>
          <w:sz w:val="32"/>
          <w:szCs w:val="32"/>
        </w:rPr>
        <w:t>三是精准化优抚。</w:t>
      </w:r>
      <w:r>
        <w:rPr>
          <w:rFonts w:hint="eastAsia" w:ascii="Times New Roman" w:hAnsi="Times New Roman" w:eastAsia="仿宋_GB2312"/>
          <w:sz w:val="32"/>
          <w:szCs w:val="32"/>
        </w:rPr>
        <w:t>全面落实退役军人优待优惠优先政策。严格按照“五个一”要求，大力开展“我为退役军人办实事”和经常性结对帮扶活动，先后为236名困难优抚对象发放救助资金69.42万元；为148名残疾军人</w:t>
      </w:r>
      <w:r>
        <w:rPr>
          <w:rFonts w:hint="eastAsia" w:ascii="楷体_GB2312" w:hAnsi="楷体_GB2312" w:eastAsia="楷体_GB2312" w:cs="楷体_GB2312"/>
          <w:b/>
          <w:sz w:val="28"/>
          <w:szCs w:val="28"/>
        </w:rPr>
        <w:t>（在乡七至十级）</w:t>
      </w:r>
      <w:r>
        <w:rPr>
          <w:rFonts w:hint="eastAsia" w:ascii="Times New Roman" w:hAnsi="Times New Roman" w:eastAsia="仿宋_GB2312"/>
          <w:sz w:val="32"/>
          <w:szCs w:val="32"/>
        </w:rPr>
        <w:t>、“三属”等六类重点优抚对象解决了2022年基本医疗保险个人缴费问题，共补助资金4.06万元；为166名退役军人及现役军人家庭悬挂光荣牌；送达现役军人立功喜报55人，发放奖励金5.35万元；走访慰问各类重点优抚对象及现役军人家属76人，发放慰问金3.85万元，切实让退役军人等服务对象感受到了党和政府的关心关爱。</w:t>
      </w:r>
    </w:p>
    <w:p>
      <w:pPr>
        <w:pStyle w:val="4"/>
        <w:widowControl/>
        <w:spacing w:beforeLines="0" w:afterLines="0" w:line="560" w:lineRule="atLeast"/>
        <w:ind w:firstLine="640"/>
        <w:rPr>
          <w:rFonts w:hint="default"/>
          <w:sz w:val="24"/>
          <w:szCs w:val="24"/>
        </w:rPr>
      </w:pPr>
      <w:r>
        <w:rPr>
          <w:rFonts w:hint="eastAsia" w:ascii="方正黑体简体" w:hAnsi="方正黑体简体" w:eastAsia="方正黑体简体" w:cs="方正黑体简体"/>
          <w:color w:val="000000"/>
          <w:sz w:val="32"/>
          <w:szCs w:val="32"/>
          <w:shd w:val="clear" w:color="auto" w:fill="FFFFFF"/>
        </w:rPr>
        <w:t>四、评价结论及建议</w:t>
      </w:r>
    </w:p>
    <w:p>
      <w:pPr>
        <w:pStyle w:val="4"/>
        <w:widowControl/>
        <w:spacing w:beforeLines="0" w:afterLines="0" w:line="560" w:lineRule="atLeast"/>
        <w:ind w:firstLine="627"/>
        <w:rPr>
          <w:rFonts w:hint="eastAsia" w:ascii="Times New Roman" w:hAnsi="Times New Roman" w:eastAsia="Times New Roman"/>
          <w:sz w:val="21"/>
          <w:szCs w:val="21"/>
        </w:rPr>
      </w:pPr>
      <w:r>
        <w:rPr>
          <w:rFonts w:hint="eastAsia" w:ascii="仿宋" w:hAnsi="仿宋" w:eastAsia="仿宋" w:cs="仿宋"/>
          <w:sz w:val="32"/>
          <w:szCs w:val="32"/>
        </w:rPr>
        <w:t>本单位预算编制程序合规，信息准确，动态调整及时，年初目标任务明确，专项预算符合相关法律法规及政策规定，目标绩效完成较好，资金管理制度健全，使用较为规范，制度执行较好，支出控制严格，支出范围合规，达到了预期目标。自评得分98分。</w:t>
      </w:r>
    </w:p>
    <w:p>
      <w:pPr>
        <w:pStyle w:val="4"/>
        <w:widowControl/>
        <w:spacing w:beforeLines="0" w:afterLines="0" w:line="560" w:lineRule="atLeast"/>
        <w:ind w:firstLine="640"/>
        <w:rPr>
          <w:rFonts w:hint="default"/>
          <w:sz w:val="24"/>
          <w:szCs w:val="24"/>
        </w:rPr>
      </w:pPr>
      <w:r>
        <w:rPr>
          <w:rFonts w:hint="eastAsia" w:ascii="方正黑体简体" w:hAnsi="方正黑体简体" w:eastAsia="方正黑体简体" w:cs="方正黑体简体"/>
          <w:color w:val="000000"/>
          <w:sz w:val="32"/>
          <w:szCs w:val="32"/>
          <w:shd w:val="clear" w:color="auto" w:fill="FFFFFF"/>
        </w:rPr>
        <w:t>五、存在的问题及建议</w:t>
      </w:r>
    </w:p>
    <w:p>
      <w:pPr>
        <w:pStyle w:val="4"/>
        <w:widowControl/>
        <w:spacing w:beforeLines="0" w:afterLines="0" w:line="560" w:lineRule="atLeast"/>
        <w:ind w:firstLine="643"/>
        <w:jc w:val="both"/>
        <w:rPr>
          <w:rFonts w:hint="eastAsia" w:ascii="仿宋" w:hAnsi="仿宋" w:eastAsia="仿宋" w:cs="仿宋"/>
          <w:sz w:val="24"/>
          <w:szCs w:val="24"/>
        </w:rPr>
      </w:pPr>
      <w:r>
        <w:rPr>
          <w:rFonts w:hint="eastAsia" w:ascii="楷体" w:hAnsi="楷体" w:eastAsia="楷体" w:cs="楷体"/>
          <w:b/>
          <w:sz w:val="32"/>
          <w:szCs w:val="32"/>
        </w:rPr>
        <w:t>（一）存在问题。</w:t>
      </w:r>
    </w:p>
    <w:p>
      <w:pPr>
        <w:pStyle w:val="4"/>
        <w:widowControl/>
        <w:spacing w:beforeLines="0" w:afterLines="0" w:line="560" w:lineRule="atLeast"/>
        <w:ind w:firstLine="640"/>
        <w:jc w:val="both"/>
        <w:rPr>
          <w:rFonts w:hint="eastAsia" w:ascii="仿宋" w:hAnsi="仿宋" w:eastAsia="仿宋" w:cs="仿宋"/>
          <w:sz w:val="24"/>
          <w:szCs w:val="24"/>
        </w:rPr>
      </w:pPr>
      <w:r>
        <w:rPr>
          <w:rFonts w:hint="eastAsia" w:ascii="仿宋" w:hAnsi="仿宋" w:eastAsia="仿宋" w:cs="仿宋"/>
          <w:sz w:val="32"/>
          <w:szCs w:val="32"/>
        </w:rPr>
        <w:t>一是个别项目资金支付进度较慢，未达到资金预期目标；二是个别支出支付进度安排不够合理。</w:t>
      </w:r>
    </w:p>
    <w:p>
      <w:pPr>
        <w:pStyle w:val="4"/>
        <w:widowControl/>
        <w:spacing w:beforeLines="0" w:afterLines="0" w:line="560" w:lineRule="atLeast"/>
        <w:ind w:firstLine="643"/>
        <w:jc w:val="both"/>
        <w:rPr>
          <w:rFonts w:hint="eastAsia" w:ascii="仿宋" w:hAnsi="仿宋" w:eastAsia="仿宋" w:cs="仿宋"/>
          <w:sz w:val="24"/>
          <w:szCs w:val="24"/>
        </w:rPr>
      </w:pPr>
      <w:r>
        <w:rPr>
          <w:rFonts w:hint="eastAsia" w:ascii="楷体" w:hAnsi="楷体" w:eastAsia="楷体" w:cs="楷体"/>
          <w:b/>
          <w:sz w:val="32"/>
          <w:szCs w:val="32"/>
        </w:rPr>
        <w:t>（二）改进建议。</w:t>
      </w:r>
    </w:p>
    <w:p>
      <w:pPr>
        <w:pStyle w:val="4"/>
        <w:widowControl/>
        <w:spacing w:beforeLines="0" w:afterLines="0" w:line="560" w:lineRule="atLeast"/>
        <w:ind w:firstLine="640"/>
        <w:jc w:val="both"/>
        <w:rPr>
          <w:rFonts w:hint="eastAsia" w:ascii="仿宋" w:hAnsi="仿宋" w:eastAsia="仿宋" w:cs="仿宋"/>
          <w:sz w:val="24"/>
          <w:szCs w:val="24"/>
        </w:rPr>
      </w:pPr>
      <w:r>
        <w:rPr>
          <w:rFonts w:hint="eastAsia" w:ascii="仿宋" w:hAnsi="仿宋" w:eastAsia="仿宋" w:cs="仿宋"/>
          <w:sz w:val="32"/>
          <w:szCs w:val="32"/>
        </w:rPr>
        <w:t>一是加强预算编制的前期调查研究，进一步提升预算的科学性、合理性和实用性；二是加强预算执行管理，及时掌握预算执行情况和进度；三是根据工作开展情况合理调整支出进度。</w:t>
      </w:r>
    </w:p>
    <w:p>
      <w:pPr>
        <w:spacing w:beforeLines="0" w:afterLines="0"/>
        <w:rPr>
          <w:rFonts w:hint="default"/>
          <w:sz w:val="21"/>
          <w:szCs w:val="24"/>
        </w:rPr>
      </w:pPr>
    </w:p>
    <w:p>
      <w:pPr>
        <w:pStyle w:val="3"/>
        <w:spacing w:beforeLines="0" w:afterLines="0"/>
        <w:rPr>
          <w:rFonts w:hint="default"/>
          <w:sz w:val="21"/>
          <w:szCs w:val="24"/>
        </w:rPr>
      </w:pPr>
    </w:p>
    <w:p>
      <w:r>
        <w:rPr>
          <w:rFonts w:hint="eastAsia"/>
          <w:sz w:val="21"/>
          <w:szCs w:val="24"/>
        </w:rPr>
        <w:t xml:space="preserve">                             </w:t>
      </w:r>
      <w:bookmarkStart w:id="0" w:name="_GoBack"/>
      <w:bookmarkEnd w:id="0"/>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4F4EE"/>
    <w:multiLevelType w:val="multilevel"/>
    <w:tmpl w:val="5FF4F4EE"/>
    <w:lvl w:ilvl="0" w:tentative="0">
      <w:start w:val="2"/>
      <w:numFmt w:val="decimal"/>
      <w:lvlText w:val="%1."/>
      <w:lvlJc w:val="left"/>
      <w:pPr>
        <w:tabs>
          <w:tab w:val="left" w:pos="312"/>
        </w:tabs>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OWNjN2U0OGZjNTg2YjdmZWVmMzRjNzRiMWE1ZmUifQ=="/>
  </w:docVars>
  <w:rsids>
    <w:rsidRoot w:val="00000000"/>
    <w:rsid w:val="702B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3">
    <w:name w:val="heading 1"/>
    <w:basedOn w:val="1"/>
    <w:next w:val="1"/>
    <w:unhideWhenUsed/>
    <w:qFormat/>
    <w:uiPriority w:val="0"/>
    <w:pPr>
      <w:keepNext/>
      <w:keepLines/>
      <w:spacing w:before="340" w:beforeLines="0" w:after="330" w:afterLines="0" w:line="560" w:lineRule="exact"/>
      <w:outlineLvl w:val="0"/>
    </w:pPr>
    <w:rPr>
      <w:rFonts w:hint="default" w:eastAsia="方正小标宋_GBK"/>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unhideWhenUsed/>
    <w:qFormat/>
    <w:uiPriority w:val="0"/>
    <w:pPr>
      <w:tabs>
        <w:tab w:val="left" w:pos="0"/>
      </w:tabs>
      <w:adjustRightInd w:val="0"/>
      <w:snapToGrid w:val="0"/>
      <w:spacing w:before="100" w:beforeLines="100" w:after="100" w:afterLines="100"/>
      <w:jc w:val="center"/>
    </w:pPr>
    <w:rPr>
      <w:rFonts w:hint="default" w:hAnsi="Arial" w:cs="Arial"/>
      <w:b/>
      <w:sz w:val="48"/>
      <w:szCs w:val="32"/>
    </w:rPr>
  </w:style>
  <w:style w:type="paragraph" w:styleId="4">
    <w:name w:val="Normal (Web)"/>
    <w:basedOn w:val="1"/>
    <w:unhideWhenUsed/>
    <w:qFormat/>
    <w:uiPriority w:val="0"/>
    <w:pPr>
      <w:spacing w:beforeLines="0" w:afterLines="0"/>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2023-06-25T07:20:38Z</dcterms:created>
  <dc:creator>Administrator</dc:creator>
  <cp:lastModifiedBy>。。。。</cp:lastModifiedBy>
  <dcterms:modified xsi:type="dcterms:W3CDTF">2023-06-25T07:20:57Z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C3D8A7A987154C3D97300D9DF311CBDF_12</vt:lpwstr>
  </property>
</Properties>
</file>