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ind w:firstLine="6720" w:firstLineChars="2400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spacing w:line="680" w:lineRule="exact"/>
        <w:ind w:right="4"/>
        <w:jc w:val="both"/>
        <w:rPr>
          <w:rFonts w:hint="eastAsia" w:ascii="Times New Roman" w:hAnsi="Times New Roman" w:eastAsia="方正小标宋简体"/>
          <w:bCs/>
          <w:color w:val="000000"/>
          <w:sz w:val="52"/>
          <w:szCs w:val="52"/>
          <w:lang w:val="en-US" w:eastAsia="zh-CN"/>
        </w:rPr>
      </w:pPr>
    </w:p>
    <w:p>
      <w:pPr>
        <w:spacing w:line="680" w:lineRule="exact"/>
        <w:ind w:right="4"/>
        <w:jc w:val="center"/>
        <w:rPr>
          <w:rFonts w:ascii="Times New Roman" w:hAnsi="Times New Roman" w:eastAsia="方正小标宋简体"/>
          <w:bCs/>
          <w:color w:val="000000"/>
          <w:sz w:val="52"/>
          <w:szCs w:val="52"/>
        </w:rPr>
      </w:pPr>
      <w:r>
        <w:rPr>
          <w:rFonts w:hint="eastAsia" w:ascii="Times New Roman" w:hAnsi="Times New Roman" w:eastAsia="方正小标宋简体"/>
          <w:bCs/>
          <w:color w:val="000000"/>
          <w:sz w:val="52"/>
          <w:szCs w:val="52"/>
          <w:lang w:val="en-US" w:eastAsia="zh-CN"/>
        </w:rPr>
        <w:t>部门（单位）整体支出</w:t>
      </w:r>
      <w:r>
        <w:rPr>
          <w:rFonts w:ascii="Times New Roman" w:hAnsi="Times New Roman" w:eastAsia="方正小标宋简体"/>
          <w:bCs/>
          <w:color w:val="000000"/>
          <w:sz w:val="52"/>
          <w:szCs w:val="52"/>
        </w:rPr>
        <w:t>绩效评价报告</w:t>
      </w:r>
    </w:p>
    <w:p>
      <w:pPr>
        <w:pStyle w:val="2"/>
        <w:spacing w:line="680" w:lineRule="exact"/>
        <w:rPr>
          <w:rFonts w:ascii="Times New Roman" w:hAnsi="Times New Roman" w:cs="Times New Roman"/>
          <w:color w:val="000000"/>
          <w:sz w:val="56"/>
          <w:szCs w:val="56"/>
          <w:highlight w:val="none"/>
        </w:rPr>
      </w:pPr>
      <w:r>
        <w:rPr>
          <w:rFonts w:ascii="Times New Roman" w:hAnsi="Times New Roman" w:cs="Times New Roman"/>
          <w:color w:val="000000"/>
          <w:sz w:val="56"/>
          <w:szCs w:val="56"/>
          <w:highlight w:val="none"/>
        </w:rPr>
        <w:t xml:space="preserve"> </w:t>
      </w:r>
    </w:p>
    <w:p>
      <w:pPr>
        <w:pStyle w:val="2"/>
        <w:spacing w:line="680" w:lineRule="exact"/>
        <w:rPr>
          <w:rFonts w:ascii="Times New Roman" w:hAnsi="Times New Roman" w:cs="Times New Roman"/>
          <w:color w:val="000000"/>
          <w:sz w:val="56"/>
          <w:szCs w:val="56"/>
        </w:rPr>
      </w:pPr>
      <w:r>
        <w:rPr>
          <w:rFonts w:ascii="Times New Roman" w:hAnsi="Times New Roman" w:cs="Times New Roman"/>
          <w:color w:val="000000"/>
          <w:sz w:val="56"/>
          <w:szCs w:val="56"/>
        </w:rPr>
        <w:t xml:space="preserve"> </w:t>
      </w:r>
    </w:p>
    <w:p>
      <w:pPr>
        <w:pStyle w:val="2"/>
        <w:spacing w:line="680" w:lineRule="exact"/>
        <w:rPr>
          <w:rFonts w:ascii="Times New Roman" w:hAnsi="Times New Roman" w:cs="Times New Roman"/>
          <w:color w:val="000000"/>
          <w:sz w:val="56"/>
          <w:szCs w:val="56"/>
        </w:rPr>
      </w:pPr>
    </w:p>
    <w:p>
      <w:pPr>
        <w:pStyle w:val="2"/>
        <w:spacing w:line="680" w:lineRule="exact"/>
        <w:rPr>
          <w:rFonts w:ascii="Times New Roman" w:hAnsi="Times New Roman" w:cs="Times New Roman"/>
          <w:color w:val="000000"/>
          <w:sz w:val="56"/>
          <w:szCs w:val="56"/>
        </w:rPr>
      </w:pPr>
    </w:p>
    <w:p>
      <w:pPr>
        <w:pStyle w:val="2"/>
        <w:spacing w:line="680" w:lineRule="exact"/>
        <w:rPr>
          <w:rFonts w:ascii="Times New Roman" w:hAnsi="Times New Roman" w:cs="Times New Roman"/>
          <w:color w:val="000000"/>
          <w:sz w:val="56"/>
          <w:szCs w:val="56"/>
        </w:rPr>
      </w:pPr>
    </w:p>
    <w:p>
      <w:pPr>
        <w:spacing w:line="578" w:lineRule="exact"/>
        <w:ind w:left="1600" w:hanging="1600" w:hangingChars="5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</w:t>
      </w:r>
    </w:p>
    <w:p>
      <w:pPr>
        <w:spacing w:line="578" w:lineRule="exact"/>
        <w:ind w:left="1600" w:hanging="1600" w:hangingChars="5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</w:t>
      </w:r>
    </w:p>
    <w:p>
      <w:pPr>
        <w:spacing w:line="578" w:lineRule="exact"/>
        <w:ind w:left="1600" w:hanging="1600" w:hangingChars="5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</w:t>
      </w:r>
    </w:p>
    <w:p>
      <w:pPr>
        <w:spacing w:line="660" w:lineRule="exact"/>
        <w:ind w:left="1600" w:hanging="1600" w:hangingChars="500"/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/>
          <w:color w:val="000000"/>
          <w:sz w:val="32"/>
          <w:szCs w:val="32"/>
        </w:rPr>
        <w:t>项目主管部门：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eastAsia="zh-CN"/>
        </w:rPr>
        <w:t>石化办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 xml:space="preserve"> </w:t>
      </w:r>
    </w:p>
    <w:p>
      <w:pPr>
        <w:spacing w:line="660" w:lineRule="exact"/>
        <w:rPr>
          <w:rFonts w:ascii="Times New Roman" w:hAnsi="Times New Roman" w:eastAsia="仿宋_GB2312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    评价实施部门：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eastAsia="zh-CN"/>
        </w:rPr>
        <w:t>石化办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</w:t>
      </w:r>
    </w:p>
    <w:p>
      <w:pPr>
        <w:spacing w:line="660" w:lineRule="exact"/>
        <w:rPr>
          <w:rFonts w:ascii="Times New Roman" w:hAnsi="Times New Roman" w:eastAsia="仿宋_GB2312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    评价机构名称：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eastAsia="zh-CN"/>
        </w:rPr>
        <w:t>石化办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</w:t>
      </w:r>
    </w:p>
    <w:p>
      <w:pPr>
        <w:spacing w:line="578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  </w:t>
      </w:r>
    </w:p>
    <w:p>
      <w:pPr>
        <w:spacing w:line="578" w:lineRule="exact"/>
        <w:rPr>
          <w:rFonts w:ascii="Times New Roman" w:hAnsi="Times New Roman"/>
          <w:color w:val="000000"/>
          <w:sz w:val="73"/>
          <w:szCs w:val="73"/>
        </w:rPr>
      </w:pPr>
      <w:r>
        <w:rPr>
          <w:rFonts w:ascii="Times New Roman" w:hAnsi="Times New Roman"/>
          <w:color w:val="000000"/>
          <w:sz w:val="73"/>
          <w:szCs w:val="73"/>
        </w:rPr>
        <w:t xml:space="preserve"> </w:t>
      </w:r>
    </w:p>
    <w:p>
      <w:pPr>
        <w:spacing w:line="578" w:lineRule="exact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578" w:lineRule="exact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2023</w:t>
      </w:r>
      <w:r>
        <w:rPr>
          <w:rFonts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color w:val="000000"/>
          <w:sz w:val="32"/>
          <w:szCs w:val="32"/>
        </w:rPr>
        <w:t>月</w:t>
      </w:r>
    </w:p>
    <w:p>
      <w:pPr>
        <w:spacing w:line="680" w:lineRule="exact"/>
        <w:ind w:right="4"/>
        <w:jc w:val="center"/>
        <w:rPr>
          <w:rFonts w:ascii="Times New Roman" w:hAnsi="Times New Roman" w:eastAsia="方正小标宋简体"/>
          <w:bCs/>
          <w:color w:val="000000"/>
          <w:sz w:val="40"/>
          <w:szCs w:val="40"/>
        </w:rPr>
      </w:pPr>
    </w:p>
    <w:p>
      <w:pPr>
        <w:spacing w:line="680" w:lineRule="exact"/>
        <w:ind w:right="4"/>
        <w:jc w:val="center"/>
        <w:rPr>
          <w:rFonts w:ascii="Times New Roman" w:hAnsi="Times New Roman" w:eastAsia="方正小标宋简体"/>
          <w:bCs/>
          <w:color w:val="000000"/>
          <w:sz w:val="40"/>
          <w:szCs w:val="40"/>
        </w:rPr>
      </w:pPr>
    </w:p>
    <w:p>
      <w:pPr>
        <w:pStyle w:val="2"/>
        <w:spacing w:line="590" w:lineRule="exact"/>
        <w:ind w:firstLine="640" w:firstLineChars="200"/>
        <w:rPr>
          <w:rFonts w:ascii="黑体" w:hAnsi="Times New Roman" w:eastAsia="黑体" w:cs="Times New Roman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spacing w:line="590" w:lineRule="exact"/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黑体" w:hAnsi="Times New Roman" w:eastAsia="黑体" w:cs="Times New Roman"/>
          <w:color w:val="000000"/>
          <w:sz w:val="32"/>
          <w:szCs w:val="32"/>
        </w:rPr>
        <w:t>一、项目基本情况</w:t>
      </w:r>
    </w:p>
    <w:p>
      <w:pPr>
        <w:pStyle w:val="2"/>
        <w:adjustRightInd w:val="0"/>
        <w:spacing w:line="62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仿宋_GB2312" w:hAnsi="仿宋_GB2312" w:eastAsia="仿宋_GB2312" w:cs="Times New Roman"/>
          <w:color w:val="000000"/>
          <w:sz w:val="32"/>
          <w:szCs w:val="32"/>
        </w:rPr>
        <w:t>（一）项目立项背景。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依据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本单位宗旨和业务范围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和县财政关于下达202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年行政事业单位部门预算的通知，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  <w:t>予以立项，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核定202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年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  <w:t>石化办预算资金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148.48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万元。</w:t>
      </w:r>
    </w:p>
    <w:p>
      <w:pPr>
        <w:pStyle w:val="2"/>
        <w:adjustRightInd w:val="0"/>
        <w:spacing w:line="62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仿宋_GB2312" w:hAnsi="仿宋_GB2312" w:eastAsia="仿宋_GB2312" w:cs="Times New Roman"/>
          <w:color w:val="000000"/>
          <w:sz w:val="32"/>
          <w:szCs w:val="32"/>
        </w:rPr>
        <w:t>（二）项目预算安排及使用情况。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县财政年初预算安排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  <w:t>石化办预算资金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148.48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万元，主要用于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  <w:t>保障单位职工工资、单位正常运转、和谐典范油区创建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工作。资金来源为县财政全额拨款。</w:t>
      </w:r>
    </w:p>
    <w:p>
      <w:pPr>
        <w:pStyle w:val="2"/>
        <w:adjustRightInd w:val="0"/>
        <w:spacing w:line="62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ascii="仿宋_GB2312" w:hAnsi="仿宋_GB2312" w:eastAsia="仿宋_GB2312" w:cs="Times New Roman"/>
          <w:color w:val="000000"/>
          <w:sz w:val="32"/>
          <w:szCs w:val="32"/>
        </w:rPr>
        <w:t>（三）项目计划内容及实施情况。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石化办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  <w:t>预算资金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148.48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全年整体支出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188.76万元，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由县财政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全额拨款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，全年完成县委、县政府下达的各项工作任务。项目建设时间为202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年1月1日—202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年12月31日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pStyle w:val="2"/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仿宋_GB2312" w:hAnsi="仿宋_GB2312" w:eastAsia="仿宋_GB2312" w:cs="Times New Roman"/>
          <w:color w:val="000000"/>
          <w:sz w:val="32"/>
          <w:szCs w:val="32"/>
        </w:rPr>
        <w:t>（四）项目组织管理。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主要</w:t>
      </w:r>
      <w:r>
        <w:rPr>
          <w:rFonts w:hint="eastAsia" w:ascii="仿宋" w:hAnsi="仿宋" w:eastAsia="仿宋" w:cs="仿宋"/>
          <w:sz w:val="32"/>
          <w:szCs w:val="32"/>
        </w:rPr>
        <w:t>职责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1、贯彻执行县委、县政府加强与油田合作开发的方针、政策和决定，协调管理全县石油产业开发建设和地企合作工作。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   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 2、协调处理石油勘探开发单位征、借地和钻前准备工作，妥善处理油区群众与开发单位的矛盾和纠纷。负责协调衔接我县与石油勘探开发单位合作发展事务，调查研究、掌握油田对外合作开发动向，提出合作开发对策，为县委、县政府决策提供依据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    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3、负责企地合作项目的筛选、论证、审定和落实。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   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 4、负责协调油田单位做好国土、环保、水保、水务、林业等部门的规费收缴工作。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  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  5、参与原油、成品油市场的规范整顿和全县油区社会治安综合治理工作。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   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 6、完成县委、县政府交办的其他工作。</w:t>
      </w:r>
    </w:p>
    <w:p>
      <w:pPr>
        <w:pStyle w:val="1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项目由合水县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石化办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组织实施，由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石化办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申请，财政部门集中支付。</w:t>
      </w:r>
    </w:p>
    <w:p>
      <w:pPr>
        <w:pStyle w:val="2"/>
        <w:spacing w:line="590" w:lineRule="exact"/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黑体" w:hAnsi="Times New Roman" w:eastAsia="黑体" w:cs="Times New Roman"/>
          <w:color w:val="000000"/>
          <w:sz w:val="32"/>
          <w:szCs w:val="32"/>
        </w:rPr>
        <w:t>二、项目绩效目标</w:t>
      </w:r>
    </w:p>
    <w:p>
      <w:pPr>
        <w:pStyle w:val="2"/>
        <w:adjustRightInd w:val="0"/>
        <w:spacing w:line="620" w:lineRule="exact"/>
        <w:ind w:firstLine="640" w:firstLineChars="200"/>
        <w:rPr>
          <w:rFonts w:hint="eastAsia"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时效指标：按时完成县委下达的培训任务，完成率达到100</w:t>
      </w:r>
      <w:r>
        <w:rPr>
          <w:rFonts w:ascii="仿宋" w:hAnsi="仿宋" w:eastAsia="仿宋" w:cs="Times New Roman"/>
          <w:color w:val="000000"/>
          <w:sz w:val="32"/>
          <w:szCs w:val="32"/>
        </w:rPr>
        <w:t>%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。</w:t>
      </w:r>
    </w:p>
    <w:p>
      <w:pPr>
        <w:pStyle w:val="2"/>
        <w:spacing w:line="590" w:lineRule="exac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成本指标：项目资金实现效益最大化，达到100</w:t>
      </w:r>
      <w:r>
        <w:rPr>
          <w:rFonts w:ascii="仿宋" w:hAnsi="仿宋" w:eastAsia="仿宋" w:cs="Times New Roman"/>
          <w:color w:val="000000"/>
          <w:sz w:val="32"/>
          <w:szCs w:val="32"/>
        </w:rPr>
        <w:t>%</w:t>
      </w:r>
    </w:p>
    <w:p>
      <w:pPr>
        <w:pStyle w:val="2"/>
        <w:spacing w:line="590" w:lineRule="exact"/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黑体" w:hAnsi="Times New Roman" w:eastAsia="黑体" w:cs="Times New Roman"/>
          <w:color w:val="000000"/>
          <w:sz w:val="32"/>
          <w:szCs w:val="32"/>
        </w:rPr>
        <w:t>三、评价基本情况</w:t>
      </w:r>
    </w:p>
    <w:p>
      <w:pPr>
        <w:pStyle w:val="2"/>
        <w:adjustRightInd w:val="0"/>
        <w:spacing w:line="62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仿宋" w:hAnsi="仿宋" w:eastAsia="仿宋" w:cs="Times New Roman"/>
          <w:color w:val="000000"/>
          <w:sz w:val="32"/>
          <w:szCs w:val="32"/>
        </w:rPr>
        <w:t>（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1</w:t>
      </w:r>
      <w:r>
        <w:rPr>
          <w:rFonts w:ascii="仿宋" w:hAnsi="仿宋" w:eastAsia="仿宋" w:cs="Times New Roman"/>
          <w:color w:val="000000"/>
          <w:sz w:val="32"/>
          <w:szCs w:val="32"/>
        </w:rPr>
        <w:t>）评价目的和依据。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依据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本单位宗旨和业务范围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和县财政关于下达202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年行政事业单位部门预算的通知，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  <w:t>进行绩效评价，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完成县委、县政府下达的各项工作任务。</w:t>
      </w:r>
    </w:p>
    <w:p>
      <w:pPr>
        <w:pStyle w:val="2"/>
        <w:spacing w:line="60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仿宋" w:hAnsi="仿宋" w:eastAsia="仿宋" w:cs="Times New Roman"/>
          <w:color w:val="000000"/>
          <w:sz w:val="32"/>
          <w:szCs w:val="32"/>
        </w:rPr>
        <w:t>（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2</w:t>
      </w:r>
      <w:r>
        <w:rPr>
          <w:rFonts w:ascii="仿宋" w:hAnsi="仿宋" w:eastAsia="仿宋" w:cs="Times New Roman"/>
          <w:color w:val="000000"/>
          <w:sz w:val="32"/>
          <w:szCs w:val="32"/>
        </w:rPr>
        <w:t>）评价对象和范围。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全年一般公共预算支出</w:t>
      </w:r>
      <w:r>
        <w:rPr>
          <w:rFonts w:ascii="仿宋" w:hAnsi="仿宋" w:eastAsia="仿宋" w:cs="Times New Roman"/>
          <w:color w:val="000000"/>
          <w:sz w:val="32"/>
          <w:szCs w:val="32"/>
        </w:rPr>
        <w:t>。</w:t>
      </w:r>
    </w:p>
    <w:p>
      <w:pPr>
        <w:pStyle w:val="2"/>
        <w:spacing w:line="60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仿宋" w:hAnsi="仿宋" w:eastAsia="仿宋" w:cs="Times New Roman"/>
          <w:color w:val="000000"/>
          <w:sz w:val="32"/>
          <w:szCs w:val="32"/>
        </w:rPr>
        <w:t>（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3</w:t>
      </w:r>
      <w:r>
        <w:rPr>
          <w:rFonts w:ascii="仿宋" w:hAnsi="仿宋" w:eastAsia="仿宋" w:cs="Times New Roman"/>
          <w:color w:val="000000"/>
          <w:sz w:val="32"/>
          <w:szCs w:val="32"/>
        </w:rPr>
        <w:t>）评价方法选择。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  <w:t>按照项目取得的数量指标、质量指标、时效指标、成本指标绩效</w:t>
      </w:r>
      <w:r>
        <w:rPr>
          <w:rFonts w:ascii="仿宋" w:hAnsi="仿宋" w:eastAsia="仿宋" w:cs="Times New Roman"/>
          <w:color w:val="000000"/>
          <w:sz w:val="32"/>
          <w:szCs w:val="32"/>
        </w:rPr>
        <w:t>绩效评价。</w:t>
      </w:r>
    </w:p>
    <w:p>
      <w:pPr>
        <w:pStyle w:val="2"/>
        <w:spacing w:line="60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仿宋" w:hAnsi="仿宋" w:eastAsia="仿宋" w:cs="Times New Roman"/>
          <w:color w:val="000000"/>
          <w:sz w:val="32"/>
          <w:szCs w:val="32"/>
        </w:rPr>
        <w:t>（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4</w:t>
      </w:r>
      <w:r>
        <w:rPr>
          <w:rFonts w:ascii="仿宋" w:hAnsi="仿宋" w:eastAsia="仿宋" w:cs="Times New Roman"/>
          <w:color w:val="000000"/>
          <w:sz w:val="32"/>
          <w:szCs w:val="32"/>
        </w:rPr>
        <w:t>）评分方法。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  <w:t>采用</w:t>
      </w:r>
      <w:r>
        <w:rPr>
          <w:rFonts w:ascii="仿宋" w:hAnsi="仿宋" w:eastAsia="仿宋" w:cs="Times New Roman"/>
          <w:color w:val="000000"/>
          <w:sz w:val="32"/>
          <w:szCs w:val="32"/>
        </w:rPr>
        <w:t>现场评价进行综合分析形成项目最终绩效评价结。</w:t>
      </w:r>
    </w:p>
    <w:p>
      <w:pPr>
        <w:pStyle w:val="2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仿宋_GB2312" w:hAnsi="仿宋_GB2312" w:eastAsia="仿宋_GB2312" w:cs="Times New Roman"/>
          <w:color w:val="000000"/>
          <w:sz w:val="32"/>
          <w:szCs w:val="32"/>
        </w:rPr>
        <w:t>（六）评价人员组成。</w:t>
      </w:r>
    </w:p>
    <w:p>
      <w:pPr>
        <w:pStyle w:val="2"/>
        <w:spacing w:line="600" w:lineRule="exact"/>
        <w:ind w:left="638" w:leftChars="304" w:firstLine="0" w:firstLineChars="0"/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</w:pPr>
      <w:r>
        <w:rPr>
          <w:rFonts w:ascii="仿宋" w:hAnsi="仿宋" w:eastAsia="仿宋" w:cs="Times New Roman"/>
          <w:color w:val="000000"/>
          <w:sz w:val="32"/>
          <w:szCs w:val="32"/>
        </w:rPr>
        <w:t>（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1</w:t>
      </w:r>
      <w:r>
        <w:rPr>
          <w:rFonts w:ascii="仿宋" w:hAnsi="仿宋" w:eastAsia="仿宋" w:cs="Times New Roman"/>
          <w:color w:val="000000"/>
          <w:sz w:val="32"/>
          <w:szCs w:val="32"/>
        </w:rPr>
        <w:t>）评价工作组人员及分工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  <w:t>，成立评价工作领导小组</w:t>
      </w:r>
    </w:p>
    <w:p>
      <w:pPr>
        <w:pStyle w:val="2"/>
        <w:spacing w:line="600" w:lineRule="exact"/>
        <w:ind w:left="638" w:leftChars="304" w:firstLine="0" w:firstLineChars="0"/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  <w:t>组长：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  <w:t>方亚宁</w:t>
      </w:r>
    </w:p>
    <w:p>
      <w:pPr>
        <w:pStyle w:val="2"/>
        <w:spacing w:line="600" w:lineRule="exact"/>
        <w:ind w:left="638" w:leftChars="304" w:firstLine="0" w:firstLineChars="0"/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  <w:t>副组长：齐永涛</w:t>
      </w:r>
    </w:p>
    <w:p>
      <w:pPr>
        <w:pStyle w:val="2"/>
        <w:spacing w:line="600" w:lineRule="exact"/>
        <w:ind w:left="638" w:leftChars="304" w:firstLine="0" w:firstLineChars="0"/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  <w:t>成员：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  <w:t>赵飞娟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张振兴</w:t>
      </w:r>
    </w:p>
    <w:p>
      <w:pPr>
        <w:pStyle w:val="2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仿宋_GB2312" w:hAnsi="仿宋_GB2312" w:eastAsia="仿宋_GB2312" w:cs="Times New Roman"/>
          <w:color w:val="000000"/>
          <w:sz w:val="32"/>
          <w:szCs w:val="32"/>
        </w:rPr>
        <w:t>（七）绩效评价工作过程。</w:t>
      </w:r>
    </w:p>
    <w:p>
      <w:pPr>
        <w:pStyle w:val="2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2022</w:t>
      </w:r>
      <w:bookmarkStart w:id="0" w:name="_GoBack"/>
      <w:bookmarkEnd w:id="0"/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年12月下旬绩效评价。采取</w:t>
      </w:r>
      <w:r>
        <w:rPr>
          <w:rFonts w:ascii="仿宋_GB2312" w:hAnsi="仿宋_GB2312" w:eastAsia="仿宋_GB2312" w:cs="Times New Roman"/>
          <w:color w:val="000000"/>
          <w:sz w:val="32"/>
          <w:szCs w:val="32"/>
        </w:rPr>
        <w:t>前期准备、现场评价、综合分析、评价报告撰写等评价工作过程。</w:t>
      </w:r>
    </w:p>
    <w:p>
      <w:pPr>
        <w:pStyle w:val="2"/>
        <w:spacing w:line="600" w:lineRule="exact"/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黑体" w:hAnsi="Times New Roman" w:eastAsia="黑体" w:cs="Times New Roman"/>
          <w:color w:val="000000"/>
          <w:sz w:val="32"/>
          <w:szCs w:val="32"/>
        </w:rPr>
        <w:t>四、评价结论及分析</w:t>
      </w:r>
    </w:p>
    <w:p>
      <w:pPr>
        <w:pStyle w:val="2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ascii="仿宋_GB2312" w:hAnsi="仿宋_GB2312" w:eastAsia="仿宋_GB2312" w:cs="Times New Roman"/>
          <w:color w:val="000000"/>
          <w:sz w:val="32"/>
          <w:szCs w:val="32"/>
        </w:rPr>
        <w:t>（一）综合评价情况及评价结论。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eastAsia="zh-CN"/>
        </w:rPr>
        <w:t>优</w:t>
      </w:r>
    </w:p>
    <w:p>
      <w:pPr>
        <w:pStyle w:val="2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ascii="仿宋_GB2312" w:hAnsi="仿宋_GB2312" w:eastAsia="仿宋_GB2312" w:cs="Times New Roman"/>
          <w:color w:val="000000"/>
          <w:sz w:val="32"/>
          <w:szCs w:val="32"/>
        </w:rPr>
        <w:t>（二）非现场评价情况分析。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eastAsia="zh-CN"/>
        </w:rPr>
        <w:t>优</w:t>
      </w:r>
    </w:p>
    <w:p>
      <w:pPr>
        <w:pStyle w:val="2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ascii="仿宋_GB2312" w:hAnsi="仿宋_GB2312" w:eastAsia="仿宋_GB2312" w:cs="Times New Roman"/>
          <w:color w:val="000000"/>
          <w:sz w:val="32"/>
          <w:szCs w:val="32"/>
        </w:rPr>
        <w:t>（三）现场评价情况分析。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eastAsia="zh-CN"/>
        </w:rPr>
        <w:t>优</w:t>
      </w:r>
    </w:p>
    <w:p>
      <w:pPr>
        <w:pStyle w:val="2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ascii="仿宋_GB2312" w:hAnsi="仿宋_GB2312" w:eastAsia="仿宋_GB2312" w:cs="Times New Roman"/>
          <w:color w:val="000000"/>
          <w:sz w:val="32"/>
          <w:szCs w:val="32"/>
        </w:rPr>
        <w:t>（四）分项目、单位或县县评价得分及结论。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eastAsia="zh-CN"/>
        </w:rPr>
        <w:t>优</w:t>
      </w:r>
    </w:p>
    <w:p>
      <w:pPr>
        <w:pStyle w:val="2"/>
        <w:spacing w:line="600" w:lineRule="exact"/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黑体" w:hAnsi="Times New Roman" w:eastAsia="黑体" w:cs="Times New Roman"/>
          <w:color w:val="000000"/>
          <w:sz w:val="32"/>
          <w:szCs w:val="32"/>
        </w:rPr>
        <w:t>五、绩效评价指标分析</w:t>
      </w:r>
    </w:p>
    <w:p>
      <w:pPr>
        <w:pStyle w:val="2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ascii="仿宋_GB2312" w:hAnsi="仿宋_GB2312" w:eastAsia="仿宋_GB2312" w:cs="Times New Roman"/>
          <w:color w:val="000000"/>
          <w:sz w:val="32"/>
          <w:szCs w:val="32"/>
        </w:rPr>
        <w:t>（一）项目决策情况。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eastAsia="zh-CN"/>
        </w:rPr>
        <w:t>项目决策科学规范。</w:t>
      </w:r>
    </w:p>
    <w:p>
      <w:pPr>
        <w:pStyle w:val="2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ascii="仿宋_GB2312" w:hAnsi="仿宋_GB2312" w:eastAsia="仿宋_GB2312" w:cs="Times New Roman"/>
          <w:color w:val="000000"/>
          <w:sz w:val="32"/>
          <w:szCs w:val="32"/>
        </w:rPr>
        <w:t>（二）项目过程情况。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eastAsia="zh-CN"/>
        </w:rPr>
        <w:t>项目使用过程合理。</w:t>
      </w:r>
    </w:p>
    <w:p>
      <w:pPr>
        <w:pStyle w:val="2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ascii="仿宋_GB2312" w:hAnsi="仿宋_GB2312" w:eastAsia="仿宋_GB2312" w:cs="Times New Roman"/>
          <w:color w:val="000000"/>
          <w:sz w:val="32"/>
          <w:szCs w:val="32"/>
        </w:rPr>
        <w:t>（三）项目产出情况。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eastAsia="zh-CN"/>
        </w:rPr>
        <w:t>项目投入产出合理，成本控制措施科学有效。</w:t>
      </w:r>
    </w:p>
    <w:p>
      <w:pPr>
        <w:pStyle w:val="2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ascii="仿宋_GB2312" w:hAnsi="仿宋_GB2312" w:eastAsia="仿宋_GB2312" w:cs="Times New Roman"/>
          <w:color w:val="000000"/>
          <w:sz w:val="32"/>
          <w:szCs w:val="32"/>
        </w:rPr>
        <w:t>（四）项目效益情况。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eastAsia="zh-CN"/>
        </w:rPr>
        <w:t>项目资金实现效益最大化。</w:t>
      </w:r>
    </w:p>
    <w:p>
      <w:pPr>
        <w:pStyle w:val="2"/>
        <w:spacing w:line="600" w:lineRule="exact"/>
        <w:ind w:firstLine="640" w:firstLineChars="200"/>
        <w:rPr>
          <w:rFonts w:ascii="黑体" w:hAnsi="Times New Roman" w:eastAsia="黑体" w:cs="Times New Roman"/>
          <w:color w:val="000000"/>
          <w:sz w:val="32"/>
          <w:szCs w:val="32"/>
        </w:rPr>
      </w:pPr>
      <w:r>
        <w:rPr>
          <w:rFonts w:ascii="黑体" w:hAnsi="Times New Roman" w:eastAsia="黑体" w:cs="Times New Roman"/>
          <w:color w:val="000000"/>
          <w:sz w:val="32"/>
          <w:szCs w:val="32"/>
        </w:rPr>
        <w:t>六、项目主要经验及做法</w:t>
      </w:r>
    </w:p>
    <w:p>
      <w:pPr>
        <w:pStyle w:val="2"/>
        <w:spacing w:line="600" w:lineRule="exact"/>
        <w:ind w:firstLine="600" w:firstLineChars="200"/>
        <w:rPr>
          <w:rFonts w:hint="eastAsia" w:ascii="仿宋" w:hAnsi="仿宋" w:eastAsia="仿宋" w:cs="Times New Roman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color w:val="000000"/>
          <w:sz w:val="30"/>
          <w:szCs w:val="30"/>
        </w:rPr>
        <w:t>总体自评结果</w:t>
      </w:r>
      <w:r>
        <w:rPr>
          <w:rFonts w:hint="eastAsia" w:ascii="仿宋" w:hAnsi="仿宋" w:eastAsia="仿宋" w:cs="Times New Roman"/>
          <w:color w:val="000000"/>
          <w:sz w:val="30"/>
          <w:szCs w:val="30"/>
          <w:lang w:eastAsia="zh-CN"/>
        </w:rPr>
        <w:t>优秀</w:t>
      </w:r>
      <w:r>
        <w:rPr>
          <w:rFonts w:hint="eastAsia" w:ascii="仿宋" w:hAnsi="仿宋" w:eastAsia="仿宋" w:cs="Times New Roman"/>
          <w:color w:val="000000"/>
          <w:sz w:val="30"/>
          <w:szCs w:val="30"/>
        </w:rPr>
        <w:t>，项目立项程序完整、规范、设置了明确的绩效目标，财务相关管理制度健全，预算执行及时、有效，活动开展及时有效，群众满意度高，基本实现了预期。</w:t>
      </w:r>
    </w:p>
    <w:p>
      <w:pPr>
        <w:pStyle w:val="2"/>
        <w:numPr>
          <w:ilvl w:val="0"/>
          <w:numId w:val="0"/>
        </w:numPr>
        <w:spacing w:line="600" w:lineRule="exact"/>
        <w:ind w:firstLine="640" w:firstLineChars="200"/>
        <w:rPr>
          <w:rFonts w:ascii="黑体" w:hAnsi="Times New Roman" w:eastAsia="黑体" w:cs="Times New Roman"/>
          <w:color w:val="000000"/>
          <w:sz w:val="32"/>
          <w:szCs w:val="32"/>
        </w:rPr>
      </w:pPr>
      <w:r>
        <w:rPr>
          <w:rFonts w:hint="eastAsia" w:ascii="黑体" w:hAnsi="Times New Roman" w:eastAsia="黑体" w:cs="Times New Roman"/>
          <w:color w:val="000000"/>
          <w:sz w:val="32"/>
          <w:szCs w:val="32"/>
          <w:lang w:eastAsia="zh-CN"/>
        </w:rPr>
        <w:t>七、</w:t>
      </w:r>
      <w:r>
        <w:rPr>
          <w:rFonts w:ascii="黑体" w:hAnsi="Times New Roman" w:eastAsia="黑体" w:cs="Times New Roman"/>
          <w:color w:val="000000"/>
          <w:sz w:val="32"/>
          <w:szCs w:val="32"/>
        </w:rPr>
        <w:t>存在的问题及原因分析</w:t>
      </w:r>
    </w:p>
    <w:p>
      <w:pPr>
        <w:pStyle w:val="2"/>
        <w:spacing w:line="600" w:lineRule="exact"/>
        <w:ind w:firstLine="600" w:firstLineChars="200"/>
        <w:rPr>
          <w:rFonts w:hint="eastAsia" w:ascii="仿宋" w:hAnsi="仿宋" w:eastAsia="仿宋" w:cs="Times New Roman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color w:val="000000"/>
          <w:sz w:val="30"/>
          <w:szCs w:val="30"/>
        </w:rPr>
        <w:t>虽然项目支出绩效管理的重视程度进一步提升，项目有序开展，执行和完成情况良好，资金使用规范，但是也存在不足之处，有待进一步提高。</w:t>
      </w:r>
    </w:p>
    <w:p>
      <w:pPr>
        <w:pStyle w:val="2"/>
        <w:spacing w:line="600" w:lineRule="exact"/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黑体" w:hAnsi="Times New Roman" w:eastAsia="黑体" w:cs="Times New Roman"/>
          <w:color w:val="000000"/>
          <w:sz w:val="32"/>
          <w:szCs w:val="32"/>
        </w:rPr>
        <w:t>八、有关建议</w:t>
      </w:r>
    </w:p>
    <w:p>
      <w:pPr>
        <w:pStyle w:val="2"/>
        <w:spacing w:line="600" w:lineRule="exact"/>
        <w:ind w:firstLine="600" w:firstLineChars="200"/>
        <w:rPr>
          <w:rFonts w:hint="eastAsia" w:ascii="仿宋" w:hAnsi="仿宋" w:eastAsia="仿宋" w:cs="Times New Roman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color w:val="000000"/>
          <w:sz w:val="30"/>
          <w:szCs w:val="30"/>
        </w:rPr>
        <w:t>1、对自评结果通报反馈，对项目进行总结回顾，查缺补漏，对需要改进的地方积极反思，创新工作方式方法，不断完善项目。</w:t>
      </w:r>
    </w:p>
    <w:p>
      <w:pPr>
        <w:pStyle w:val="2"/>
        <w:spacing w:line="600" w:lineRule="exact"/>
        <w:ind w:firstLine="600" w:firstLineChars="200"/>
        <w:rPr>
          <w:rFonts w:hint="eastAsia" w:ascii="仿宋" w:hAnsi="仿宋" w:eastAsia="仿宋" w:cs="Times New Roman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color w:val="000000"/>
          <w:sz w:val="30"/>
          <w:szCs w:val="30"/>
        </w:rPr>
        <w:t>2、进一步优化项目指标，注重其科学性、实用性、可实现性和可操作性，尽可能地设计客观性的量化指标，做到相互补充，科学可行。</w:t>
      </w:r>
    </w:p>
    <w:p>
      <w:pPr>
        <w:pStyle w:val="2"/>
        <w:spacing w:line="600" w:lineRule="exact"/>
        <w:ind w:firstLine="600" w:firstLineChars="200"/>
      </w:pPr>
      <w:r>
        <w:rPr>
          <w:rFonts w:hint="eastAsia" w:ascii="仿宋" w:hAnsi="仿宋" w:eastAsia="仿宋" w:cs="Times New Roman"/>
          <w:color w:val="000000"/>
          <w:sz w:val="30"/>
          <w:szCs w:val="30"/>
        </w:rPr>
        <w:t>3、进一步健全预算资金管理和专项资金管理制度，加强资金监管，明确工作责任，将项目预算执行情况与年终考核挂钩</w:t>
      </w:r>
      <w:r>
        <w:rPr>
          <w:rFonts w:hint="eastAsia" w:ascii="仿宋" w:hAnsi="仿宋" w:eastAsia="仿宋" w:cs="Times New Roman"/>
          <w:color w:val="000000"/>
          <w:sz w:val="30"/>
          <w:szCs w:val="30"/>
          <w:lang w:eastAsia="zh-CN"/>
        </w:rPr>
        <w:t>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文本框 1035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- 101 -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Y3ZWFhMTQ4ZmExMGM1MWZjMDViZmY1MDg5NWIxNzYifQ=="/>
  </w:docVars>
  <w:rsids>
    <w:rsidRoot w:val="00294FB7"/>
    <w:rsid w:val="00294FB7"/>
    <w:rsid w:val="00696CED"/>
    <w:rsid w:val="00BD289B"/>
    <w:rsid w:val="00E81517"/>
    <w:rsid w:val="03C02A1A"/>
    <w:rsid w:val="045D1CD5"/>
    <w:rsid w:val="053D5C22"/>
    <w:rsid w:val="089C2145"/>
    <w:rsid w:val="25010DC8"/>
    <w:rsid w:val="3A6212F9"/>
    <w:rsid w:val="452D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qFormat/>
    <w:uiPriority w:val="99"/>
    <w:rPr>
      <w:rFonts w:ascii="宋体" w:hAnsi="宋体"/>
      <w:sz w:val="16"/>
      <w:szCs w:val="16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customStyle="1" w:styleId="9">
    <w:name w:val="正文文本 Char"/>
    <w:basedOn w:val="7"/>
    <w:link w:val="2"/>
    <w:qFormat/>
    <w:uiPriority w:val="99"/>
    <w:rPr>
      <w:rFonts w:ascii="宋体" w:hAnsi="宋体" w:eastAsia="宋体" w:cs="宋体"/>
      <w:sz w:val="16"/>
      <w:szCs w:val="16"/>
    </w:rPr>
  </w:style>
  <w:style w:type="paragraph" w:customStyle="1" w:styleId="10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1463</Words>
  <Characters>1516</Characters>
  <Lines>10</Lines>
  <Paragraphs>2</Paragraphs>
  <TotalTime>12</TotalTime>
  <ScaleCrop>false</ScaleCrop>
  <LinksUpToDate>false</LinksUpToDate>
  <CharactersWithSpaces>1634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2023-05-31T02:07:00Z</dcterms:created>
  <dc:creator>Administrator</dc:creator>
  <cp:lastModifiedBy>★隨風之葉々</cp:lastModifiedBy>
  <cp:lastPrinted>2023-06-07T06:40:00Z</cp:lastPrinted>
  <dcterms:modified xsi:type="dcterms:W3CDTF">2023-06-21T03:34:50Z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126E54D2C549402EA020DFA32C58F304_12</vt:lpwstr>
  </property>
</Properties>
</file>