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  <w:lang w:eastAsia="zh-CN"/>
        </w:rPr>
        <w:t>审计局</w:t>
      </w:r>
      <w:r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  <w:lang w:val="en-US" w:eastAsia="zh-CN"/>
        </w:rPr>
        <w:t>2022年</w:t>
      </w:r>
      <w:r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  <w:t>整体支出绩效目标申报表</w:t>
      </w:r>
    </w:p>
    <w:bookmarkEnd w:id="0"/>
    <w:p>
      <w:pPr>
        <w:spacing w:line="660" w:lineRule="exact"/>
        <w:jc w:val="center"/>
        <w:rPr>
          <w:rFonts w:hint="eastAsia" w:ascii="方正小标宋简体" w:hAnsi="宋体" w:eastAsia="方正小标宋简体" w:cs="仿宋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方正小标宋简体" w:hAnsi="宋体" w:eastAsia="方正小标宋简体" w:cs="仿宋"/>
          <w:color w:val="000000"/>
          <w:sz w:val="28"/>
          <w:szCs w:val="28"/>
          <w:lang w:val="en-US" w:eastAsia="zh-CN"/>
        </w:rPr>
        <w:t>预算批复总金额</w:t>
      </w:r>
      <w:r>
        <w:rPr>
          <w:rFonts w:hint="eastAsia" w:ascii="方正小标宋简体" w:hAnsi="宋体" w:eastAsia="方正小标宋简体" w:cs="仿宋"/>
          <w:color w:val="000000"/>
          <w:sz w:val="28"/>
          <w:szCs w:val="28"/>
          <w:lang w:eastAsia="zh-CN"/>
        </w:rPr>
        <w:t>）</w:t>
      </w:r>
    </w:p>
    <w:tbl>
      <w:tblPr>
        <w:tblStyle w:val="2"/>
        <w:tblW w:w="8878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firstLine="2080" w:firstLineChars="1300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合水县审计局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firstLine="800" w:firstLineChars="500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一般公共服务支出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328.38万元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328.38万元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762"/>
              </w:tabs>
              <w:spacing w:line="160" w:lineRule="exact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328.38万元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328.38万元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1.围绕县委、县政府中心工作，按照上级审计机关的统一安排，依法有效履行审计监督职责。结合我县实际情况，制定审计工作计划、制度并监督执行。对直接审计、调查和核查的事项依法进行审计评价，做出审计决定或提出审计建议。</w:t>
            </w:r>
          </w:p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2.以提升审计质量为目标，创新审计管理为动力，全力推进有重点、有步骤、有深度、有成效的审计全覆盖，积极有效地履行审计监督职责，充分发挥审计工作政策落实“督查员”、人民利益“守护神”、深化改革“催化剂”作用。</w:t>
            </w:r>
          </w:p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3.保障我县审计机关网络和计算机系统正常运行，加快推进审计信息化建设，探索联网审计和审计大数据分析，为金审工程信息系统应用提供支撑和服务。</w:t>
            </w:r>
          </w:p>
          <w:p>
            <w:pPr>
              <w:pStyle w:val="4"/>
              <w:spacing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4.扩大培训、提高培训效率，结合审计实践需要定期开展培训，强力推进审计能力建设，全面提高审计人员的依法审计能力和业务技能，扎实推进审计法治化建设，规范审计行为，防范审计风险。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审计项目数量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》30个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被审计单位数量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》30个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举办或参加培训班次数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》10次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审计工作开展情况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按时开展并完成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信息系统运行情况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审计项目合格率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资金到位及时性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审计项目完成及时性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办公设备购置及时性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人均差旅费用成本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≤2500元/人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人均培训费用成本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≤500元/人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财政资金使用效益提升性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促进财政性资金增收节支有效性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重大跟踪政策措施和宏观调控及时性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审计监督效能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维护财经法纪、加强廉政建设提升性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促进被审计单位制定规章制度或制定整改措施能力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审计队伍建设完备性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完备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审计人员素质能力提升性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被审计对象满意度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培训人员满意度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审计人员信息化软硬件设备使用满意度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N2U0NTJkOTQ1NGI3ZWU1YWQxM2Q0YWY2MGI5YmIifQ=="/>
  </w:docVars>
  <w:rsids>
    <w:rsidRoot w:val="00000000"/>
    <w:rsid w:val="06BB7C0A"/>
    <w:rsid w:val="62521240"/>
    <w:rsid w:val="6C69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880</Words>
  <Characters>933</Characters>
  <Lines>0</Lines>
  <Paragraphs>0</Paragraphs>
  <TotalTime>10</TotalTime>
  <ScaleCrop>false</ScaleCrop>
  <LinksUpToDate>false</LinksUpToDate>
  <CharactersWithSpaces>941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吥綪</cp:lastModifiedBy>
  <cp:lastPrinted>2023-06-21T08:45:37Z</cp:lastPrinted>
  <dcterms:modified xsi:type="dcterms:W3CDTF">2023-06-21T08:46:25Z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21EAA85EB15F434DB04EADE1F95D4A56_12</vt:lpwstr>
  </property>
</Properties>
</file>