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widowControl w:val="0"/>
        <w:snapToGrid w:val="0"/>
        <w:spacing w:line="521" w:lineRule="atLeast"/>
      </w:pPr>
    </w:p>
    <w:p>
      <w:pPr>
        <w:widowControl w:val="0"/>
        <w:snapToGrid w:val="0"/>
        <w:spacing w:line="521" w:lineRule="atLeast"/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52"/>
          <w:szCs w:val="52"/>
          <w:lang w:val="en-US" w:eastAsia="zh-CN"/>
        </w:rPr>
        <w:t>合水县机关事务局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52"/>
          <w:szCs w:val="52"/>
          <w:lang w:val="en-US" w:eastAsia="zh-CN"/>
        </w:rPr>
        <w:t>专项运行费</w:t>
      </w:r>
      <w:r>
        <w:rPr>
          <w:rFonts w:ascii="Times New Roman" w:hAnsi="Times New Roman" w:eastAsia="方正小标宋简体"/>
          <w:bCs/>
          <w:color w:val="000000"/>
          <w:kern w:val="0"/>
          <w:sz w:val="52"/>
          <w:szCs w:val="52"/>
        </w:rPr>
        <w:t>事前绩效评估报告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2022年机关事务管理局专项运行费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合水县机关事务管理局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按时足额拨付资金，确保县机关事务工作正常运行。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431.42万元。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431.42万元。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确保公共机构节能工作正常运行；确保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党政机关综合办公区、统办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2号路（司法档案楼）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安保、保洁、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家具、门锁的维修更换、办公区域墙面地面的修整、亮化照明、电动门、电梯、网络、消防、供水、供电、供暖、排污等设施的保养维护年检等。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（1）对项目进行前期调研、评估。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（2）拟定工作方案。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（3）开展评估。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（4）撰写评估结论，完成绩效评估报告。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主要针对项目的相关性、项目绩效的可实现性、项目实施方案的有效性等方面进行评估。</w:t>
      </w:r>
    </w:p>
    <w:p>
      <w:pPr>
        <w:numPr>
          <w:ilvl w:val="0"/>
          <w:numId w:val="0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评估方式。</w:t>
      </w:r>
    </w:p>
    <w:p>
      <w:pPr>
        <w:numPr>
          <w:ilvl w:val="0"/>
          <w:numId w:val="0"/>
        </w:numPr>
        <w:spacing w:line="59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评估主要采取现场评估、辅助资料分析等方式进行评估。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确保公共机构节能工作正常运行；确保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党政机关综合办公区、统办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2号路（司法档案楼）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安保、保洁、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家具、门锁的维修更换、办公区域墙面地面的修整、亮化照明、电动门、电梯、网络、消防、供水、供电、供暖、排污等设施的保养维护年检等。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90" w:lineRule="exact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在确保机关事务工作正常运行过程中，按照预算支出定额标准节约成本，合理规划资源使用。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90" w:lineRule="exact"/>
        <w:ind w:left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机关事务局专项运行费依据党政机关综合办公楼和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统办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2号路（司法档案楼）实际运行情况申请资金，与客观现实相一致，与项目执行相一致。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spacing w:line="590" w:lineRule="exact"/>
        <w:ind w:left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本实施方案通过机关事务管理局党组会议认可，批准实施。</w:t>
      </w:r>
    </w:p>
    <w:p>
      <w:pPr>
        <w:numPr>
          <w:ilvl w:val="0"/>
          <w:numId w:val="2"/>
        </w:num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评估的相关建议</w:t>
      </w:r>
    </w:p>
    <w:p>
      <w:pPr>
        <w:numPr>
          <w:ilvl w:val="0"/>
          <w:numId w:val="0"/>
        </w:numPr>
        <w:spacing w:line="590" w:lineRule="exact"/>
        <w:jc w:val="left"/>
        <w:rPr>
          <w:rFonts w:hint="default" w:ascii="Times New Roman" w:hAnsi="Times New Roman" w:eastAsia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建议县财政优先保障年初预算资金，确保资金按时足额拨付。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2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次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绩效评估报告适用于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机关事务工作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内部自我绩效评价，结论与意见是参考性的，仅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供合水县机关事务管理局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预算绩效管理领导小组制定次年预算参考使用，不做其他用途。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D74C2"/>
    <w:multiLevelType w:val="singleLevel"/>
    <w:tmpl w:val="251D74C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FD85B3C"/>
    <w:multiLevelType w:val="singleLevel"/>
    <w:tmpl w:val="3FD85B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ZWJlMmJkYmMzYzI3YWE2MjE4MWRkNjM0MWI0NmMifQ=="/>
  </w:docVars>
  <w:rsids>
    <w:rsidRoot w:val="00000000"/>
    <w:rsid w:val="06CE1F71"/>
    <w:rsid w:val="1010723F"/>
    <w:rsid w:val="15E44D75"/>
    <w:rsid w:val="1EAD3194"/>
    <w:rsid w:val="1F315EE3"/>
    <w:rsid w:val="21AA78FF"/>
    <w:rsid w:val="2E0B7921"/>
    <w:rsid w:val="318B6AEF"/>
    <w:rsid w:val="338C06D6"/>
    <w:rsid w:val="38762A6B"/>
    <w:rsid w:val="39BB6B92"/>
    <w:rsid w:val="3BAB3422"/>
    <w:rsid w:val="3F8F3AD1"/>
    <w:rsid w:val="3FE7432B"/>
    <w:rsid w:val="42D27538"/>
    <w:rsid w:val="45C66EB9"/>
    <w:rsid w:val="4F3D651A"/>
    <w:rsid w:val="4FB31334"/>
    <w:rsid w:val="514D5DF1"/>
    <w:rsid w:val="55D34796"/>
    <w:rsid w:val="58F238B2"/>
    <w:rsid w:val="643B1CE3"/>
    <w:rsid w:val="6863673C"/>
    <w:rsid w:val="6AF95497"/>
    <w:rsid w:val="6C7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815</Words>
  <Characters>832</Characters>
  <Lines>0</Lines>
  <Paragraphs>0</Paragraphs>
  <TotalTime>1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2023-06-21T08:49:00Z</cp:lastPrinted>
  <dcterms:modified xsi:type="dcterms:W3CDTF">2023-06-21T09:49:58Z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B185BC89156C429F87B23EB712CB653C_12</vt:lpwstr>
  </property>
</Properties>
</file>